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F1DFA6" w14:textId="77777777" w:rsidR="00C60AA9" w:rsidRDefault="00C60AA9" w:rsidP="008F2E90">
      <w:pPr>
        <w:jc w:val="center"/>
        <w:rPr>
          <w:rFonts w:cs="Times New Roman"/>
          <w:sz w:val="28"/>
          <w:szCs w:val="32"/>
        </w:rPr>
      </w:pPr>
      <w:bookmarkStart w:id="0" w:name="_Hlk51607524"/>
      <w:bookmarkEnd w:id="0"/>
    </w:p>
    <w:p w14:paraId="401DAFBB" w14:textId="77777777" w:rsidR="00C60AA9" w:rsidRDefault="00C60AA9" w:rsidP="008F2E90">
      <w:pPr>
        <w:jc w:val="center"/>
        <w:rPr>
          <w:rFonts w:cs="Times New Roman"/>
          <w:sz w:val="28"/>
          <w:szCs w:val="32"/>
        </w:rPr>
      </w:pPr>
    </w:p>
    <w:p w14:paraId="66F5EF10" w14:textId="77777777" w:rsidR="00F15927" w:rsidRDefault="00F15927" w:rsidP="008F2E90">
      <w:pPr>
        <w:jc w:val="center"/>
        <w:rPr>
          <w:rFonts w:cs="Times New Roman"/>
          <w:sz w:val="28"/>
          <w:szCs w:val="32"/>
        </w:rPr>
      </w:pPr>
    </w:p>
    <w:p w14:paraId="5682733D" w14:textId="279EB1F9" w:rsidR="000E48B0" w:rsidRPr="00AE0B3D" w:rsidRDefault="000E48B0" w:rsidP="00C60AA9">
      <w:pPr>
        <w:spacing w:line="240" w:lineRule="auto"/>
        <w:jc w:val="center"/>
        <w:rPr>
          <w:rFonts w:cs="Times New Roman"/>
          <w:sz w:val="28"/>
          <w:szCs w:val="32"/>
        </w:rPr>
      </w:pPr>
      <w:r w:rsidRPr="00AE0B3D">
        <w:rPr>
          <w:rFonts w:cs="Times New Roman"/>
          <w:sz w:val="28"/>
          <w:szCs w:val="32"/>
        </w:rPr>
        <w:t xml:space="preserve">EFFECT OF MANAGEMENT REMUNERATION ON THE FINANCIAL PERFORMANCE OF </w:t>
      </w:r>
      <w:r w:rsidR="00C13C99" w:rsidRPr="00AE0B3D">
        <w:rPr>
          <w:rFonts w:cs="Times New Roman"/>
          <w:sz w:val="28"/>
          <w:szCs w:val="32"/>
        </w:rPr>
        <w:t xml:space="preserve">SELECTED </w:t>
      </w:r>
      <w:r w:rsidR="00CE3C5B" w:rsidRPr="00AE0B3D">
        <w:rPr>
          <w:rFonts w:cs="Times New Roman"/>
          <w:sz w:val="28"/>
          <w:szCs w:val="32"/>
        </w:rPr>
        <w:t>PUBLIC COMPANIES</w:t>
      </w:r>
      <w:r w:rsidRPr="00AE0B3D">
        <w:rPr>
          <w:rFonts w:cs="Times New Roman"/>
          <w:sz w:val="28"/>
          <w:szCs w:val="32"/>
        </w:rPr>
        <w:t xml:space="preserve"> LISTED IN </w:t>
      </w:r>
      <w:bookmarkStart w:id="1" w:name="_Hlk536178205"/>
      <w:r w:rsidR="00CE3C5B" w:rsidRPr="00AE0B3D">
        <w:rPr>
          <w:rFonts w:cs="Times New Roman"/>
          <w:sz w:val="28"/>
          <w:szCs w:val="32"/>
        </w:rPr>
        <w:t xml:space="preserve">THE </w:t>
      </w:r>
      <w:r w:rsidRPr="00AE0B3D">
        <w:rPr>
          <w:rFonts w:cs="Times New Roman"/>
          <w:sz w:val="28"/>
          <w:szCs w:val="32"/>
        </w:rPr>
        <w:t>NAIROBI SECURITIES EXCHANGE</w:t>
      </w:r>
      <w:r w:rsidR="00F7771A">
        <w:rPr>
          <w:rFonts w:cs="Times New Roman"/>
          <w:sz w:val="28"/>
          <w:szCs w:val="32"/>
        </w:rPr>
        <w:t xml:space="preserve"> IN KENYA</w:t>
      </w:r>
    </w:p>
    <w:bookmarkEnd w:id="1"/>
    <w:p w14:paraId="418F7174" w14:textId="77777777" w:rsidR="000E48B0" w:rsidRDefault="000E48B0" w:rsidP="00AB732C">
      <w:pPr>
        <w:ind w:firstLine="0"/>
        <w:rPr>
          <w:rFonts w:cs="Times New Roman"/>
          <w:sz w:val="28"/>
          <w:szCs w:val="32"/>
        </w:rPr>
      </w:pPr>
    </w:p>
    <w:p w14:paraId="7F9F8394" w14:textId="77777777" w:rsidR="00315DD8" w:rsidRPr="00AE0B3D" w:rsidRDefault="00315DD8" w:rsidP="00AB732C">
      <w:pPr>
        <w:ind w:firstLine="0"/>
        <w:rPr>
          <w:rFonts w:cs="Times New Roman"/>
          <w:sz w:val="28"/>
          <w:szCs w:val="32"/>
        </w:rPr>
      </w:pPr>
    </w:p>
    <w:p w14:paraId="22F68019" w14:textId="1DFD9E91" w:rsidR="000E48B0" w:rsidRPr="00AE0B3D" w:rsidRDefault="00FC6D59" w:rsidP="00063925">
      <w:pPr>
        <w:spacing w:after="0" w:line="240" w:lineRule="auto"/>
        <w:ind w:left="2727" w:right="2007" w:firstLine="0"/>
        <w:jc w:val="center"/>
        <w:rPr>
          <w:rFonts w:cs="Times New Roman"/>
          <w:sz w:val="28"/>
          <w:szCs w:val="32"/>
        </w:rPr>
      </w:pPr>
      <w:r w:rsidRPr="00AE0B3D">
        <w:rPr>
          <w:rFonts w:cs="Times New Roman"/>
          <w:sz w:val="28"/>
          <w:szCs w:val="32"/>
        </w:rPr>
        <w:t xml:space="preserve">A </w:t>
      </w:r>
      <w:r>
        <w:rPr>
          <w:rFonts w:cs="Times New Roman"/>
          <w:sz w:val="28"/>
          <w:szCs w:val="32"/>
        </w:rPr>
        <w:t>Thesis Submitted to t</w:t>
      </w:r>
      <w:r w:rsidR="003F31B0">
        <w:rPr>
          <w:rFonts w:cs="Times New Roman"/>
          <w:sz w:val="28"/>
          <w:szCs w:val="32"/>
        </w:rPr>
        <w:t>he Department o</w:t>
      </w:r>
      <w:r w:rsidRPr="00AE0B3D">
        <w:rPr>
          <w:rFonts w:cs="Times New Roman"/>
          <w:sz w:val="28"/>
          <w:szCs w:val="32"/>
        </w:rPr>
        <w:t>f Management</w:t>
      </w:r>
      <w:r w:rsidR="005E61EB">
        <w:rPr>
          <w:rFonts w:cs="Times New Roman"/>
          <w:sz w:val="28"/>
          <w:szCs w:val="32"/>
        </w:rPr>
        <w:t xml:space="preserve"> </w:t>
      </w:r>
      <w:r w:rsidR="003F31B0">
        <w:rPr>
          <w:rFonts w:cs="Times New Roman"/>
          <w:sz w:val="28"/>
          <w:szCs w:val="32"/>
        </w:rPr>
        <w:t>School o</w:t>
      </w:r>
      <w:r w:rsidRPr="00AE0B3D">
        <w:rPr>
          <w:rFonts w:cs="Times New Roman"/>
          <w:sz w:val="28"/>
          <w:szCs w:val="32"/>
        </w:rPr>
        <w:t>f Business</w:t>
      </w:r>
    </w:p>
    <w:p w14:paraId="659CF5B4" w14:textId="78FDFC0D" w:rsidR="000E48B0" w:rsidRPr="00AE0B3D" w:rsidRDefault="00FC6D59" w:rsidP="00063925">
      <w:pPr>
        <w:spacing w:after="0" w:line="240" w:lineRule="auto"/>
        <w:jc w:val="center"/>
        <w:rPr>
          <w:rFonts w:cs="Times New Roman"/>
          <w:sz w:val="28"/>
          <w:szCs w:val="32"/>
        </w:rPr>
      </w:pPr>
      <w:r w:rsidRPr="00AE0B3D">
        <w:rPr>
          <w:rFonts w:cs="Times New Roman"/>
          <w:sz w:val="28"/>
          <w:szCs w:val="32"/>
        </w:rPr>
        <w:t xml:space="preserve">University </w:t>
      </w:r>
      <w:r w:rsidR="000C47C1" w:rsidRPr="00AE0B3D">
        <w:rPr>
          <w:rFonts w:cs="Times New Roman"/>
          <w:sz w:val="28"/>
          <w:szCs w:val="32"/>
        </w:rPr>
        <w:t>of</w:t>
      </w:r>
      <w:r w:rsidRPr="00AE0B3D">
        <w:rPr>
          <w:rFonts w:cs="Times New Roman"/>
          <w:sz w:val="28"/>
          <w:szCs w:val="32"/>
        </w:rPr>
        <w:t xml:space="preserve"> Eastern Africa, Baraton</w:t>
      </w:r>
    </w:p>
    <w:p w14:paraId="5860F18F" w14:textId="77777777" w:rsidR="000E48B0" w:rsidRDefault="000E48B0" w:rsidP="00AB732C">
      <w:pPr>
        <w:ind w:firstLine="0"/>
        <w:rPr>
          <w:rFonts w:cs="Times New Roman"/>
          <w:sz w:val="28"/>
          <w:szCs w:val="32"/>
        </w:rPr>
      </w:pPr>
    </w:p>
    <w:p w14:paraId="21A4F239" w14:textId="77777777" w:rsidR="00941B80" w:rsidRDefault="00941B80" w:rsidP="00AB732C">
      <w:pPr>
        <w:ind w:firstLine="0"/>
        <w:rPr>
          <w:rFonts w:cs="Times New Roman"/>
          <w:sz w:val="28"/>
          <w:szCs w:val="32"/>
        </w:rPr>
      </w:pPr>
    </w:p>
    <w:p w14:paraId="4FED36B8" w14:textId="77777777" w:rsidR="00941B80" w:rsidRPr="00AE0B3D" w:rsidRDefault="00941B80" w:rsidP="00AB732C">
      <w:pPr>
        <w:ind w:firstLine="0"/>
        <w:rPr>
          <w:rFonts w:cs="Times New Roman"/>
          <w:sz w:val="28"/>
          <w:szCs w:val="32"/>
        </w:rPr>
      </w:pPr>
    </w:p>
    <w:p w14:paraId="6B196CA6" w14:textId="61E64028" w:rsidR="008A68D6" w:rsidRDefault="009D4232" w:rsidP="00DE0CDF">
      <w:pPr>
        <w:spacing w:after="0" w:line="240" w:lineRule="auto"/>
        <w:ind w:left="2160" w:right="1440" w:firstLine="0"/>
        <w:jc w:val="center"/>
        <w:rPr>
          <w:rFonts w:cs="Times New Roman"/>
          <w:sz w:val="28"/>
          <w:szCs w:val="32"/>
        </w:rPr>
      </w:pPr>
      <w:r>
        <w:rPr>
          <w:rFonts w:cs="Times New Roman"/>
          <w:sz w:val="28"/>
          <w:szCs w:val="32"/>
        </w:rPr>
        <w:t xml:space="preserve">In Partial </w:t>
      </w:r>
      <w:r w:rsidR="008F7818">
        <w:rPr>
          <w:rFonts w:cs="Times New Roman"/>
          <w:sz w:val="28"/>
          <w:szCs w:val="32"/>
        </w:rPr>
        <w:t>Fulfilment</w:t>
      </w:r>
      <w:r>
        <w:rPr>
          <w:rFonts w:cs="Times New Roman"/>
          <w:sz w:val="28"/>
          <w:szCs w:val="32"/>
        </w:rPr>
        <w:t xml:space="preserve"> of t</w:t>
      </w:r>
      <w:r w:rsidR="003D096D">
        <w:rPr>
          <w:rFonts w:cs="Times New Roman"/>
          <w:sz w:val="28"/>
          <w:szCs w:val="32"/>
        </w:rPr>
        <w:t xml:space="preserve">he Requirements </w:t>
      </w:r>
      <w:r w:rsidR="008A68D6">
        <w:rPr>
          <w:rFonts w:cs="Times New Roman"/>
          <w:sz w:val="28"/>
          <w:szCs w:val="32"/>
        </w:rPr>
        <w:t>f</w:t>
      </w:r>
      <w:r w:rsidR="003D096D">
        <w:rPr>
          <w:rFonts w:cs="Times New Roman"/>
          <w:sz w:val="28"/>
          <w:szCs w:val="32"/>
        </w:rPr>
        <w:t>or</w:t>
      </w:r>
    </w:p>
    <w:p w14:paraId="09018DB1" w14:textId="77AC66D1" w:rsidR="00B311EB" w:rsidRDefault="003D096D" w:rsidP="00DE0CDF">
      <w:pPr>
        <w:spacing w:after="0" w:line="240" w:lineRule="auto"/>
        <w:ind w:left="2160" w:right="1440" w:firstLine="0"/>
        <w:jc w:val="center"/>
        <w:rPr>
          <w:rFonts w:cs="Times New Roman"/>
          <w:sz w:val="28"/>
          <w:szCs w:val="32"/>
        </w:rPr>
      </w:pPr>
      <w:r>
        <w:rPr>
          <w:rFonts w:cs="Times New Roman"/>
          <w:sz w:val="28"/>
          <w:szCs w:val="32"/>
        </w:rPr>
        <w:t>t</w:t>
      </w:r>
      <w:r w:rsidR="008A68D6">
        <w:rPr>
          <w:rFonts w:cs="Times New Roman"/>
          <w:sz w:val="28"/>
          <w:szCs w:val="32"/>
        </w:rPr>
        <w:t>he</w:t>
      </w:r>
      <w:r>
        <w:rPr>
          <w:rFonts w:cs="Times New Roman"/>
          <w:sz w:val="28"/>
          <w:szCs w:val="32"/>
        </w:rPr>
        <w:t xml:space="preserve"> Degree of</w:t>
      </w:r>
    </w:p>
    <w:p w14:paraId="52D133F1" w14:textId="1BA57374" w:rsidR="000E48B0" w:rsidRDefault="003D096D" w:rsidP="00DE0CDF">
      <w:pPr>
        <w:spacing w:line="240" w:lineRule="auto"/>
        <w:ind w:left="2160" w:right="1440" w:firstLine="0"/>
        <w:jc w:val="center"/>
        <w:rPr>
          <w:rFonts w:cs="Times New Roman"/>
          <w:sz w:val="28"/>
          <w:szCs w:val="32"/>
        </w:rPr>
      </w:pPr>
      <w:r>
        <w:rPr>
          <w:rFonts w:cs="Times New Roman"/>
          <w:sz w:val="28"/>
          <w:szCs w:val="32"/>
        </w:rPr>
        <w:t>Master o</w:t>
      </w:r>
      <w:r w:rsidR="009D4232" w:rsidRPr="00AE0B3D">
        <w:rPr>
          <w:rFonts w:cs="Times New Roman"/>
          <w:sz w:val="28"/>
          <w:szCs w:val="32"/>
        </w:rPr>
        <w:t>f Business Administration (Finance)</w:t>
      </w:r>
    </w:p>
    <w:p w14:paraId="3BC267A8" w14:textId="77777777" w:rsidR="00884DCB" w:rsidRDefault="00884DCB" w:rsidP="00B311EB">
      <w:pPr>
        <w:spacing w:line="240" w:lineRule="auto"/>
        <w:ind w:left="2160" w:right="1440" w:firstLine="0"/>
        <w:jc w:val="center"/>
        <w:rPr>
          <w:rFonts w:cs="Times New Roman"/>
          <w:sz w:val="28"/>
          <w:szCs w:val="32"/>
        </w:rPr>
      </w:pPr>
    </w:p>
    <w:p w14:paraId="2C0F62D0" w14:textId="77777777" w:rsidR="00884DCB" w:rsidRPr="00AE0B3D" w:rsidRDefault="00884DCB" w:rsidP="00B311EB">
      <w:pPr>
        <w:spacing w:line="240" w:lineRule="auto"/>
        <w:ind w:left="2160" w:right="1440" w:firstLine="0"/>
        <w:jc w:val="center"/>
        <w:rPr>
          <w:rFonts w:cs="Times New Roman"/>
          <w:sz w:val="28"/>
          <w:szCs w:val="32"/>
        </w:rPr>
      </w:pPr>
    </w:p>
    <w:p w14:paraId="46ED6EB3" w14:textId="2D1731A0" w:rsidR="008F2E90" w:rsidRPr="00AE0B3D" w:rsidRDefault="00884DCB" w:rsidP="00AB732C">
      <w:pPr>
        <w:jc w:val="center"/>
        <w:rPr>
          <w:rFonts w:cs="Times New Roman"/>
          <w:sz w:val="28"/>
          <w:szCs w:val="32"/>
        </w:rPr>
      </w:pPr>
      <w:proofErr w:type="spellStart"/>
      <w:r w:rsidRPr="00AE0B3D">
        <w:rPr>
          <w:rFonts w:cs="Times New Roman"/>
          <w:sz w:val="28"/>
          <w:szCs w:val="32"/>
        </w:rPr>
        <w:t>Mobegi</w:t>
      </w:r>
      <w:proofErr w:type="spellEnd"/>
      <w:r w:rsidR="00BC24C2">
        <w:rPr>
          <w:rFonts w:cs="Times New Roman"/>
          <w:sz w:val="28"/>
          <w:szCs w:val="32"/>
        </w:rPr>
        <w:t>,</w:t>
      </w:r>
      <w:r w:rsidRPr="00AE0B3D">
        <w:rPr>
          <w:rFonts w:cs="Times New Roman"/>
          <w:sz w:val="28"/>
          <w:szCs w:val="32"/>
        </w:rPr>
        <w:t xml:space="preserve"> Fred </w:t>
      </w:r>
      <w:proofErr w:type="spellStart"/>
      <w:r w:rsidRPr="00AE0B3D">
        <w:rPr>
          <w:rFonts w:cs="Times New Roman"/>
          <w:sz w:val="28"/>
          <w:szCs w:val="32"/>
        </w:rPr>
        <w:t>Morara</w:t>
      </w:r>
      <w:proofErr w:type="spellEnd"/>
    </w:p>
    <w:p w14:paraId="0F7E42BF" w14:textId="2B8F9C69" w:rsidR="00AB732C" w:rsidRPr="00AE0B3D" w:rsidRDefault="00884DCB" w:rsidP="00416BD2">
      <w:pPr>
        <w:jc w:val="center"/>
        <w:rPr>
          <w:rFonts w:cs="Times New Roman"/>
          <w:sz w:val="28"/>
          <w:szCs w:val="32"/>
        </w:rPr>
      </w:pPr>
      <w:r>
        <w:rPr>
          <w:rFonts w:cs="Times New Roman"/>
          <w:sz w:val="28"/>
          <w:szCs w:val="32"/>
        </w:rPr>
        <w:t>July</w:t>
      </w:r>
      <w:r w:rsidR="00625CC4" w:rsidRPr="00AE0B3D">
        <w:rPr>
          <w:rFonts w:cs="Times New Roman"/>
          <w:sz w:val="28"/>
          <w:szCs w:val="32"/>
        </w:rPr>
        <w:t>,</w:t>
      </w:r>
      <w:r w:rsidR="00A43EF2" w:rsidRPr="00AE0B3D">
        <w:rPr>
          <w:rFonts w:cs="Times New Roman"/>
          <w:sz w:val="28"/>
          <w:szCs w:val="32"/>
        </w:rPr>
        <w:t xml:space="preserve"> </w:t>
      </w:r>
      <w:r w:rsidR="00BD5354" w:rsidRPr="00AE0B3D">
        <w:rPr>
          <w:rFonts w:cs="Times New Roman"/>
          <w:sz w:val="28"/>
          <w:szCs w:val="32"/>
        </w:rPr>
        <w:t>202</w:t>
      </w:r>
      <w:r w:rsidR="00D52868">
        <w:rPr>
          <w:rFonts w:cs="Times New Roman"/>
          <w:sz w:val="28"/>
          <w:szCs w:val="32"/>
        </w:rPr>
        <w:t>1</w:t>
      </w:r>
    </w:p>
    <w:p w14:paraId="76161D57" w14:textId="77777777" w:rsidR="00435A08" w:rsidRPr="00971E8D" w:rsidRDefault="000D7F54" w:rsidP="00435A08">
      <w:pPr>
        <w:pStyle w:val="Heading1"/>
        <w:rPr>
          <w:rFonts w:eastAsia="Times New Roman" w:cs="Times New Roman"/>
        </w:rPr>
      </w:pPr>
      <w:r w:rsidRPr="00AE0B3D">
        <w:br w:type="page"/>
      </w:r>
      <w:bookmarkStart w:id="2" w:name="_Toc78067488"/>
      <w:bookmarkStart w:id="3" w:name="_Toc77325131"/>
      <w:bookmarkStart w:id="4" w:name="_Toc78213193"/>
      <w:r w:rsidR="00435A08" w:rsidRPr="00971E8D">
        <w:rPr>
          <w:rFonts w:eastAsia="Times New Roman" w:cs="Times New Roman"/>
        </w:rPr>
        <w:lastRenderedPageBreak/>
        <w:t>APPROVAL SHEET</w:t>
      </w:r>
      <w:bookmarkEnd w:id="3"/>
      <w:bookmarkEnd w:id="4"/>
    </w:p>
    <w:p w14:paraId="497099C7" w14:textId="77777777" w:rsidR="00435A08" w:rsidRPr="00AE0B3D" w:rsidRDefault="00435A08" w:rsidP="00435A08">
      <w:pPr>
        <w:spacing w:after="0"/>
        <w:jc w:val="center"/>
        <w:rPr>
          <w:rFonts w:cs="Times New Roman"/>
          <w:sz w:val="28"/>
          <w:szCs w:val="32"/>
        </w:rPr>
      </w:pPr>
      <w:r w:rsidRPr="00971E8D">
        <w:rPr>
          <w:rFonts w:eastAsia="Calibri" w:cs="Times New Roman"/>
          <w:bCs/>
          <w:szCs w:val="24"/>
          <w:lang w:val="en-US"/>
        </w:rPr>
        <w:t xml:space="preserve">This thesis entitled </w:t>
      </w:r>
      <w:r w:rsidRPr="00C97565">
        <w:rPr>
          <w:rFonts w:cs="Times New Roman"/>
          <w:szCs w:val="24"/>
        </w:rPr>
        <w:t>EFFECT OF MANAGEMENT REMUNERATION ON THE FINANCIAL PERFORMANCE OF SELECTED PUBLIC COMPANIES LISTED IN THE NAIROBI SECURITIES EXCHANGE IN KENYA</w:t>
      </w:r>
    </w:p>
    <w:p w14:paraId="7FC834D7" w14:textId="77777777" w:rsidR="00435A08" w:rsidRPr="00971E8D" w:rsidRDefault="00435A08" w:rsidP="00435A08">
      <w:pPr>
        <w:spacing w:after="0"/>
        <w:jc w:val="center"/>
        <w:rPr>
          <w:rFonts w:eastAsia="Calibri" w:cs="Times New Roman"/>
          <w:bCs/>
          <w:szCs w:val="24"/>
          <w:lang w:val="en-US"/>
        </w:rPr>
      </w:pPr>
      <w:r w:rsidRPr="00971E8D">
        <w:rPr>
          <w:rFonts w:eastAsia="Calibri" w:cs="Times New Roman"/>
          <w:bCs/>
          <w:szCs w:val="24"/>
          <w:lang w:val="en-US"/>
        </w:rPr>
        <w:t xml:space="preserve">written and submitted by </w:t>
      </w:r>
      <w:r>
        <w:rPr>
          <w:rFonts w:eastAsia="Calibri" w:cs="Times New Roman"/>
          <w:bCs/>
          <w:szCs w:val="24"/>
          <w:lang w:val="en-US"/>
        </w:rPr>
        <w:t xml:space="preserve">MOBEGI, FRED MORARA </w:t>
      </w:r>
      <w:r w:rsidRPr="00971E8D">
        <w:rPr>
          <w:rFonts w:eastAsia="Calibri" w:cs="Times New Roman"/>
          <w:bCs/>
          <w:szCs w:val="24"/>
          <w:lang w:val="en-US"/>
        </w:rPr>
        <w:t>in partial fulfilment of the requirements for the degree of Master of Business Administration is hereby accepted and approved.</w:t>
      </w:r>
    </w:p>
    <w:p w14:paraId="3EA01C3C" w14:textId="77777777" w:rsidR="00435A08" w:rsidRPr="00971E8D" w:rsidRDefault="00435A08" w:rsidP="00435A08">
      <w:pPr>
        <w:spacing w:after="0" w:line="240" w:lineRule="auto"/>
        <w:rPr>
          <w:rFonts w:eastAsia="Calibri" w:cs="Times New Roman"/>
          <w:bCs/>
          <w:szCs w:val="24"/>
          <w:lang w:val="en-US"/>
        </w:rPr>
      </w:pPr>
    </w:p>
    <w:p w14:paraId="1F67F4A7" w14:textId="77777777" w:rsidR="00435A08" w:rsidRPr="00971E8D" w:rsidRDefault="00435A08" w:rsidP="00435A08">
      <w:pPr>
        <w:spacing w:after="0" w:line="240" w:lineRule="auto"/>
        <w:rPr>
          <w:rFonts w:eastAsia="Calibri" w:cs="Times New Roman"/>
          <w:bCs/>
          <w:szCs w:val="24"/>
          <w:lang w:val="en-US"/>
        </w:rPr>
      </w:pPr>
      <w:r w:rsidRPr="00971E8D">
        <w:rPr>
          <w:rFonts w:eastAsia="Calibri" w:cs="Times New Roman"/>
          <w:bCs/>
          <w:szCs w:val="24"/>
          <w:lang w:val="en-US"/>
        </w:rPr>
        <w:t>____________________________</w:t>
      </w:r>
      <w:r w:rsidRPr="00971E8D">
        <w:rPr>
          <w:rFonts w:eastAsia="Calibri" w:cs="Times New Roman"/>
          <w:bCs/>
          <w:szCs w:val="24"/>
          <w:lang w:val="en-US"/>
        </w:rPr>
        <w:tab/>
      </w:r>
      <w:r w:rsidRPr="00971E8D">
        <w:rPr>
          <w:rFonts w:eastAsia="Calibri" w:cs="Times New Roman"/>
          <w:bCs/>
          <w:szCs w:val="24"/>
          <w:lang w:val="en-US"/>
        </w:rPr>
        <w:tab/>
        <w:t>______________________________</w:t>
      </w:r>
      <w:r w:rsidRPr="00971E8D">
        <w:rPr>
          <w:rFonts w:eastAsia="Calibri" w:cs="Times New Roman"/>
          <w:bCs/>
          <w:szCs w:val="24"/>
          <w:lang w:val="en-US"/>
        </w:rPr>
        <w:tab/>
      </w:r>
    </w:p>
    <w:p w14:paraId="72216FC0" w14:textId="77777777" w:rsidR="00435A08" w:rsidRPr="00971E8D" w:rsidRDefault="00435A08" w:rsidP="00435A08">
      <w:pPr>
        <w:spacing w:after="0" w:line="240" w:lineRule="auto"/>
        <w:rPr>
          <w:rFonts w:eastAsia="Calibri" w:cs="Times New Roman"/>
          <w:bCs/>
          <w:szCs w:val="24"/>
          <w:lang w:val="en-US"/>
        </w:rPr>
      </w:pPr>
      <w:r w:rsidRPr="00971E8D">
        <w:rPr>
          <w:rFonts w:eastAsia="Calibri" w:cs="Times New Roman"/>
          <w:bCs/>
          <w:szCs w:val="24"/>
          <w:lang w:val="en-US"/>
        </w:rPr>
        <w:t>D</w:t>
      </w:r>
      <w:r>
        <w:rPr>
          <w:rFonts w:eastAsia="Calibri" w:cs="Times New Roman"/>
          <w:bCs/>
          <w:szCs w:val="24"/>
          <w:lang w:val="en-US"/>
        </w:rPr>
        <w:t>r</w:t>
      </w:r>
      <w:r w:rsidRPr="00971E8D">
        <w:rPr>
          <w:rFonts w:eastAsia="Calibri" w:cs="Times New Roman"/>
          <w:bCs/>
          <w:szCs w:val="24"/>
          <w:lang w:val="en-US"/>
        </w:rPr>
        <w:t xml:space="preserve">. Jackson </w:t>
      </w:r>
      <w:proofErr w:type="spellStart"/>
      <w:r w:rsidRPr="00971E8D">
        <w:rPr>
          <w:rFonts w:eastAsia="Calibri" w:cs="Times New Roman"/>
          <w:bCs/>
          <w:szCs w:val="24"/>
          <w:lang w:val="en-US"/>
        </w:rPr>
        <w:t>Oyaro</w:t>
      </w:r>
      <w:proofErr w:type="spellEnd"/>
      <w:r w:rsidRPr="00971E8D">
        <w:rPr>
          <w:rFonts w:eastAsia="Calibri" w:cs="Times New Roman"/>
          <w:bCs/>
          <w:szCs w:val="24"/>
          <w:lang w:val="en-US"/>
        </w:rPr>
        <w:t xml:space="preserve"> </w:t>
      </w:r>
      <w:proofErr w:type="spellStart"/>
      <w:r w:rsidRPr="00971E8D">
        <w:rPr>
          <w:rFonts w:eastAsia="Calibri" w:cs="Times New Roman"/>
          <w:bCs/>
          <w:szCs w:val="24"/>
          <w:lang w:val="en-US"/>
        </w:rPr>
        <w:t>Ong’eta</w:t>
      </w:r>
      <w:proofErr w:type="spellEnd"/>
      <w:r w:rsidRPr="00971E8D">
        <w:rPr>
          <w:rFonts w:eastAsia="Calibri" w:cs="Times New Roman"/>
          <w:bCs/>
          <w:szCs w:val="24"/>
          <w:lang w:val="en-US"/>
        </w:rPr>
        <w:t xml:space="preserve">, PhD                         </w:t>
      </w:r>
      <w:r w:rsidRPr="00971E8D">
        <w:rPr>
          <w:rFonts w:eastAsia="Calibri" w:cs="Times New Roman"/>
          <w:bCs/>
          <w:szCs w:val="24"/>
          <w:lang w:val="en-US"/>
        </w:rPr>
        <w:tab/>
        <w:t xml:space="preserve">Dr. </w:t>
      </w:r>
      <w:r>
        <w:rPr>
          <w:rFonts w:eastAsia="Calibri" w:cs="Times New Roman"/>
          <w:bCs/>
          <w:szCs w:val="24"/>
          <w:lang w:val="en-US"/>
        </w:rPr>
        <w:t>Meshack, Misoi</w:t>
      </w:r>
      <w:r w:rsidRPr="00971E8D">
        <w:rPr>
          <w:rFonts w:eastAsia="Calibri" w:cs="Times New Roman"/>
          <w:bCs/>
          <w:szCs w:val="24"/>
          <w:lang w:val="en-US"/>
        </w:rPr>
        <w:t>, PhD</w:t>
      </w:r>
    </w:p>
    <w:p w14:paraId="07C904BA" w14:textId="77777777" w:rsidR="00435A08" w:rsidRPr="00971E8D" w:rsidRDefault="00435A08" w:rsidP="00435A08">
      <w:pPr>
        <w:spacing w:after="0" w:line="360" w:lineRule="auto"/>
        <w:ind w:left="720"/>
        <w:rPr>
          <w:rFonts w:eastAsia="Calibri" w:cs="Times New Roman"/>
          <w:bCs/>
          <w:szCs w:val="24"/>
          <w:lang w:val="en-US"/>
        </w:rPr>
      </w:pPr>
      <w:r w:rsidRPr="00971E8D">
        <w:rPr>
          <w:rFonts w:eastAsia="Calibri" w:cs="Times New Roman"/>
          <w:bCs/>
          <w:szCs w:val="24"/>
          <w:lang w:val="en-US"/>
        </w:rPr>
        <w:t>(Supervisor)</w:t>
      </w:r>
      <w:r w:rsidRPr="00971E8D">
        <w:rPr>
          <w:rFonts w:eastAsia="Calibri" w:cs="Times New Roman"/>
          <w:bCs/>
          <w:szCs w:val="24"/>
          <w:lang w:val="en-US"/>
        </w:rPr>
        <w:tab/>
      </w:r>
      <w:r w:rsidRPr="00971E8D">
        <w:rPr>
          <w:rFonts w:eastAsia="Calibri" w:cs="Times New Roman"/>
          <w:bCs/>
          <w:szCs w:val="24"/>
          <w:lang w:val="en-US"/>
        </w:rPr>
        <w:tab/>
      </w:r>
      <w:r w:rsidRPr="00971E8D">
        <w:rPr>
          <w:rFonts w:eastAsia="Calibri" w:cs="Times New Roman"/>
          <w:bCs/>
          <w:szCs w:val="24"/>
          <w:lang w:val="en-US"/>
        </w:rPr>
        <w:tab/>
      </w:r>
      <w:r w:rsidRPr="00971E8D">
        <w:rPr>
          <w:rFonts w:eastAsia="Calibri" w:cs="Times New Roman"/>
          <w:bCs/>
          <w:szCs w:val="24"/>
          <w:lang w:val="en-US"/>
        </w:rPr>
        <w:tab/>
      </w:r>
      <w:r w:rsidRPr="00971E8D">
        <w:rPr>
          <w:rFonts w:eastAsia="Calibri" w:cs="Times New Roman"/>
          <w:bCs/>
          <w:szCs w:val="24"/>
          <w:lang w:val="en-US"/>
        </w:rPr>
        <w:tab/>
        <w:t xml:space="preserve"> (Supervisor)</w:t>
      </w:r>
      <w:r w:rsidRPr="00971E8D">
        <w:rPr>
          <w:rFonts w:eastAsia="Calibri" w:cs="Times New Roman"/>
          <w:bCs/>
          <w:szCs w:val="24"/>
          <w:lang w:val="en-US"/>
        </w:rPr>
        <w:tab/>
      </w:r>
    </w:p>
    <w:p w14:paraId="45C6FD4E" w14:textId="77777777" w:rsidR="00435A08" w:rsidRPr="00971E8D" w:rsidRDefault="00435A08" w:rsidP="00435A08">
      <w:pPr>
        <w:spacing w:after="0" w:line="240" w:lineRule="auto"/>
        <w:rPr>
          <w:rFonts w:eastAsia="Calibri" w:cs="Times New Roman"/>
          <w:bCs/>
          <w:szCs w:val="24"/>
          <w:lang w:val="en-US"/>
        </w:rPr>
      </w:pPr>
      <w:r w:rsidRPr="00971E8D">
        <w:rPr>
          <w:rFonts w:eastAsia="Calibri" w:cs="Times New Roman"/>
          <w:bCs/>
          <w:szCs w:val="24"/>
          <w:lang w:val="en-US"/>
        </w:rPr>
        <w:t>____________________</w:t>
      </w:r>
      <w:r w:rsidRPr="00971E8D">
        <w:rPr>
          <w:rFonts w:eastAsia="Calibri" w:cs="Times New Roman"/>
          <w:bCs/>
          <w:szCs w:val="24"/>
          <w:lang w:val="en-US"/>
        </w:rPr>
        <w:tab/>
      </w:r>
      <w:r w:rsidRPr="00971E8D">
        <w:rPr>
          <w:rFonts w:eastAsia="Calibri" w:cs="Times New Roman"/>
          <w:bCs/>
          <w:szCs w:val="24"/>
          <w:lang w:val="en-US"/>
        </w:rPr>
        <w:tab/>
      </w:r>
      <w:r w:rsidRPr="00971E8D">
        <w:rPr>
          <w:rFonts w:eastAsia="Calibri" w:cs="Times New Roman"/>
          <w:bCs/>
          <w:szCs w:val="24"/>
          <w:lang w:val="en-US"/>
        </w:rPr>
        <w:tab/>
      </w:r>
      <w:r w:rsidRPr="00971E8D">
        <w:rPr>
          <w:rFonts w:eastAsia="Calibri" w:cs="Times New Roman"/>
          <w:bCs/>
          <w:szCs w:val="24"/>
          <w:lang w:val="en-US"/>
        </w:rPr>
        <w:tab/>
        <w:t>_____________________</w:t>
      </w:r>
    </w:p>
    <w:p w14:paraId="7DF079D7" w14:textId="77777777" w:rsidR="00435A08" w:rsidRPr="00971E8D" w:rsidRDefault="00435A08" w:rsidP="00435A08">
      <w:pPr>
        <w:spacing w:after="0"/>
        <w:rPr>
          <w:rFonts w:eastAsia="Calibri" w:cs="Times New Roman"/>
          <w:bCs/>
          <w:szCs w:val="24"/>
          <w:lang w:val="en-US"/>
        </w:rPr>
      </w:pPr>
      <w:r w:rsidRPr="00971E8D">
        <w:rPr>
          <w:rFonts w:eastAsia="Calibri" w:cs="Times New Roman"/>
          <w:bCs/>
          <w:szCs w:val="24"/>
          <w:lang w:val="en-US"/>
        </w:rPr>
        <w:t>Date</w:t>
      </w:r>
      <w:r w:rsidRPr="00971E8D">
        <w:rPr>
          <w:rFonts w:eastAsia="Calibri" w:cs="Times New Roman"/>
          <w:bCs/>
          <w:szCs w:val="24"/>
          <w:lang w:val="en-US"/>
        </w:rPr>
        <w:tab/>
      </w:r>
      <w:r w:rsidRPr="00971E8D">
        <w:rPr>
          <w:rFonts w:eastAsia="Calibri" w:cs="Times New Roman"/>
          <w:bCs/>
          <w:szCs w:val="24"/>
          <w:lang w:val="en-US"/>
        </w:rPr>
        <w:tab/>
      </w:r>
      <w:r w:rsidRPr="00971E8D">
        <w:rPr>
          <w:rFonts w:eastAsia="Calibri" w:cs="Times New Roman"/>
          <w:bCs/>
          <w:szCs w:val="24"/>
          <w:lang w:val="en-US"/>
        </w:rPr>
        <w:tab/>
      </w:r>
      <w:r w:rsidRPr="00971E8D">
        <w:rPr>
          <w:rFonts w:eastAsia="Calibri" w:cs="Times New Roman"/>
          <w:bCs/>
          <w:szCs w:val="24"/>
          <w:lang w:val="en-US"/>
        </w:rPr>
        <w:tab/>
      </w:r>
      <w:r w:rsidRPr="00971E8D">
        <w:rPr>
          <w:rFonts w:eastAsia="Calibri" w:cs="Times New Roman"/>
          <w:bCs/>
          <w:szCs w:val="24"/>
          <w:lang w:val="en-US"/>
        </w:rPr>
        <w:tab/>
      </w:r>
      <w:r w:rsidRPr="00971E8D">
        <w:rPr>
          <w:rFonts w:eastAsia="Calibri" w:cs="Times New Roman"/>
          <w:bCs/>
          <w:szCs w:val="24"/>
          <w:lang w:val="en-US"/>
        </w:rPr>
        <w:tab/>
      </w:r>
      <w:r w:rsidRPr="00971E8D">
        <w:rPr>
          <w:rFonts w:eastAsia="Calibri" w:cs="Times New Roman"/>
          <w:bCs/>
          <w:szCs w:val="24"/>
          <w:lang w:val="en-US"/>
        </w:rPr>
        <w:tab/>
      </w:r>
      <w:r w:rsidRPr="00971E8D">
        <w:rPr>
          <w:rFonts w:eastAsia="Calibri" w:cs="Times New Roman"/>
          <w:bCs/>
          <w:szCs w:val="24"/>
          <w:lang w:val="en-US"/>
        </w:rPr>
        <w:tab/>
      </w:r>
      <w:r w:rsidRPr="00971E8D">
        <w:rPr>
          <w:rFonts w:eastAsia="Calibri" w:cs="Times New Roman"/>
          <w:bCs/>
          <w:szCs w:val="24"/>
          <w:lang w:val="en-US"/>
        </w:rPr>
        <w:tab/>
      </w:r>
      <w:proofErr w:type="spellStart"/>
      <w:r w:rsidRPr="00971E8D">
        <w:rPr>
          <w:rFonts w:eastAsia="Calibri" w:cs="Times New Roman"/>
          <w:bCs/>
          <w:szCs w:val="24"/>
          <w:lang w:val="en-US"/>
        </w:rPr>
        <w:t>Date</w:t>
      </w:r>
      <w:proofErr w:type="spellEnd"/>
    </w:p>
    <w:p w14:paraId="0D7F2B83" w14:textId="77777777" w:rsidR="00435A08" w:rsidRPr="00971E8D" w:rsidRDefault="00435A08" w:rsidP="00435A08">
      <w:pPr>
        <w:spacing w:after="0"/>
        <w:rPr>
          <w:rFonts w:eastAsia="Calibri" w:cs="Times New Roman"/>
          <w:bCs/>
          <w:szCs w:val="24"/>
          <w:lang w:val="en-US"/>
        </w:rPr>
      </w:pPr>
    </w:p>
    <w:p w14:paraId="62B5048C" w14:textId="77777777" w:rsidR="00435A08" w:rsidRPr="00971E8D" w:rsidRDefault="00435A08" w:rsidP="00435A08">
      <w:pPr>
        <w:spacing w:after="0"/>
        <w:rPr>
          <w:rFonts w:eastAsia="Calibri" w:cs="Times New Roman"/>
          <w:bCs/>
          <w:szCs w:val="24"/>
          <w:lang w:val="en-US"/>
        </w:rPr>
      </w:pPr>
      <w:r w:rsidRPr="00971E8D">
        <w:rPr>
          <w:rFonts w:eastAsia="Calibri" w:cs="Times New Roman"/>
          <w:bCs/>
          <w:szCs w:val="24"/>
          <w:lang w:val="en-US"/>
        </w:rPr>
        <w:t>Accepted in partial fulfilment of the requirements for the degree of Master of Business Administration.</w:t>
      </w:r>
    </w:p>
    <w:p w14:paraId="557C6565" w14:textId="77777777" w:rsidR="00435A08" w:rsidRPr="00971E8D" w:rsidRDefault="00435A08" w:rsidP="00435A08">
      <w:pPr>
        <w:spacing w:after="0" w:line="240" w:lineRule="auto"/>
        <w:rPr>
          <w:rFonts w:eastAsia="Calibri" w:cs="Times New Roman"/>
          <w:bCs/>
          <w:szCs w:val="24"/>
          <w:lang w:val="en-US"/>
        </w:rPr>
      </w:pPr>
      <w:r w:rsidRPr="00971E8D">
        <w:rPr>
          <w:rFonts w:eastAsia="Calibri" w:cs="Times New Roman"/>
          <w:bCs/>
          <w:szCs w:val="24"/>
          <w:lang w:val="en-US"/>
        </w:rPr>
        <w:t xml:space="preserve">    ____________________________________________</w:t>
      </w:r>
    </w:p>
    <w:p w14:paraId="204ABB2B" w14:textId="77777777" w:rsidR="00435A08" w:rsidRPr="00971E8D" w:rsidRDefault="00435A08" w:rsidP="00435A08">
      <w:pPr>
        <w:spacing w:after="0" w:line="240" w:lineRule="auto"/>
        <w:ind w:left="1440"/>
        <w:rPr>
          <w:rFonts w:eastAsia="Calibri" w:cs="Times New Roman"/>
          <w:bCs/>
          <w:szCs w:val="24"/>
          <w:lang w:val="en-US"/>
        </w:rPr>
      </w:pPr>
      <w:r>
        <w:rPr>
          <w:rFonts w:eastAsia="Calibri" w:cs="Times New Roman"/>
          <w:bCs/>
          <w:szCs w:val="24"/>
          <w:lang w:val="en-US"/>
        </w:rPr>
        <w:t xml:space="preserve">Dr. Jackson, </w:t>
      </w:r>
      <w:proofErr w:type="spellStart"/>
      <w:r>
        <w:rPr>
          <w:rFonts w:eastAsia="Calibri" w:cs="Times New Roman"/>
          <w:bCs/>
          <w:szCs w:val="24"/>
          <w:lang w:val="en-US"/>
        </w:rPr>
        <w:t>Oyaro</w:t>
      </w:r>
      <w:proofErr w:type="spellEnd"/>
      <w:r>
        <w:rPr>
          <w:rFonts w:eastAsia="Calibri" w:cs="Times New Roman"/>
          <w:bCs/>
          <w:szCs w:val="24"/>
          <w:lang w:val="en-US"/>
        </w:rPr>
        <w:t xml:space="preserve"> </w:t>
      </w:r>
      <w:proofErr w:type="spellStart"/>
      <w:r>
        <w:rPr>
          <w:rFonts w:eastAsia="Calibri" w:cs="Times New Roman"/>
          <w:bCs/>
          <w:szCs w:val="24"/>
          <w:lang w:val="en-US"/>
        </w:rPr>
        <w:t>Ong’eta</w:t>
      </w:r>
      <w:proofErr w:type="spellEnd"/>
      <w:r w:rsidRPr="00971E8D">
        <w:rPr>
          <w:rFonts w:eastAsia="Calibri" w:cs="Times New Roman"/>
          <w:bCs/>
          <w:szCs w:val="24"/>
          <w:lang w:val="en-US"/>
        </w:rPr>
        <w:t>, PhD</w:t>
      </w:r>
    </w:p>
    <w:p w14:paraId="6DFB348A" w14:textId="77777777" w:rsidR="00435A08" w:rsidRPr="00971E8D" w:rsidRDefault="00435A08" w:rsidP="00435A08">
      <w:pPr>
        <w:spacing w:after="0"/>
        <w:ind w:left="1440"/>
        <w:rPr>
          <w:rFonts w:eastAsia="Calibri" w:cs="Times New Roman"/>
          <w:bCs/>
          <w:szCs w:val="24"/>
          <w:lang w:val="en-US"/>
        </w:rPr>
      </w:pPr>
      <w:r w:rsidRPr="00971E8D">
        <w:rPr>
          <w:rFonts w:eastAsia="Calibri" w:cs="Times New Roman"/>
          <w:bCs/>
          <w:szCs w:val="24"/>
          <w:lang w:val="en-US"/>
        </w:rPr>
        <w:t xml:space="preserve">  Dean School of Business</w:t>
      </w:r>
    </w:p>
    <w:p w14:paraId="591B7CC1" w14:textId="77777777" w:rsidR="00435A08" w:rsidRPr="00971E8D" w:rsidRDefault="00435A08" w:rsidP="00435A08">
      <w:pPr>
        <w:spacing w:after="0" w:line="240" w:lineRule="auto"/>
        <w:ind w:left="720"/>
        <w:rPr>
          <w:rFonts w:eastAsia="Calibri" w:cs="Times New Roman"/>
          <w:bCs/>
          <w:szCs w:val="24"/>
          <w:lang w:val="en-US"/>
        </w:rPr>
      </w:pPr>
      <w:r w:rsidRPr="00971E8D">
        <w:rPr>
          <w:rFonts w:eastAsia="Calibri" w:cs="Times New Roman"/>
          <w:bCs/>
          <w:szCs w:val="24"/>
          <w:lang w:val="en-US"/>
        </w:rPr>
        <w:t xml:space="preserve"> </w:t>
      </w:r>
      <w:r w:rsidRPr="00971E8D">
        <w:rPr>
          <w:rFonts w:eastAsia="Calibri" w:cs="Times New Roman"/>
          <w:bCs/>
          <w:szCs w:val="24"/>
          <w:lang w:val="en-US"/>
        </w:rPr>
        <w:tab/>
      </w:r>
      <w:r w:rsidRPr="00971E8D">
        <w:rPr>
          <w:rFonts w:eastAsia="Calibri" w:cs="Times New Roman"/>
          <w:bCs/>
          <w:szCs w:val="24"/>
          <w:lang w:val="en-US"/>
        </w:rPr>
        <w:tab/>
        <w:t>________________</w:t>
      </w:r>
    </w:p>
    <w:p w14:paraId="0E8DE43D" w14:textId="77777777" w:rsidR="00435A08" w:rsidRPr="00971E8D" w:rsidRDefault="00435A08" w:rsidP="00435A08">
      <w:pPr>
        <w:spacing w:after="0"/>
        <w:ind w:left="2880"/>
        <w:rPr>
          <w:rFonts w:eastAsia="Calibri" w:cs="Times New Roman"/>
          <w:bCs/>
          <w:szCs w:val="24"/>
          <w:lang w:val="en-US"/>
        </w:rPr>
      </w:pPr>
      <w:r w:rsidRPr="00971E8D">
        <w:rPr>
          <w:rFonts w:eastAsia="Calibri" w:cs="Times New Roman"/>
          <w:bCs/>
          <w:szCs w:val="24"/>
          <w:lang w:val="en-US"/>
        </w:rPr>
        <w:t>Date</w:t>
      </w:r>
    </w:p>
    <w:p w14:paraId="7479AFC1" w14:textId="77777777" w:rsidR="00435A08" w:rsidRPr="00971E8D" w:rsidRDefault="00435A08" w:rsidP="00435A08">
      <w:pPr>
        <w:spacing w:after="0" w:line="240" w:lineRule="auto"/>
        <w:ind w:left="720"/>
        <w:rPr>
          <w:rFonts w:eastAsia="Calibri" w:cs="Times New Roman"/>
          <w:bCs/>
          <w:szCs w:val="24"/>
          <w:lang w:val="en-US"/>
        </w:rPr>
      </w:pPr>
      <w:r w:rsidRPr="00971E8D">
        <w:rPr>
          <w:rFonts w:eastAsia="Calibri" w:cs="Times New Roman"/>
          <w:bCs/>
          <w:szCs w:val="24"/>
          <w:lang w:val="en-US"/>
        </w:rPr>
        <w:t>_____________________________________________</w:t>
      </w:r>
    </w:p>
    <w:p w14:paraId="7B5876C5" w14:textId="77777777" w:rsidR="00435A08" w:rsidRPr="00971E8D" w:rsidRDefault="00435A08" w:rsidP="00435A08">
      <w:pPr>
        <w:spacing w:after="0" w:line="240" w:lineRule="auto"/>
        <w:ind w:left="1440"/>
        <w:rPr>
          <w:rFonts w:eastAsia="Calibri" w:cs="Times New Roman"/>
          <w:bCs/>
          <w:szCs w:val="24"/>
          <w:lang w:val="en-US"/>
        </w:rPr>
      </w:pPr>
      <w:r w:rsidRPr="00971E8D">
        <w:rPr>
          <w:rFonts w:eastAsia="Calibri" w:cs="Times New Roman"/>
          <w:bCs/>
          <w:szCs w:val="24"/>
          <w:lang w:val="en-US"/>
        </w:rPr>
        <w:t xml:space="preserve">Dr. Moses </w:t>
      </w:r>
      <w:proofErr w:type="spellStart"/>
      <w:r w:rsidRPr="00971E8D">
        <w:rPr>
          <w:rFonts w:eastAsia="Calibri" w:cs="Times New Roman"/>
          <w:bCs/>
          <w:szCs w:val="24"/>
          <w:lang w:val="en-US"/>
        </w:rPr>
        <w:t>Mpiima</w:t>
      </w:r>
      <w:proofErr w:type="spellEnd"/>
      <w:r w:rsidRPr="00971E8D">
        <w:rPr>
          <w:rFonts w:eastAsia="Calibri" w:cs="Times New Roman"/>
          <w:bCs/>
          <w:szCs w:val="24"/>
          <w:lang w:val="en-US"/>
        </w:rPr>
        <w:t xml:space="preserve"> Kibirango, PhD</w:t>
      </w:r>
    </w:p>
    <w:p w14:paraId="0BD166EB" w14:textId="77777777" w:rsidR="00435A08" w:rsidRPr="00971E8D" w:rsidRDefault="00435A08" w:rsidP="00435A08">
      <w:pPr>
        <w:spacing w:after="0"/>
        <w:ind w:left="720"/>
        <w:rPr>
          <w:rFonts w:eastAsia="Calibri" w:cs="Times New Roman"/>
          <w:bCs/>
          <w:szCs w:val="24"/>
          <w:lang w:val="en-US"/>
        </w:rPr>
      </w:pPr>
      <w:r w:rsidRPr="00971E8D">
        <w:rPr>
          <w:rFonts w:eastAsia="Calibri" w:cs="Times New Roman"/>
          <w:bCs/>
          <w:szCs w:val="24"/>
          <w:lang w:val="en-US"/>
        </w:rPr>
        <w:t xml:space="preserve">     Director of Graduate Studies and Research</w:t>
      </w:r>
    </w:p>
    <w:p w14:paraId="7B6608E1" w14:textId="77777777" w:rsidR="00435A08" w:rsidRPr="00971E8D" w:rsidRDefault="00435A08" w:rsidP="00435A08">
      <w:pPr>
        <w:spacing w:after="0" w:line="240" w:lineRule="auto"/>
        <w:ind w:left="2160"/>
        <w:rPr>
          <w:rFonts w:eastAsia="Calibri" w:cs="Times New Roman"/>
          <w:bCs/>
          <w:szCs w:val="24"/>
          <w:lang w:val="en-US"/>
        </w:rPr>
      </w:pPr>
      <w:r w:rsidRPr="00971E8D">
        <w:rPr>
          <w:rFonts w:eastAsia="Calibri" w:cs="Times New Roman"/>
          <w:bCs/>
          <w:szCs w:val="24"/>
          <w:lang w:val="en-US"/>
        </w:rPr>
        <w:t>_______________</w:t>
      </w:r>
    </w:p>
    <w:p w14:paraId="146F92D5" w14:textId="77777777" w:rsidR="00435A08" w:rsidRDefault="00435A08" w:rsidP="00435A08">
      <w:pPr>
        <w:spacing w:after="0"/>
        <w:ind w:left="2880"/>
        <w:rPr>
          <w:rFonts w:eastAsia="Calibri" w:cs="Times New Roman"/>
          <w:bCs/>
          <w:szCs w:val="24"/>
          <w:lang w:val="en-US"/>
        </w:rPr>
      </w:pPr>
      <w:r w:rsidRPr="00971E8D">
        <w:rPr>
          <w:rFonts w:eastAsia="Calibri" w:cs="Times New Roman"/>
          <w:bCs/>
          <w:szCs w:val="24"/>
          <w:lang w:val="en-US"/>
        </w:rPr>
        <w:t>Date</w:t>
      </w:r>
    </w:p>
    <w:p w14:paraId="1760A8DC" w14:textId="77777777" w:rsidR="00435A08" w:rsidRPr="00971E8D" w:rsidRDefault="00435A08" w:rsidP="00435A08">
      <w:pPr>
        <w:pStyle w:val="Heading1"/>
        <w:rPr>
          <w:rFonts w:eastAsia="Calibri" w:cs="Times New Roman"/>
        </w:rPr>
      </w:pPr>
      <w:bookmarkStart w:id="5" w:name="_Toc78213194"/>
      <w:r w:rsidRPr="00971E8D">
        <w:rPr>
          <w:rFonts w:eastAsia="Calibri" w:cs="Times New Roman"/>
        </w:rPr>
        <w:lastRenderedPageBreak/>
        <w:t>DECLARATION BY THE CANDIDATE</w:t>
      </w:r>
      <w:bookmarkEnd w:id="5"/>
    </w:p>
    <w:p w14:paraId="723AAB3A" w14:textId="77777777" w:rsidR="00435A08" w:rsidRPr="00971E8D" w:rsidRDefault="00435A08" w:rsidP="00435A08">
      <w:pPr>
        <w:rPr>
          <w:rFonts w:cs="Times New Roman"/>
          <w:lang w:val="en-US"/>
        </w:rPr>
      </w:pPr>
    </w:p>
    <w:p w14:paraId="4FC7CFD3" w14:textId="77777777" w:rsidR="00435A08" w:rsidRPr="00971E8D" w:rsidRDefault="00435A08" w:rsidP="00435A08">
      <w:pPr>
        <w:spacing w:after="0"/>
        <w:rPr>
          <w:rFonts w:eastAsia="Calibri" w:cs="Times New Roman"/>
          <w:szCs w:val="32"/>
          <w:lang w:val="en-US"/>
        </w:rPr>
      </w:pPr>
      <w:r w:rsidRPr="00971E8D">
        <w:rPr>
          <w:rFonts w:eastAsia="Calibri" w:cs="Times New Roman"/>
          <w:szCs w:val="32"/>
          <w:lang w:val="en-US"/>
        </w:rPr>
        <w:t>This thesis is my original work and to the best of my knowledge, this work has not been published and/or presented to any University for an award of a degree.</w:t>
      </w:r>
    </w:p>
    <w:p w14:paraId="3F7C9FF4" w14:textId="77777777" w:rsidR="00435A08" w:rsidRPr="00971E8D" w:rsidRDefault="00435A08" w:rsidP="00435A08">
      <w:pPr>
        <w:spacing w:after="0"/>
        <w:rPr>
          <w:rFonts w:eastAsia="Calibri" w:cs="Times New Roman"/>
          <w:szCs w:val="32"/>
          <w:lang w:val="en-US"/>
        </w:rPr>
      </w:pPr>
    </w:p>
    <w:p w14:paraId="2B11265D" w14:textId="77777777" w:rsidR="00435A08" w:rsidRPr="00971E8D" w:rsidRDefault="00435A08" w:rsidP="00435A08">
      <w:pPr>
        <w:spacing w:after="0"/>
        <w:rPr>
          <w:rFonts w:eastAsia="Calibri" w:cs="Times New Roman"/>
          <w:szCs w:val="32"/>
          <w:lang w:val="en-US"/>
        </w:rPr>
      </w:pPr>
    </w:p>
    <w:p w14:paraId="4BF985A4" w14:textId="77777777" w:rsidR="00435A08" w:rsidRPr="00971E8D" w:rsidRDefault="00435A08" w:rsidP="00435A08">
      <w:pPr>
        <w:spacing w:after="0"/>
        <w:rPr>
          <w:rFonts w:eastAsia="Calibri" w:cs="Times New Roman"/>
          <w:szCs w:val="32"/>
          <w:lang w:val="en-US"/>
        </w:rPr>
      </w:pPr>
    </w:p>
    <w:p w14:paraId="3E88C5D6" w14:textId="77777777" w:rsidR="00435A08" w:rsidRPr="00971E8D" w:rsidRDefault="00435A08" w:rsidP="00435A08">
      <w:pPr>
        <w:spacing w:after="0"/>
        <w:rPr>
          <w:rFonts w:eastAsia="Calibri" w:cs="Times New Roman"/>
          <w:szCs w:val="32"/>
          <w:lang w:val="en-US"/>
        </w:rPr>
      </w:pPr>
    </w:p>
    <w:p w14:paraId="201A73BE" w14:textId="77777777" w:rsidR="00435A08" w:rsidRPr="00971E8D" w:rsidRDefault="00435A08" w:rsidP="00435A08">
      <w:pPr>
        <w:spacing w:after="0" w:line="240" w:lineRule="auto"/>
        <w:rPr>
          <w:rFonts w:eastAsia="Calibri" w:cs="Times New Roman"/>
          <w:szCs w:val="32"/>
          <w:lang w:val="en-US"/>
        </w:rPr>
      </w:pPr>
      <w:r w:rsidRPr="00971E8D">
        <w:rPr>
          <w:rFonts w:eastAsia="Calibri" w:cs="Times New Roman"/>
          <w:szCs w:val="32"/>
          <w:lang w:val="en-US"/>
        </w:rPr>
        <w:t>_________________________                                                   ______________</w:t>
      </w:r>
      <w:r w:rsidRPr="00971E8D">
        <w:rPr>
          <w:rFonts w:eastAsia="Calibri" w:cs="Times New Roman"/>
          <w:szCs w:val="32"/>
          <w:lang w:val="en-US"/>
        </w:rPr>
        <w:br/>
      </w:r>
      <w:r>
        <w:rPr>
          <w:rFonts w:eastAsia="Calibri" w:cs="Times New Roman"/>
          <w:szCs w:val="32"/>
          <w:lang w:val="en-US"/>
        </w:rPr>
        <w:t xml:space="preserve">Fred, </w:t>
      </w:r>
      <w:proofErr w:type="spellStart"/>
      <w:r>
        <w:rPr>
          <w:rFonts w:eastAsia="Calibri" w:cs="Times New Roman"/>
          <w:szCs w:val="32"/>
          <w:lang w:val="en-US"/>
        </w:rPr>
        <w:t>Mobegi</w:t>
      </w:r>
      <w:proofErr w:type="spellEnd"/>
      <w:r>
        <w:rPr>
          <w:rFonts w:eastAsia="Calibri" w:cs="Times New Roman"/>
          <w:szCs w:val="32"/>
          <w:lang w:val="en-US"/>
        </w:rPr>
        <w:t xml:space="preserve"> </w:t>
      </w:r>
      <w:proofErr w:type="spellStart"/>
      <w:r>
        <w:rPr>
          <w:rFonts w:eastAsia="Calibri" w:cs="Times New Roman"/>
          <w:szCs w:val="32"/>
          <w:lang w:val="en-US"/>
        </w:rPr>
        <w:t>Morara</w:t>
      </w:r>
      <w:proofErr w:type="spellEnd"/>
      <w:r w:rsidRPr="00971E8D">
        <w:rPr>
          <w:rFonts w:eastAsia="Calibri" w:cs="Times New Roman"/>
          <w:szCs w:val="32"/>
          <w:lang w:val="en-US"/>
        </w:rPr>
        <w:t xml:space="preserve">                                                                              Date</w:t>
      </w:r>
    </w:p>
    <w:p w14:paraId="31D70110" w14:textId="77777777" w:rsidR="00435A08" w:rsidRPr="00971E8D" w:rsidRDefault="00435A08" w:rsidP="00435A08">
      <w:pPr>
        <w:spacing w:after="0"/>
        <w:rPr>
          <w:rFonts w:eastAsia="Calibri" w:cs="Times New Roman"/>
          <w:szCs w:val="32"/>
          <w:lang w:val="en-US"/>
        </w:rPr>
      </w:pPr>
    </w:p>
    <w:p w14:paraId="20508FC4" w14:textId="77777777" w:rsidR="00435A08" w:rsidRPr="00971E8D" w:rsidRDefault="00435A08" w:rsidP="00435A08">
      <w:pPr>
        <w:spacing w:after="0"/>
        <w:rPr>
          <w:rFonts w:eastAsia="Calibri" w:cs="Times New Roman"/>
          <w:szCs w:val="32"/>
          <w:lang w:val="en-US"/>
        </w:rPr>
      </w:pPr>
    </w:p>
    <w:p w14:paraId="4DA81A95" w14:textId="77777777" w:rsidR="00435A08" w:rsidRPr="00971E8D" w:rsidRDefault="00435A08" w:rsidP="00435A08">
      <w:pPr>
        <w:spacing w:after="0"/>
        <w:rPr>
          <w:rFonts w:eastAsia="Calibri" w:cs="Times New Roman"/>
          <w:szCs w:val="32"/>
          <w:lang w:val="en-US"/>
        </w:rPr>
      </w:pPr>
    </w:p>
    <w:p w14:paraId="4510B1CD" w14:textId="77777777" w:rsidR="00435A08" w:rsidRPr="00971E8D" w:rsidRDefault="00435A08" w:rsidP="00435A08">
      <w:pPr>
        <w:spacing w:after="0"/>
        <w:rPr>
          <w:rFonts w:eastAsia="Calibri" w:cs="Times New Roman"/>
          <w:szCs w:val="32"/>
          <w:lang w:val="en-US"/>
        </w:rPr>
      </w:pPr>
    </w:p>
    <w:p w14:paraId="2C81DFFD" w14:textId="77777777" w:rsidR="00435A08" w:rsidRPr="00971E8D" w:rsidRDefault="00435A08" w:rsidP="00435A08">
      <w:pPr>
        <w:spacing w:after="0"/>
        <w:rPr>
          <w:rFonts w:eastAsia="Calibri" w:cs="Times New Roman"/>
          <w:szCs w:val="32"/>
          <w:lang w:val="en-US"/>
        </w:rPr>
      </w:pPr>
    </w:p>
    <w:p w14:paraId="0D7AB093" w14:textId="77777777" w:rsidR="00435A08" w:rsidRPr="00971E8D" w:rsidRDefault="00435A08" w:rsidP="00435A08">
      <w:pPr>
        <w:spacing w:after="0"/>
        <w:rPr>
          <w:rFonts w:eastAsia="Calibri" w:cs="Times New Roman"/>
          <w:szCs w:val="32"/>
          <w:lang w:val="en-US"/>
        </w:rPr>
      </w:pPr>
    </w:p>
    <w:p w14:paraId="36D4ABB4" w14:textId="77777777" w:rsidR="00435A08" w:rsidRPr="00971E8D" w:rsidRDefault="00435A08" w:rsidP="00435A08">
      <w:pPr>
        <w:spacing w:after="0"/>
        <w:rPr>
          <w:rFonts w:eastAsia="Calibri" w:cs="Times New Roman"/>
          <w:szCs w:val="32"/>
          <w:lang w:val="en-US"/>
        </w:rPr>
      </w:pPr>
    </w:p>
    <w:p w14:paraId="17CBE9FE" w14:textId="77777777" w:rsidR="00435A08" w:rsidRPr="00971E8D" w:rsidRDefault="00435A08" w:rsidP="00435A08">
      <w:pPr>
        <w:spacing w:after="0"/>
        <w:rPr>
          <w:rFonts w:eastAsia="Calibri" w:cs="Times New Roman"/>
          <w:szCs w:val="32"/>
          <w:lang w:val="en-US"/>
        </w:rPr>
      </w:pPr>
    </w:p>
    <w:p w14:paraId="04DC6156" w14:textId="77777777" w:rsidR="00435A08" w:rsidRPr="00971E8D" w:rsidRDefault="00435A08" w:rsidP="00435A08">
      <w:pPr>
        <w:spacing w:after="0"/>
        <w:rPr>
          <w:rFonts w:eastAsia="Calibri" w:cs="Times New Roman"/>
          <w:szCs w:val="32"/>
          <w:lang w:val="en-US"/>
        </w:rPr>
      </w:pPr>
    </w:p>
    <w:p w14:paraId="158ECC3A" w14:textId="77777777" w:rsidR="00435A08" w:rsidRPr="00971E8D" w:rsidRDefault="00435A08" w:rsidP="00435A08">
      <w:pPr>
        <w:spacing w:after="0"/>
        <w:rPr>
          <w:rFonts w:eastAsia="Calibri" w:cs="Times New Roman"/>
          <w:szCs w:val="32"/>
          <w:lang w:val="en-US"/>
        </w:rPr>
      </w:pPr>
    </w:p>
    <w:p w14:paraId="223D9873" w14:textId="77777777" w:rsidR="00435A08" w:rsidRPr="00971E8D" w:rsidRDefault="00435A08" w:rsidP="00435A08">
      <w:pPr>
        <w:spacing w:after="0"/>
        <w:rPr>
          <w:rFonts w:eastAsia="Calibri" w:cs="Times New Roman"/>
          <w:szCs w:val="32"/>
          <w:lang w:val="en-US"/>
        </w:rPr>
      </w:pPr>
    </w:p>
    <w:p w14:paraId="300E4347" w14:textId="77777777" w:rsidR="00435A08" w:rsidRPr="00971E8D" w:rsidRDefault="00435A08" w:rsidP="00435A08">
      <w:pPr>
        <w:spacing w:after="0"/>
        <w:rPr>
          <w:rFonts w:eastAsia="Calibri" w:cs="Times New Roman"/>
          <w:szCs w:val="32"/>
          <w:lang w:val="en-US"/>
        </w:rPr>
      </w:pPr>
    </w:p>
    <w:p w14:paraId="2E37C9EB" w14:textId="77777777" w:rsidR="00435A08" w:rsidRPr="00971E8D" w:rsidRDefault="00435A08" w:rsidP="00435A08">
      <w:pPr>
        <w:spacing w:after="0"/>
        <w:rPr>
          <w:rFonts w:eastAsia="Calibri" w:cs="Times New Roman"/>
          <w:szCs w:val="32"/>
          <w:lang w:val="en-US"/>
        </w:rPr>
      </w:pPr>
    </w:p>
    <w:p w14:paraId="2D4A0F05" w14:textId="77777777" w:rsidR="00435A08" w:rsidRPr="00C97565" w:rsidRDefault="00435A08" w:rsidP="00435A08">
      <w:pPr>
        <w:spacing w:after="0"/>
        <w:rPr>
          <w:rFonts w:eastAsia="Calibri" w:cs="Times New Roman"/>
          <w:bCs/>
          <w:szCs w:val="24"/>
          <w:lang w:val="en-US"/>
        </w:rPr>
      </w:pPr>
    </w:p>
    <w:p w14:paraId="39B8193A" w14:textId="0D2EF3B5" w:rsidR="007A354C" w:rsidRPr="00AE0B3D" w:rsidRDefault="007A354C" w:rsidP="00435A08">
      <w:pPr>
        <w:pStyle w:val="Heading1"/>
      </w:pPr>
      <w:r w:rsidRPr="00AE0B3D">
        <w:lastRenderedPageBreak/>
        <w:t>ABSTRACT</w:t>
      </w:r>
      <w:bookmarkEnd w:id="2"/>
    </w:p>
    <w:p w14:paraId="66AC8F6C" w14:textId="599012CD" w:rsidR="007A354C" w:rsidRPr="00AE0B3D" w:rsidRDefault="007A354C" w:rsidP="00BD7F46">
      <w:pPr>
        <w:rPr>
          <w:rFonts w:cs="Times New Roman"/>
        </w:rPr>
      </w:pPr>
      <w:r w:rsidRPr="00AE0B3D">
        <w:t xml:space="preserve">The research </w:t>
      </w:r>
      <w:r w:rsidR="001D1FC1" w:rsidRPr="00AE0B3D">
        <w:t>aim</w:t>
      </w:r>
      <w:r w:rsidR="001E3F8B">
        <w:t>ed</w:t>
      </w:r>
      <w:r w:rsidRPr="00AE0B3D">
        <w:t xml:space="preserve"> at evaluating the effect of management remuneration on the financial performance of public listed compan</w:t>
      </w:r>
      <w:r w:rsidR="00520355" w:rsidRPr="00AE0B3D">
        <w:t>ies</w:t>
      </w:r>
      <w:r w:rsidRPr="00AE0B3D">
        <w:t xml:space="preserve"> in the Nairobi Securities Exchange. The research adopted quantitative research method</w:t>
      </w:r>
      <w:r w:rsidR="006E51D0">
        <w:t xml:space="preserve">, and </w:t>
      </w:r>
      <w:r w:rsidRPr="00AE0B3D">
        <w:t xml:space="preserve">secondary data to answer the research questions. The target population of the research study were companies listed in Nairobi securities exchange. </w:t>
      </w:r>
      <w:r w:rsidRPr="00AE0B3D">
        <w:rPr>
          <w:rFonts w:cs="Times New Roman"/>
        </w:rPr>
        <w:t xml:space="preserve">Stratified and </w:t>
      </w:r>
      <w:r w:rsidR="00A12252" w:rsidRPr="00AE0B3D">
        <w:t>criterion sampling</w:t>
      </w:r>
      <w:r w:rsidR="00A12252" w:rsidRPr="00AE0B3D">
        <w:rPr>
          <w:rFonts w:cs="Times New Roman"/>
        </w:rPr>
        <w:t xml:space="preserve"> </w:t>
      </w:r>
      <w:r w:rsidRPr="00AE0B3D">
        <w:rPr>
          <w:rFonts w:cs="Times New Roman"/>
        </w:rPr>
        <w:t xml:space="preserve">were utilised in sampling of </w:t>
      </w:r>
      <w:r w:rsidR="00C25FA2">
        <w:rPr>
          <w:rFonts w:cs="Times New Roman"/>
        </w:rPr>
        <w:t xml:space="preserve">24 </w:t>
      </w:r>
      <w:r w:rsidRPr="00AE0B3D">
        <w:rPr>
          <w:rFonts w:cs="Times New Roman"/>
        </w:rPr>
        <w:t xml:space="preserve">companies that were incorporated in the study. Stratification occurred along the industry category under which the companies were </w:t>
      </w:r>
      <w:r w:rsidR="00DE0CDF" w:rsidRPr="00AE0B3D">
        <w:rPr>
          <w:rFonts w:cs="Times New Roman"/>
        </w:rPr>
        <w:t>listed,</w:t>
      </w:r>
      <w:r w:rsidRPr="00AE0B3D">
        <w:rPr>
          <w:rFonts w:cs="Times New Roman"/>
        </w:rPr>
        <w:t xml:space="preserve"> and </w:t>
      </w:r>
      <w:r w:rsidR="00A12252" w:rsidRPr="00AE0B3D">
        <w:t>criterion sampling</w:t>
      </w:r>
      <w:r w:rsidR="00A12252" w:rsidRPr="00AE0B3D">
        <w:rPr>
          <w:rFonts w:cs="Times New Roman"/>
        </w:rPr>
        <w:t xml:space="preserve"> </w:t>
      </w:r>
      <w:r w:rsidRPr="00AE0B3D">
        <w:rPr>
          <w:rFonts w:cs="Times New Roman"/>
        </w:rPr>
        <w:t>was used to identify company with the required secondary data</w:t>
      </w:r>
      <w:r w:rsidR="005514E1" w:rsidRPr="00AE0B3D">
        <w:rPr>
          <w:rFonts w:cs="Times New Roman"/>
        </w:rPr>
        <w:t xml:space="preserve"> that met criteria of selection</w:t>
      </w:r>
      <w:r w:rsidRPr="00AE0B3D">
        <w:rPr>
          <w:rFonts w:cs="Times New Roman"/>
        </w:rPr>
        <w:t xml:space="preserve">. The secondary data was collected from the companies’ websites and annual financial reports </w:t>
      </w:r>
      <w:r w:rsidR="00E759A3" w:rsidRPr="00AE0B3D">
        <w:rPr>
          <w:rFonts w:cs="Times New Roman"/>
        </w:rPr>
        <w:t>of between</w:t>
      </w:r>
      <w:r w:rsidRPr="00AE0B3D">
        <w:rPr>
          <w:rFonts w:cs="Times New Roman"/>
        </w:rPr>
        <w:t xml:space="preserve"> 2016 and 2018. </w:t>
      </w:r>
      <w:r w:rsidR="00AC65DF">
        <w:rPr>
          <w:rFonts w:cs="Times New Roman"/>
        </w:rPr>
        <w:t>Data on m</w:t>
      </w:r>
      <w:r w:rsidRPr="00AE0B3D">
        <w:rPr>
          <w:rFonts w:cs="Times New Roman"/>
        </w:rPr>
        <w:t>anagement remuneration measured through salary, benefits, bonus</w:t>
      </w:r>
      <w:r w:rsidR="00C25FA2">
        <w:rPr>
          <w:rFonts w:cs="Times New Roman"/>
        </w:rPr>
        <w:t>, shares</w:t>
      </w:r>
      <w:r w:rsidRPr="00AE0B3D">
        <w:rPr>
          <w:rFonts w:cs="Times New Roman"/>
        </w:rPr>
        <w:t xml:space="preserve"> and </w:t>
      </w:r>
      <w:r w:rsidR="00C27A8B">
        <w:rPr>
          <w:rFonts w:cs="Times New Roman"/>
        </w:rPr>
        <w:t xml:space="preserve">allowances </w:t>
      </w:r>
      <w:r w:rsidR="00AC65DF">
        <w:rPr>
          <w:rFonts w:cs="Times New Roman"/>
        </w:rPr>
        <w:t>as</w:t>
      </w:r>
      <w:r w:rsidR="00AC65DF" w:rsidRPr="00AE0B3D">
        <w:rPr>
          <w:rFonts w:cs="Times New Roman"/>
        </w:rPr>
        <w:t xml:space="preserve"> </w:t>
      </w:r>
      <w:r w:rsidRPr="00AE0B3D">
        <w:rPr>
          <w:rFonts w:cs="Times New Roman"/>
        </w:rPr>
        <w:t>the independent variable</w:t>
      </w:r>
      <w:r w:rsidR="00AC65DF">
        <w:rPr>
          <w:rFonts w:cs="Times New Roman"/>
        </w:rPr>
        <w:t xml:space="preserve">, and </w:t>
      </w:r>
      <w:r w:rsidRPr="00AE0B3D">
        <w:rPr>
          <w:rFonts w:cs="Times New Roman"/>
        </w:rPr>
        <w:t xml:space="preserve">financial performance measured as </w:t>
      </w:r>
      <w:r w:rsidR="00B8771A">
        <w:rPr>
          <w:rFonts w:cs="Times New Roman"/>
        </w:rPr>
        <w:t>ROA</w:t>
      </w:r>
      <w:r w:rsidRPr="00AE0B3D">
        <w:rPr>
          <w:rFonts w:cs="Times New Roman"/>
        </w:rPr>
        <w:t xml:space="preserve"> and ROE </w:t>
      </w:r>
      <w:r w:rsidR="00AC65DF">
        <w:rPr>
          <w:rFonts w:cs="Times New Roman"/>
        </w:rPr>
        <w:t>as</w:t>
      </w:r>
      <w:r w:rsidR="00AC65DF" w:rsidRPr="00AE0B3D">
        <w:rPr>
          <w:rFonts w:cs="Times New Roman"/>
        </w:rPr>
        <w:t xml:space="preserve"> </w:t>
      </w:r>
      <w:r w:rsidRPr="00AE0B3D">
        <w:rPr>
          <w:rFonts w:cs="Times New Roman"/>
        </w:rPr>
        <w:t>the dependent variable were collected. The data was analysed using Stata statistical software. The data was exposed to both descriptive and inferential analysis</w:t>
      </w:r>
      <w:r w:rsidR="001C2412">
        <w:rPr>
          <w:rFonts w:cs="Times New Roman"/>
        </w:rPr>
        <w:t xml:space="preserve"> (</w:t>
      </w:r>
      <w:r w:rsidR="00840E0F">
        <w:rPr>
          <w:rFonts w:cs="Times New Roman"/>
        </w:rPr>
        <w:t xml:space="preserve">Spearman </w:t>
      </w:r>
      <w:r w:rsidRPr="00AE0B3D">
        <w:rPr>
          <w:rFonts w:cs="Times New Roman"/>
        </w:rPr>
        <w:t>correlation analysis</w:t>
      </w:r>
      <w:r w:rsidR="001C2412">
        <w:rPr>
          <w:rFonts w:cs="Times New Roman"/>
        </w:rPr>
        <w:t>)</w:t>
      </w:r>
      <w:r w:rsidRPr="00AE0B3D">
        <w:rPr>
          <w:rFonts w:cs="Times New Roman"/>
        </w:rPr>
        <w:t>. From the analysis, the financial performance (</w:t>
      </w:r>
      <w:r w:rsidR="004C2B0E">
        <w:rPr>
          <w:rFonts w:cs="Times New Roman"/>
        </w:rPr>
        <w:t>ROA</w:t>
      </w:r>
      <w:r w:rsidRPr="00AE0B3D">
        <w:rPr>
          <w:rFonts w:cs="Times New Roman"/>
        </w:rPr>
        <w:t xml:space="preserve"> and ROE) </w:t>
      </w:r>
      <w:r w:rsidR="001C2412" w:rsidRPr="00AE0B3D">
        <w:rPr>
          <w:rFonts w:cs="Times New Roman"/>
        </w:rPr>
        <w:t>w</w:t>
      </w:r>
      <w:r w:rsidR="001C2412">
        <w:rPr>
          <w:rFonts w:cs="Times New Roman"/>
        </w:rPr>
        <w:t>as</w:t>
      </w:r>
      <w:r w:rsidR="001C2412" w:rsidRPr="00AE0B3D">
        <w:rPr>
          <w:rFonts w:cs="Times New Roman"/>
        </w:rPr>
        <w:t xml:space="preserve"> </w:t>
      </w:r>
      <w:r w:rsidRPr="00AE0B3D">
        <w:rPr>
          <w:rFonts w:cs="Times New Roman"/>
        </w:rPr>
        <w:t>found to differ from company to company</w:t>
      </w:r>
      <w:r w:rsidR="001847CA">
        <w:rPr>
          <w:rFonts w:cs="Times New Roman"/>
        </w:rPr>
        <w:t xml:space="preserve"> in the three years evaluated</w:t>
      </w:r>
      <w:r w:rsidRPr="00AE0B3D">
        <w:rPr>
          <w:rFonts w:cs="Times New Roman"/>
        </w:rPr>
        <w:t xml:space="preserve">. </w:t>
      </w:r>
      <w:r w:rsidR="006E2E7A">
        <w:rPr>
          <w:rFonts w:cs="Times New Roman"/>
        </w:rPr>
        <w:t xml:space="preserve">In the three years, average </w:t>
      </w:r>
      <w:r w:rsidR="002C1D51">
        <w:rPr>
          <w:rFonts w:cs="Times New Roman"/>
        </w:rPr>
        <w:t xml:space="preserve">annual </w:t>
      </w:r>
      <w:r w:rsidR="006E2E7A">
        <w:rPr>
          <w:rFonts w:cs="Times New Roman"/>
        </w:rPr>
        <w:t>ROA and ROE</w:t>
      </w:r>
      <w:r w:rsidR="00976411">
        <w:rPr>
          <w:rFonts w:cs="Times New Roman"/>
        </w:rPr>
        <w:t xml:space="preserve"> </w:t>
      </w:r>
      <w:r w:rsidR="002C1D51">
        <w:rPr>
          <w:rFonts w:cs="Times New Roman"/>
        </w:rPr>
        <w:t xml:space="preserve">decreased from 3.5 and 0.113 to </w:t>
      </w:r>
      <w:r w:rsidR="0022534E">
        <w:rPr>
          <w:rFonts w:cs="Times New Roman"/>
        </w:rPr>
        <w:t xml:space="preserve">3.1 and 0.068 respectively. </w:t>
      </w:r>
      <w:r w:rsidRPr="00AE0B3D">
        <w:rPr>
          <w:rFonts w:cs="Times New Roman"/>
        </w:rPr>
        <w:t xml:space="preserve">Management remuneration </w:t>
      </w:r>
      <w:r w:rsidR="00515078">
        <w:rPr>
          <w:rFonts w:cs="Times New Roman"/>
        </w:rPr>
        <w:t xml:space="preserve">measures </w:t>
      </w:r>
      <w:r w:rsidRPr="00AE0B3D">
        <w:rPr>
          <w:rFonts w:cs="Times New Roman"/>
        </w:rPr>
        <w:t>also differed from company to company with salary</w:t>
      </w:r>
      <w:r w:rsidR="001847CA">
        <w:rPr>
          <w:rFonts w:cs="Times New Roman"/>
        </w:rPr>
        <w:t xml:space="preserve"> (all companies)</w:t>
      </w:r>
      <w:r w:rsidRPr="00AE0B3D">
        <w:rPr>
          <w:rFonts w:cs="Times New Roman"/>
        </w:rPr>
        <w:t xml:space="preserve"> and benefits</w:t>
      </w:r>
      <w:r w:rsidR="001847CA">
        <w:rPr>
          <w:rFonts w:cs="Times New Roman"/>
        </w:rPr>
        <w:t xml:space="preserve"> (83.3%)</w:t>
      </w:r>
      <w:r w:rsidRPr="00AE0B3D">
        <w:rPr>
          <w:rFonts w:cs="Times New Roman"/>
        </w:rPr>
        <w:t xml:space="preserve"> being the most utilised. </w:t>
      </w:r>
      <w:r w:rsidR="003158BA">
        <w:rPr>
          <w:rFonts w:cs="Times New Roman"/>
        </w:rPr>
        <w:t>Bonus was the only m</w:t>
      </w:r>
      <w:r w:rsidRPr="00AE0B3D">
        <w:rPr>
          <w:rFonts w:cs="Times New Roman"/>
        </w:rPr>
        <w:t>anagement remuneration</w:t>
      </w:r>
      <w:r w:rsidR="003158BA">
        <w:rPr>
          <w:rFonts w:cs="Times New Roman"/>
        </w:rPr>
        <w:t xml:space="preserve"> strategy that significantly correlated with ROE (r value=</w:t>
      </w:r>
      <w:r w:rsidRPr="00AE0B3D">
        <w:rPr>
          <w:rFonts w:cs="Times New Roman"/>
        </w:rPr>
        <w:t xml:space="preserve"> </w:t>
      </w:r>
      <w:r w:rsidR="003158BA">
        <w:rPr>
          <w:rFonts w:cs="Times New Roman"/>
        </w:rPr>
        <w:t>0.4737) and ROA (r value= 0.3941)</w:t>
      </w:r>
      <w:r w:rsidRPr="00AE0B3D">
        <w:rPr>
          <w:rFonts w:cs="Times New Roman"/>
        </w:rPr>
        <w:t xml:space="preserve">. </w:t>
      </w:r>
      <w:r w:rsidR="00EA6FFB">
        <w:rPr>
          <w:rFonts w:cs="Times New Roman"/>
        </w:rPr>
        <w:t>Bonus</w:t>
      </w:r>
      <w:r w:rsidR="003753B3">
        <w:rPr>
          <w:rFonts w:cs="Times New Roman"/>
        </w:rPr>
        <w:t xml:space="preserve"> </w:t>
      </w:r>
      <w:r w:rsidRPr="00AE0B3D">
        <w:rPr>
          <w:rFonts w:cs="Times New Roman"/>
        </w:rPr>
        <w:t>w</w:t>
      </w:r>
      <w:r w:rsidR="00515078">
        <w:rPr>
          <w:rFonts w:cs="Times New Roman"/>
        </w:rPr>
        <w:t>as</w:t>
      </w:r>
      <w:r w:rsidRPr="00AE0B3D">
        <w:rPr>
          <w:rFonts w:cs="Times New Roman"/>
        </w:rPr>
        <w:t xml:space="preserve"> identified as the best predictor of financial performance of the organisation</w:t>
      </w:r>
      <w:r w:rsidR="00AE5E3D">
        <w:rPr>
          <w:rFonts w:cs="Times New Roman"/>
        </w:rPr>
        <w:t>s listed in NSE</w:t>
      </w:r>
      <w:r w:rsidRPr="00AE0B3D">
        <w:rPr>
          <w:rFonts w:cs="Times New Roman"/>
        </w:rPr>
        <w:t xml:space="preserve">. It is thus </w:t>
      </w:r>
      <w:r w:rsidRPr="00AE0B3D">
        <w:rPr>
          <w:rFonts w:cs="Times New Roman"/>
        </w:rPr>
        <w:lastRenderedPageBreak/>
        <w:t>recommended that organisation</w:t>
      </w:r>
      <w:r w:rsidR="00AE5E3D">
        <w:rPr>
          <w:rFonts w:cs="Times New Roman"/>
        </w:rPr>
        <w:t>s</w:t>
      </w:r>
      <w:r w:rsidRPr="00AE0B3D">
        <w:rPr>
          <w:rFonts w:cs="Times New Roman"/>
        </w:rPr>
        <w:t xml:space="preserve"> to leverage </w:t>
      </w:r>
      <w:r w:rsidR="00AE5E3D">
        <w:rPr>
          <w:rFonts w:cs="Times New Roman"/>
        </w:rPr>
        <w:t>bonus</w:t>
      </w:r>
      <w:r w:rsidR="00EB1A6C" w:rsidRPr="00AE0B3D">
        <w:rPr>
          <w:rFonts w:cs="Times New Roman"/>
        </w:rPr>
        <w:t xml:space="preserve"> </w:t>
      </w:r>
      <w:r w:rsidRPr="00AE0B3D">
        <w:rPr>
          <w:rFonts w:cs="Times New Roman"/>
        </w:rPr>
        <w:t xml:space="preserve">to improve overall financial performance. </w:t>
      </w:r>
    </w:p>
    <w:p w14:paraId="791BC742" w14:textId="77777777" w:rsidR="007A354C" w:rsidRPr="00AE0B3D" w:rsidRDefault="007A354C">
      <w:pPr>
        <w:spacing w:line="259" w:lineRule="auto"/>
        <w:ind w:firstLine="0"/>
        <w:jc w:val="left"/>
      </w:pPr>
      <w:r w:rsidRPr="00AE0B3D">
        <w:br w:type="page"/>
      </w:r>
    </w:p>
    <w:p w14:paraId="563F61D9" w14:textId="51064898" w:rsidR="00AB732C" w:rsidRPr="00AE0B3D" w:rsidRDefault="0034404E" w:rsidP="00CD3B1B">
      <w:pPr>
        <w:pStyle w:val="Heading1"/>
      </w:pPr>
      <w:bookmarkStart w:id="6" w:name="_Toc78067489"/>
      <w:r w:rsidRPr="00AE0B3D">
        <w:lastRenderedPageBreak/>
        <w:t>ACKNOWLEDGEMENT</w:t>
      </w:r>
      <w:bookmarkEnd w:id="6"/>
    </w:p>
    <w:p w14:paraId="37749683" w14:textId="583E3617" w:rsidR="005C282C" w:rsidRPr="00AE0B3D" w:rsidRDefault="00A57199" w:rsidP="001A50EC">
      <w:pPr>
        <w:ind w:left="720" w:firstLine="630"/>
      </w:pPr>
      <w:r w:rsidRPr="00AE0B3D">
        <w:t>This project would not have been possible without the support of many people</w:t>
      </w:r>
      <w:r w:rsidR="0051542A" w:rsidRPr="00AE0B3D">
        <w:t xml:space="preserve"> and organisations</w:t>
      </w:r>
      <w:r w:rsidRPr="00AE0B3D">
        <w:t>.</w:t>
      </w:r>
      <w:r w:rsidR="00AB732C" w:rsidRPr="00AE0B3D">
        <w:t xml:space="preserve"> Many </w:t>
      </w:r>
      <w:r w:rsidRPr="00AE0B3D">
        <w:t>thanks to my superv</w:t>
      </w:r>
      <w:r w:rsidR="00AB732C" w:rsidRPr="00AE0B3D">
        <w:t xml:space="preserve">isors </w:t>
      </w:r>
      <w:r w:rsidR="008F7818" w:rsidRPr="00AE0B3D">
        <w:t>D</w:t>
      </w:r>
      <w:r w:rsidR="008F7818">
        <w:t>r</w:t>
      </w:r>
      <w:r w:rsidRPr="00AE0B3D">
        <w:t xml:space="preserve"> Jac</w:t>
      </w:r>
      <w:r w:rsidR="00AB732C" w:rsidRPr="00AE0B3D">
        <w:t xml:space="preserve">kson </w:t>
      </w:r>
      <w:proofErr w:type="spellStart"/>
      <w:r w:rsidR="00AB732C" w:rsidRPr="00AE0B3D">
        <w:t>Ong’eta</w:t>
      </w:r>
      <w:proofErr w:type="spellEnd"/>
      <w:r w:rsidR="00AB732C" w:rsidRPr="00AE0B3D">
        <w:t xml:space="preserve"> </w:t>
      </w:r>
      <w:proofErr w:type="spellStart"/>
      <w:r w:rsidR="00AB732C" w:rsidRPr="00AE0B3D">
        <w:t>Oyaro</w:t>
      </w:r>
      <w:proofErr w:type="spellEnd"/>
      <w:r w:rsidR="00AB732C" w:rsidRPr="00AE0B3D">
        <w:t xml:space="preserve"> and </w:t>
      </w:r>
      <w:r w:rsidR="00CB25B9">
        <w:t>D</w:t>
      </w:r>
      <w:r w:rsidR="008F7818">
        <w:t>r</w:t>
      </w:r>
      <w:r w:rsidR="00CB25B9">
        <w:t xml:space="preserve"> Meshack Misoi</w:t>
      </w:r>
      <w:r w:rsidRPr="00AE0B3D">
        <w:t xml:space="preserve"> who read the numerous revisions and helped to correct many mistakes and omission. Thanks to my wife and my entire family for their patience when I </w:t>
      </w:r>
      <w:r w:rsidR="00AB732C" w:rsidRPr="00AE0B3D">
        <w:t>was</w:t>
      </w:r>
      <w:r w:rsidRPr="00AE0B3D">
        <w:t xml:space="preserve"> away so many times </w:t>
      </w:r>
      <w:r w:rsidR="00AB732C" w:rsidRPr="00AE0B3D">
        <w:t xml:space="preserve">and long hours </w:t>
      </w:r>
      <w:r w:rsidR="001A50EC" w:rsidRPr="00AE0B3D">
        <w:t>to</w:t>
      </w:r>
      <w:r w:rsidRPr="00AE0B3D">
        <w:t xml:space="preserve"> accomplish this project and </w:t>
      </w:r>
      <w:r w:rsidR="00AB732C" w:rsidRPr="00AE0B3D">
        <w:t xml:space="preserve">also </w:t>
      </w:r>
      <w:r w:rsidRPr="00AE0B3D">
        <w:t>for their support always and love.</w:t>
      </w:r>
      <w:r w:rsidR="001A50EC" w:rsidRPr="00AE0B3D">
        <w:t xml:space="preserve"> </w:t>
      </w:r>
      <w:r w:rsidR="008F1D94" w:rsidRPr="00AE0B3D">
        <w:t xml:space="preserve">I </w:t>
      </w:r>
      <w:r w:rsidR="00813090" w:rsidRPr="00AE0B3D">
        <w:t xml:space="preserve">also thank my brother </w:t>
      </w:r>
      <w:r w:rsidR="008F7818" w:rsidRPr="00AE0B3D">
        <w:t>Dr</w:t>
      </w:r>
      <w:r w:rsidR="00813090" w:rsidRPr="00AE0B3D">
        <w:t xml:space="preserve"> V</w:t>
      </w:r>
      <w:r w:rsidR="008F1D94" w:rsidRPr="00AE0B3D">
        <w:t xml:space="preserve">ictor </w:t>
      </w:r>
      <w:proofErr w:type="spellStart"/>
      <w:r w:rsidR="008F1D94" w:rsidRPr="00AE0B3D">
        <w:t>Mobegi</w:t>
      </w:r>
      <w:proofErr w:type="spellEnd"/>
      <w:r w:rsidR="008F1D94" w:rsidRPr="00AE0B3D">
        <w:t xml:space="preserve"> for the many words of encouragement and guidance when the journey seemed turbulent</w:t>
      </w:r>
      <w:r w:rsidR="00314B53" w:rsidRPr="00AE0B3D">
        <w:t xml:space="preserve">. </w:t>
      </w:r>
      <w:r w:rsidR="00CD3B1B" w:rsidRPr="00AE0B3D">
        <w:t>Special</w:t>
      </w:r>
      <w:r w:rsidR="00E31E6D" w:rsidRPr="00AE0B3D">
        <w:t xml:space="preserve"> thanks to</w:t>
      </w:r>
      <w:r w:rsidR="001A50EC" w:rsidRPr="00AE0B3D">
        <w:t xml:space="preserve"> my colleagues at the</w:t>
      </w:r>
      <w:r w:rsidR="000E1827" w:rsidRPr="00AE0B3D">
        <w:t xml:space="preserve"> University of Eastern Africa, Baraton</w:t>
      </w:r>
      <w:r w:rsidR="002E34E9" w:rsidRPr="00AE0B3D">
        <w:t xml:space="preserve"> </w:t>
      </w:r>
      <w:r w:rsidR="001A50EC" w:rsidRPr="00AE0B3D">
        <w:t>who did not shy away from the many questions and guidance during the entire process of this proposal.</w:t>
      </w:r>
    </w:p>
    <w:p w14:paraId="415C773F" w14:textId="5A6F54FC" w:rsidR="008E472B" w:rsidRPr="00AE0B3D" w:rsidRDefault="00CD3B1B" w:rsidP="001A50EC">
      <w:pPr>
        <w:ind w:left="720" w:firstLine="630"/>
      </w:pPr>
      <w:r w:rsidRPr="00AE0B3D">
        <w:t>Finally,</w:t>
      </w:r>
      <w:r w:rsidR="00E31E6D" w:rsidRPr="00AE0B3D">
        <w:t xml:space="preserve"> </w:t>
      </w:r>
      <w:r w:rsidR="001A1B64" w:rsidRPr="00AE0B3D">
        <w:t xml:space="preserve">I would also like to appreciate NACOSTI for </w:t>
      </w:r>
      <w:r w:rsidR="00F10A3D" w:rsidRPr="00AE0B3D">
        <w:t>approving my research study</w:t>
      </w:r>
      <w:r w:rsidR="008C0C47" w:rsidRPr="00AE0B3D">
        <w:t>, a</w:t>
      </w:r>
      <w:r w:rsidR="00753571" w:rsidRPr="00AE0B3D">
        <w:t>s, well</w:t>
      </w:r>
      <w:r w:rsidR="002E34E9" w:rsidRPr="00AE0B3D">
        <w:t xml:space="preserve"> as the</w:t>
      </w:r>
      <w:r w:rsidR="00F10A3D" w:rsidRPr="00AE0B3D">
        <w:t xml:space="preserve"> University of Eastern Africa, Baraton for giving me the opportunity to undertake</w:t>
      </w:r>
      <w:r w:rsidR="008C0C47" w:rsidRPr="00AE0B3D">
        <w:t xml:space="preserve"> my</w:t>
      </w:r>
      <w:r w:rsidR="00F10A3D" w:rsidRPr="00AE0B3D">
        <w:t xml:space="preserve"> research</w:t>
      </w:r>
      <w:r w:rsidR="00C13DC8" w:rsidRPr="00AE0B3D">
        <w:t xml:space="preserve"> with overwhelming guidance</w:t>
      </w:r>
      <w:r w:rsidR="00F10A3D" w:rsidRPr="00AE0B3D">
        <w:t xml:space="preserve">. </w:t>
      </w:r>
    </w:p>
    <w:p w14:paraId="0EB8930B" w14:textId="77777777" w:rsidR="008E472B" w:rsidRPr="00AE0B3D" w:rsidRDefault="008E472B">
      <w:pPr>
        <w:spacing w:line="259" w:lineRule="auto"/>
        <w:ind w:firstLine="0"/>
        <w:jc w:val="left"/>
      </w:pPr>
      <w:r w:rsidRPr="00AE0B3D">
        <w:br w:type="page"/>
      </w:r>
    </w:p>
    <w:p w14:paraId="508DCC5C" w14:textId="7F1F57FF" w:rsidR="001A1B64" w:rsidRPr="00AE0B3D" w:rsidRDefault="008E472B" w:rsidP="008E472B">
      <w:pPr>
        <w:pStyle w:val="Heading1"/>
      </w:pPr>
      <w:bookmarkStart w:id="7" w:name="_Toc78067490"/>
      <w:r w:rsidRPr="00AE0B3D">
        <w:lastRenderedPageBreak/>
        <w:t>DEDICATION</w:t>
      </w:r>
      <w:bookmarkEnd w:id="7"/>
    </w:p>
    <w:p w14:paraId="707FD9DB" w14:textId="77777777" w:rsidR="008E472B" w:rsidRPr="00AE0B3D" w:rsidRDefault="008E472B" w:rsidP="008E472B"/>
    <w:p w14:paraId="4B7190CD" w14:textId="2C24587C" w:rsidR="005C282C" w:rsidRPr="00AE0B3D" w:rsidRDefault="00C13DC8" w:rsidP="00C13DC8">
      <w:r w:rsidRPr="00AE0B3D">
        <w:t xml:space="preserve">I dedicate this work to my Wife Mary </w:t>
      </w:r>
      <w:proofErr w:type="spellStart"/>
      <w:r w:rsidRPr="00AE0B3D">
        <w:t>Nyang’ara</w:t>
      </w:r>
      <w:proofErr w:type="spellEnd"/>
      <w:r w:rsidRPr="00AE0B3D">
        <w:t xml:space="preserve">, my daughter Wendy </w:t>
      </w:r>
      <w:proofErr w:type="spellStart"/>
      <w:r w:rsidRPr="00AE0B3D">
        <w:t>Kemunto</w:t>
      </w:r>
      <w:proofErr w:type="spellEnd"/>
      <w:r w:rsidRPr="00AE0B3D">
        <w:t xml:space="preserve">, my sons Brian, Amos and Titus who forwent their pleasures and luxuries with the reduced budget in the house to fully support what I was doing so </w:t>
      </w:r>
      <w:r w:rsidR="00314B53" w:rsidRPr="00AE0B3D">
        <w:t>that I can achieve my desires to</w:t>
      </w:r>
      <w:r w:rsidRPr="00AE0B3D">
        <w:t xml:space="preserve"> detrimental of their needs.</w:t>
      </w:r>
    </w:p>
    <w:p w14:paraId="182C3826" w14:textId="3FE74987" w:rsidR="00C13DC8" w:rsidRPr="00AE0B3D" w:rsidRDefault="00C13DC8" w:rsidP="00C13DC8">
      <w:pPr>
        <w:ind w:firstLine="0"/>
      </w:pPr>
    </w:p>
    <w:p w14:paraId="26FC95D6" w14:textId="5249C723" w:rsidR="00C13DC8" w:rsidRPr="00AE0B3D" w:rsidRDefault="00C13DC8" w:rsidP="00C13DC8">
      <w:pPr>
        <w:ind w:firstLine="0"/>
      </w:pPr>
    </w:p>
    <w:p w14:paraId="73695A7C" w14:textId="6B5BD7A5" w:rsidR="00C13DC8" w:rsidRPr="00AE0B3D" w:rsidRDefault="00C13DC8" w:rsidP="00C13DC8">
      <w:pPr>
        <w:ind w:firstLine="0"/>
      </w:pPr>
    </w:p>
    <w:p w14:paraId="3D6CBAEB" w14:textId="2467052E" w:rsidR="00C13DC8" w:rsidRPr="00AE0B3D" w:rsidRDefault="00C13DC8" w:rsidP="00C13DC8">
      <w:pPr>
        <w:ind w:firstLine="0"/>
      </w:pPr>
    </w:p>
    <w:p w14:paraId="1F3E7567" w14:textId="37E0BAC1" w:rsidR="00C13DC8" w:rsidRPr="00AE0B3D" w:rsidRDefault="00C13DC8" w:rsidP="00C13DC8">
      <w:pPr>
        <w:ind w:firstLine="0"/>
      </w:pPr>
    </w:p>
    <w:p w14:paraId="43694F8F" w14:textId="42A3E381" w:rsidR="00C13DC8" w:rsidRPr="00AE0B3D" w:rsidRDefault="00C13DC8" w:rsidP="00C13DC8">
      <w:pPr>
        <w:ind w:firstLine="0"/>
      </w:pPr>
    </w:p>
    <w:p w14:paraId="245BACAC" w14:textId="5715C386" w:rsidR="00C13DC8" w:rsidRPr="00AE0B3D" w:rsidRDefault="00C13DC8" w:rsidP="00C13DC8">
      <w:pPr>
        <w:ind w:firstLine="0"/>
      </w:pPr>
    </w:p>
    <w:p w14:paraId="78FAD4E0" w14:textId="640E2809" w:rsidR="00C13DC8" w:rsidRPr="00AE0B3D" w:rsidRDefault="00C13DC8" w:rsidP="00C13DC8">
      <w:pPr>
        <w:ind w:firstLine="0"/>
      </w:pPr>
    </w:p>
    <w:p w14:paraId="0E22CE72" w14:textId="1B4672E1" w:rsidR="00C13DC8" w:rsidRPr="00AE0B3D" w:rsidRDefault="00C13DC8" w:rsidP="00C13DC8">
      <w:pPr>
        <w:ind w:firstLine="0"/>
      </w:pPr>
    </w:p>
    <w:p w14:paraId="78B1E71E" w14:textId="167982A8" w:rsidR="00C13DC8" w:rsidRPr="00AE0B3D" w:rsidRDefault="00C13DC8" w:rsidP="00C13DC8">
      <w:pPr>
        <w:ind w:firstLine="0"/>
      </w:pPr>
    </w:p>
    <w:p w14:paraId="4E962CCA" w14:textId="5C7EC2B0" w:rsidR="00C13DC8" w:rsidRPr="00AE0B3D" w:rsidRDefault="00C13DC8" w:rsidP="00C13DC8">
      <w:pPr>
        <w:ind w:firstLine="0"/>
      </w:pPr>
    </w:p>
    <w:p w14:paraId="05FFD161" w14:textId="77777777" w:rsidR="00C13DC8" w:rsidRPr="00AE0B3D" w:rsidRDefault="00C13DC8" w:rsidP="00C13DC8">
      <w:pPr>
        <w:ind w:firstLine="0"/>
      </w:pPr>
    </w:p>
    <w:p w14:paraId="69DBC5B3" w14:textId="2CF7651A" w:rsidR="00A42C6B" w:rsidRPr="00AE0B3D" w:rsidRDefault="00A42C6B">
      <w:pPr>
        <w:spacing w:line="259" w:lineRule="auto"/>
        <w:ind w:firstLine="0"/>
        <w:jc w:val="left"/>
        <w:rPr>
          <w:rFonts w:cs="Times New Roman"/>
        </w:rPr>
      </w:pPr>
      <w:r w:rsidRPr="00AE0B3D">
        <w:rPr>
          <w:rFonts w:cs="Times New Roman"/>
        </w:rPr>
        <w:br w:type="page"/>
      </w:r>
    </w:p>
    <w:sdt>
      <w:sdtPr>
        <w:rPr>
          <w:rFonts w:eastAsiaTheme="minorHAnsi" w:cs="Times New Roman"/>
          <w:b w:val="0"/>
          <w:sz w:val="24"/>
          <w:szCs w:val="22"/>
        </w:rPr>
        <w:id w:val="-1373762944"/>
        <w:docPartObj>
          <w:docPartGallery w:val="Table of Contents"/>
          <w:docPartUnique/>
        </w:docPartObj>
      </w:sdtPr>
      <w:sdtEndPr>
        <w:rPr>
          <w:bCs/>
          <w:noProof/>
        </w:rPr>
      </w:sdtEndPr>
      <w:sdtContent>
        <w:p w14:paraId="0C3A3879" w14:textId="77777777" w:rsidR="0082437D" w:rsidRPr="00AE0B3D" w:rsidRDefault="0082437D" w:rsidP="005A13FC">
          <w:pPr>
            <w:pStyle w:val="TOCHeading"/>
            <w:jc w:val="center"/>
            <w:rPr>
              <w:rFonts w:cs="Times New Roman"/>
            </w:rPr>
          </w:pPr>
          <w:r w:rsidRPr="00AE0B3D">
            <w:rPr>
              <w:rFonts w:cs="Times New Roman"/>
            </w:rPr>
            <w:t>Table of Contents</w:t>
          </w:r>
        </w:p>
        <w:p w14:paraId="044AA0CB" w14:textId="77777777" w:rsidR="00E947FE" w:rsidRDefault="00587420">
          <w:pPr>
            <w:pStyle w:val="TOC1"/>
            <w:tabs>
              <w:tab w:val="right" w:leader="dot" w:pos="8630"/>
            </w:tabs>
            <w:rPr>
              <w:rFonts w:asciiTheme="minorHAnsi" w:eastAsiaTheme="minorEastAsia" w:hAnsiTheme="minorHAnsi"/>
              <w:noProof/>
              <w:sz w:val="22"/>
              <w:lang w:val="en-US"/>
            </w:rPr>
          </w:pPr>
          <w:r w:rsidRPr="00AE0B3D">
            <w:rPr>
              <w:rFonts w:cs="Times New Roman"/>
              <w:b/>
              <w:bCs/>
              <w:noProof/>
            </w:rPr>
            <w:fldChar w:fldCharType="begin"/>
          </w:r>
          <w:r w:rsidR="0082437D" w:rsidRPr="00AE0B3D">
            <w:rPr>
              <w:rFonts w:cs="Times New Roman"/>
              <w:b/>
              <w:bCs/>
              <w:noProof/>
            </w:rPr>
            <w:instrText xml:space="preserve"> TOC \o "1-3" \h \z \u </w:instrText>
          </w:r>
          <w:r w:rsidRPr="00AE0B3D">
            <w:rPr>
              <w:rFonts w:cs="Times New Roman"/>
              <w:b/>
              <w:bCs/>
              <w:noProof/>
            </w:rPr>
            <w:fldChar w:fldCharType="separate"/>
          </w:r>
          <w:hyperlink w:anchor="_Toc78067487" w:history="1">
            <w:r w:rsidR="00E947FE" w:rsidRPr="008A275C">
              <w:rPr>
                <w:rStyle w:val="Hyperlink"/>
                <w:rFonts w:eastAsia="Times New Roman"/>
                <w:noProof/>
              </w:rPr>
              <w:t>DECLARATION</w:t>
            </w:r>
            <w:r w:rsidR="00E947FE">
              <w:rPr>
                <w:noProof/>
                <w:webHidden/>
              </w:rPr>
              <w:tab/>
            </w:r>
            <w:r w:rsidR="00E947FE">
              <w:rPr>
                <w:noProof/>
                <w:webHidden/>
              </w:rPr>
              <w:fldChar w:fldCharType="begin"/>
            </w:r>
            <w:r w:rsidR="00E947FE">
              <w:rPr>
                <w:noProof/>
                <w:webHidden/>
              </w:rPr>
              <w:instrText xml:space="preserve"> PAGEREF _Toc78067487 \h </w:instrText>
            </w:r>
            <w:r w:rsidR="00E947FE">
              <w:rPr>
                <w:noProof/>
                <w:webHidden/>
              </w:rPr>
            </w:r>
            <w:r w:rsidR="00E947FE">
              <w:rPr>
                <w:noProof/>
                <w:webHidden/>
              </w:rPr>
              <w:fldChar w:fldCharType="separate"/>
            </w:r>
            <w:r w:rsidR="00E947FE">
              <w:rPr>
                <w:noProof/>
                <w:webHidden/>
              </w:rPr>
              <w:t>ii</w:t>
            </w:r>
            <w:r w:rsidR="00E947FE">
              <w:rPr>
                <w:noProof/>
                <w:webHidden/>
              </w:rPr>
              <w:fldChar w:fldCharType="end"/>
            </w:r>
          </w:hyperlink>
        </w:p>
        <w:p w14:paraId="3E072D9D" w14:textId="77777777" w:rsidR="00E947FE" w:rsidRDefault="008F7402">
          <w:pPr>
            <w:pStyle w:val="TOC1"/>
            <w:tabs>
              <w:tab w:val="right" w:leader="dot" w:pos="8630"/>
            </w:tabs>
            <w:rPr>
              <w:rFonts w:asciiTheme="minorHAnsi" w:eastAsiaTheme="minorEastAsia" w:hAnsiTheme="minorHAnsi"/>
              <w:noProof/>
              <w:sz w:val="22"/>
              <w:lang w:val="en-US"/>
            </w:rPr>
          </w:pPr>
          <w:hyperlink w:anchor="_Toc78067488" w:history="1">
            <w:r w:rsidR="00E947FE" w:rsidRPr="008A275C">
              <w:rPr>
                <w:rStyle w:val="Hyperlink"/>
                <w:noProof/>
              </w:rPr>
              <w:t>ABSTRACT</w:t>
            </w:r>
            <w:r w:rsidR="00E947FE">
              <w:rPr>
                <w:noProof/>
                <w:webHidden/>
              </w:rPr>
              <w:tab/>
            </w:r>
            <w:r w:rsidR="00E947FE">
              <w:rPr>
                <w:noProof/>
                <w:webHidden/>
              </w:rPr>
              <w:fldChar w:fldCharType="begin"/>
            </w:r>
            <w:r w:rsidR="00E947FE">
              <w:rPr>
                <w:noProof/>
                <w:webHidden/>
              </w:rPr>
              <w:instrText xml:space="preserve"> PAGEREF _Toc78067488 \h </w:instrText>
            </w:r>
            <w:r w:rsidR="00E947FE">
              <w:rPr>
                <w:noProof/>
                <w:webHidden/>
              </w:rPr>
            </w:r>
            <w:r w:rsidR="00E947FE">
              <w:rPr>
                <w:noProof/>
                <w:webHidden/>
              </w:rPr>
              <w:fldChar w:fldCharType="separate"/>
            </w:r>
            <w:r w:rsidR="00E947FE">
              <w:rPr>
                <w:noProof/>
                <w:webHidden/>
              </w:rPr>
              <w:t>iii</w:t>
            </w:r>
            <w:r w:rsidR="00E947FE">
              <w:rPr>
                <w:noProof/>
                <w:webHidden/>
              </w:rPr>
              <w:fldChar w:fldCharType="end"/>
            </w:r>
          </w:hyperlink>
        </w:p>
        <w:p w14:paraId="346DBDC5" w14:textId="77777777" w:rsidR="00E947FE" w:rsidRDefault="008F7402">
          <w:pPr>
            <w:pStyle w:val="TOC1"/>
            <w:tabs>
              <w:tab w:val="right" w:leader="dot" w:pos="8630"/>
            </w:tabs>
            <w:rPr>
              <w:rFonts w:asciiTheme="minorHAnsi" w:eastAsiaTheme="minorEastAsia" w:hAnsiTheme="minorHAnsi"/>
              <w:noProof/>
              <w:sz w:val="22"/>
              <w:lang w:val="en-US"/>
            </w:rPr>
          </w:pPr>
          <w:hyperlink w:anchor="_Toc78067489" w:history="1">
            <w:r w:rsidR="00E947FE" w:rsidRPr="008A275C">
              <w:rPr>
                <w:rStyle w:val="Hyperlink"/>
                <w:noProof/>
              </w:rPr>
              <w:t>ACKNOWLEDGEMENT</w:t>
            </w:r>
            <w:r w:rsidR="00E947FE">
              <w:rPr>
                <w:noProof/>
                <w:webHidden/>
              </w:rPr>
              <w:tab/>
            </w:r>
            <w:r w:rsidR="00E947FE">
              <w:rPr>
                <w:noProof/>
                <w:webHidden/>
              </w:rPr>
              <w:fldChar w:fldCharType="begin"/>
            </w:r>
            <w:r w:rsidR="00E947FE">
              <w:rPr>
                <w:noProof/>
                <w:webHidden/>
              </w:rPr>
              <w:instrText xml:space="preserve"> PAGEREF _Toc78067489 \h </w:instrText>
            </w:r>
            <w:r w:rsidR="00E947FE">
              <w:rPr>
                <w:noProof/>
                <w:webHidden/>
              </w:rPr>
            </w:r>
            <w:r w:rsidR="00E947FE">
              <w:rPr>
                <w:noProof/>
                <w:webHidden/>
              </w:rPr>
              <w:fldChar w:fldCharType="separate"/>
            </w:r>
            <w:r w:rsidR="00E947FE">
              <w:rPr>
                <w:noProof/>
                <w:webHidden/>
              </w:rPr>
              <w:t>v</w:t>
            </w:r>
            <w:r w:rsidR="00E947FE">
              <w:rPr>
                <w:noProof/>
                <w:webHidden/>
              </w:rPr>
              <w:fldChar w:fldCharType="end"/>
            </w:r>
          </w:hyperlink>
        </w:p>
        <w:p w14:paraId="71161152" w14:textId="77777777" w:rsidR="00E947FE" w:rsidRDefault="008F7402">
          <w:pPr>
            <w:pStyle w:val="TOC1"/>
            <w:tabs>
              <w:tab w:val="right" w:leader="dot" w:pos="8630"/>
            </w:tabs>
            <w:rPr>
              <w:rFonts w:asciiTheme="minorHAnsi" w:eastAsiaTheme="minorEastAsia" w:hAnsiTheme="minorHAnsi"/>
              <w:noProof/>
              <w:sz w:val="22"/>
              <w:lang w:val="en-US"/>
            </w:rPr>
          </w:pPr>
          <w:hyperlink w:anchor="_Toc78067490" w:history="1">
            <w:r w:rsidR="00E947FE" w:rsidRPr="008A275C">
              <w:rPr>
                <w:rStyle w:val="Hyperlink"/>
                <w:noProof/>
              </w:rPr>
              <w:t>DEDICATION</w:t>
            </w:r>
            <w:r w:rsidR="00E947FE">
              <w:rPr>
                <w:noProof/>
                <w:webHidden/>
              </w:rPr>
              <w:tab/>
            </w:r>
            <w:r w:rsidR="00E947FE">
              <w:rPr>
                <w:noProof/>
                <w:webHidden/>
              </w:rPr>
              <w:fldChar w:fldCharType="begin"/>
            </w:r>
            <w:r w:rsidR="00E947FE">
              <w:rPr>
                <w:noProof/>
                <w:webHidden/>
              </w:rPr>
              <w:instrText xml:space="preserve"> PAGEREF _Toc78067490 \h </w:instrText>
            </w:r>
            <w:r w:rsidR="00E947FE">
              <w:rPr>
                <w:noProof/>
                <w:webHidden/>
              </w:rPr>
            </w:r>
            <w:r w:rsidR="00E947FE">
              <w:rPr>
                <w:noProof/>
                <w:webHidden/>
              </w:rPr>
              <w:fldChar w:fldCharType="separate"/>
            </w:r>
            <w:r w:rsidR="00E947FE">
              <w:rPr>
                <w:noProof/>
                <w:webHidden/>
              </w:rPr>
              <w:t>vi</w:t>
            </w:r>
            <w:r w:rsidR="00E947FE">
              <w:rPr>
                <w:noProof/>
                <w:webHidden/>
              </w:rPr>
              <w:fldChar w:fldCharType="end"/>
            </w:r>
          </w:hyperlink>
        </w:p>
        <w:p w14:paraId="76A3600F" w14:textId="77777777" w:rsidR="00E947FE" w:rsidRDefault="008F7402">
          <w:pPr>
            <w:pStyle w:val="TOC1"/>
            <w:tabs>
              <w:tab w:val="right" w:leader="dot" w:pos="8630"/>
            </w:tabs>
            <w:rPr>
              <w:rFonts w:asciiTheme="minorHAnsi" w:eastAsiaTheme="minorEastAsia" w:hAnsiTheme="minorHAnsi"/>
              <w:noProof/>
              <w:sz w:val="22"/>
              <w:lang w:val="en-US"/>
            </w:rPr>
          </w:pPr>
          <w:hyperlink w:anchor="_Toc78067491" w:history="1">
            <w:r w:rsidR="00E947FE" w:rsidRPr="008A275C">
              <w:rPr>
                <w:rStyle w:val="Hyperlink"/>
                <w:noProof/>
              </w:rPr>
              <w:t>LIST OF TABLES</w:t>
            </w:r>
            <w:r w:rsidR="00E947FE">
              <w:rPr>
                <w:noProof/>
                <w:webHidden/>
              </w:rPr>
              <w:tab/>
            </w:r>
            <w:r w:rsidR="00E947FE">
              <w:rPr>
                <w:noProof/>
                <w:webHidden/>
              </w:rPr>
              <w:fldChar w:fldCharType="begin"/>
            </w:r>
            <w:r w:rsidR="00E947FE">
              <w:rPr>
                <w:noProof/>
                <w:webHidden/>
              </w:rPr>
              <w:instrText xml:space="preserve"> PAGEREF _Toc78067491 \h </w:instrText>
            </w:r>
            <w:r w:rsidR="00E947FE">
              <w:rPr>
                <w:noProof/>
                <w:webHidden/>
              </w:rPr>
            </w:r>
            <w:r w:rsidR="00E947FE">
              <w:rPr>
                <w:noProof/>
                <w:webHidden/>
              </w:rPr>
              <w:fldChar w:fldCharType="separate"/>
            </w:r>
            <w:r w:rsidR="00E947FE">
              <w:rPr>
                <w:noProof/>
                <w:webHidden/>
              </w:rPr>
              <w:t>xi</w:t>
            </w:r>
            <w:r w:rsidR="00E947FE">
              <w:rPr>
                <w:noProof/>
                <w:webHidden/>
              </w:rPr>
              <w:fldChar w:fldCharType="end"/>
            </w:r>
          </w:hyperlink>
        </w:p>
        <w:p w14:paraId="74A92797" w14:textId="77777777" w:rsidR="00E947FE" w:rsidRDefault="008F7402">
          <w:pPr>
            <w:pStyle w:val="TOC1"/>
            <w:tabs>
              <w:tab w:val="right" w:leader="dot" w:pos="8630"/>
            </w:tabs>
            <w:rPr>
              <w:rFonts w:asciiTheme="minorHAnsi" w:eastAsiaTheme="minorEastAsia" w:hAnsiTheme="minorHAnsi"/>
              <w:noProof/>
              <w:sz w:val="22"/>
              <w:lang w:val="en-US"/>
            </w:rPr>
          </w:pPr>
          <w:hyperlink w:anchor="_Toc78067492" w:history="1">
            <w:r w:rsidR="00E947FE" w:rsidRPr="008A275C">
              <w:rPr>
                <w:rStyle w:val="Hyperlink"/>
                <w:noProof/>
              </w:rPr>
              <w:t>LIST OF FIGURES</w:t>
            </w:r>
            <w:r w:rsidR="00E947FE">
              <w:rPr>
                <w:noProof/>
                <w:webHidden/>
              </w:rPr>
              <w:tab/>
            </w:r>
            <w:r w:rsidR="00E947FE">
              <w:rPr>
                <w:noProof/>
                <w:webHidden/>
              </w:rPr>
              <w:fldChar w:fldCharType="begin"/>
            </w:r>
            <w:r w:rsidR="00E947FE">
              <w:rPr>
                <w:noProof/>
                <w:webHidden/>
              </w:rPr>
              <w:instrText xml:space="preserve"> PAGEREF _Toc78067492 \h </w:instrText>
            </w:r>
            <w:r w:rsidR="00E947FE">
              <w:rPr>
                <w:noProof/>
                <w:webHidden/>
              </w:rPr>
            </w:r>
            <w:r w:rsidR="00E947FE">
              <w:rPr>
                <w:noProof/>
                <w:webHidden/>
              </w:rPr>
              <w:fldChar w:fldCharType="separate"/>
            </w:r>
            <w:r w:rsidR="00E947FE">
              <w:rPr>
                <w:noProof/>
                <w:webHidden/>
              </w:rPr>
              <w:t>xii</w:t>
            </w:r>
            <w:r w:rsidR="00E947FE">
              <w:rPr>
                <w:noProof/>
                <w:webHidden/>
              </w:rPr>
              <w:fldChar w:fldCharType="end"/>
            </w:r>
          </w:hyperlink>
        </w:p>
        <w:p w14:paraId="1860CDB5" w14:textId="77777777" w:rsidR="00E947FE" w:rsidRDefault="008F7402">
          <w:pPr>
            <w:pStyle w:val="TOC1"/>
            <w:tabs>
              <w:tab w:val="right" w:leader="dot" w:pos="8630"/>
            </w:tabs>
            <w:rPr>
              <w:rFonts w:asciiTheme="minorHAnsi" w:eastAsiaTheme="minorEastAsia" w:hAnsiTheme="minorHAnsi"/>
              <w:noProof/>
              <w:sz w:val="22"/>
              <w:lang w:val="en-US"/>
            </w:rPr>
          </w:pPr>
          <w:hyperlink w:anchor="_Toc78067493" w:history="1">
            <w:r w:rsidR="00E947FE" w:rsidRPr="008A275C">
              <w:rPr>
                <w:rStyle w:val="Hyperlink"/>
                <w:rFonts w:cs="Times New Roman"/>
                <w:noProof/>
              </w:rPr>
              <w:t>CHAPTER ONE</w:t>
            </w:r>
            <w:r w:rsidR="00E947FE">
              <w:rPr>
                <w:noProof/>
                <w:webHidden/>
              </w:rPr>
              <w:tab/>
            </w:r>
            <w:r w:rsidR="00E947FE">
              <w:rPr>
                <w:noProof/>
                <w:webHidden/>
              </w:rPr>
              <w:fldChar w:fldCharType="begin"/>
            </w:r>
            <w:r w:rsidR="00E947FE">
              <w:rPr>
                <w:noProof/>
                <w:webHidden/>
              </w:rPr>
              <w:instrText xml:space="preserve"> PAGEREF _Toc78067493 \h </w:instrText>
            </w:r>
            <w:r w:rsidR="00E947FE">
              <w:rPr>
                <w:noProof/>
                <w:webHidden/>
              </w:rPr>
            </w:r>
            <w:r w:rsidR="00E947FE">
              <w:rPr>
                <w:noProof/>
                <w:webHidden/>
              </w:rPr>
              <w:fldChar w:fldCharType="separate"/>
            </w:r>
            <w:r w:rsidR="00E947FE">
              <w:rPr>
                <w:noProof/>
                <w:webHidden/>
              </w:rPr>
              <w:t>1</w:t>
            </w:r>
            <w:r w:rsidR="00E947FE">
              <w:rPr>
                <w:noProof/>
                <w:webHidden/>
              </w:rPr>
              <w:fldChar w:fldCharType="end"/>
            </w:r>
          </w:hyperlink>
        </w:p>
        <w:p w14:paraId="54C06A5A" w14:textId="77777777" w:rsidR="00E947FE" w:rsidRDefault="008F7402">
          <w:pPr>
            <w:pStyle w:val="TOC1"/>
            <w:tabs>
              <w:tab w:val="right" w:leader="dot" w:pos="8630"/>
            </w:tabs>
            <w:rPr>
              <w:rFonts w:asciiTheme="minorHAnsi" w:eastAsiaTheme="minorEastAsia" w:hAnsiTheme="minorHAnsi"/>
              <w:noProof/>
              <w:sz w:val="22"/>
              <w:lang w:val="en-US"/>
            </w:rPr>
          </w:pPr>
          <w:hyperlink w:anchor="_Toc78067494" w:history="1">
            <w:r w:rsidR="00E947FE" w:rsidRPr="008A275C">
              <w:rPr>
                <w:rStyle w:val="Hyperlink"/>
                <w:rFonts w:cs="Times New Roman"/>
                <w:noProof/>
              </w:rPr>
              <w:t>INTRODUCTION</w:t>
            </w:r>
            <w:r w:rsidR="00E947FE">
              <w:rPr>
                <w:noProof/>
                <w:webHidden/>
              </w:rPr>
              <w:tab/>
            </w:r>
            <w:r w:rsidR="00E947FE">
              <w:rPr>
                <w:noProof/>
                <w:webHidden/>
              </w:rPr>
              <w:fldChar w:fldCharType="begin"/>
            </w:r>
            <w:r w:rsidR="00E947FE">
              <w:rPr>
                <w:noProof/>
                <w:webHidden/>
              </w:rPr>
              <w:instrText xml:space="preserve"> PAGEREF _Toc78067494 \h </w:instrText>
            </w:r>
            <w:r w:rsidR="00E947FE">
              <w:rPr>
                <w:noProof/>
                <w:webHidden/>
              </w:rPr>
            </w:r>
            <w:r w:rsidR="00E947FE">
              <w:rPr>
                <w:noProof/>
                <w:webHidden/>
              </w:rPr>
              <w:fldChar w:fldCharType="separate"/>
            </w:r>
            <w:r w:rsidR="00E947FE">
              <w:rPr>
                <w:noProof/>
                <w:webHidden/>
              </w:rPr>
              <w:t>1</w:t>
            </w:r>
            <w:r w:rsidR="00E947FE">
              <w:rPr>
                <w:noProof/>
                <w:webHidden/>
              </w:rPr>
              <w:fldChar w:fldCharType="end"/>
            </w:r>
          </w:hyperlink>
        </w:p>
        <w:p w14:paraId="74BCD11D"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495" w:history="1">
            <w:r w:rsidR="00E947FE" w:rsidRPr="008A275C">
              <w:rPr>
                <w:rStyle w:val="Hyperlink"/>
                <w:rFonts w:cs="Times New Roman"/>
                <w:noProof/>
              </w:rPr>
              <w:t>Background of the Study</w:t>
            </w:r>
            <w:r w:rsidR="00E947FE">
              <w:rPr>
                <w:noProof/>
                <w:webHidden/>
              </w:rPr>
              <w:tab/>
            </w:r>
            <w:r w:rsidR="00E947FE">
              <w:rPr>
                <w:noProof/>
                <w:webHidden/>
              </w:rPr>
              <w:fldChar w:fldCharType="begin"/>
            </w:r>
            <w:r w:rsidR="00E947FE">
              <w:rPr>
                <w:noProof/>
                <w:webHidden/>
              </w:rPr>
              <w:instrText xml:space="preserve"> PAGEREF _Toc78067495 \h </w:instrText>
            </w:r>
            <w:r w:rsidR="00E947FE">
              <w:rPr>
                <w:noProof/>
                <w:webHidden/>
              </w:rPr>
            </w:r>
            <w:r w:rsidR="00E947FE">
              <w:rPr>
                <w:noProof/>
                <w:webHidden/>
              </w:rPr>
              <w:fldChar w:fldCharType="separate"/>
            </w:r>
            <w:r w:rsidR="00E947FE">
              <w:rPr>
                <w:noProof/>
                <w:webHidden/>
              </w:rPr>
              <w:t>1</w:t>
            </w:r>
            <w:r w:rsidR="00E947FE">
              <w:rPr>
                <w:noProof/>
                <w:webHidden/>
              </w:rPr>
              <w:fldChar w:fldCharType="end"/>
            </w:r>
          </w:hyperlink>
        </w:p>
        <w:p w14:paraId="0AAF3E40" w14:textId="77777777" w:rsidR="00E947FE" w:rsidRDefault="008F7402">
          <w:pPr>
            <w:pStyle w:val="TOC3"/>
            <w:tabs>
              <w:tab w:val="right" w:leader="dot" w:pos="8630"/>
            </w:tabs>
            <w:rPr>
              <w:rFonts w:asciiTheme="minorHAnsi" w:eastAsiaTheme="minorEastAsia" w:hAnsiTheme="minorHAnsi"/>
              <w:noProof/>
              <w:sz w:val="22"/>
              <w:lang w:val="en-US"/>
            </w:rPr>
          </w:pPr>
          <w:hyperlink w:anchor="_Toc78067496" w:history="1">
            <w:r w:rsidR="00E947FE" w:rsidRPr="008A275C">
              <w:rPr>
                <w:rStyle w:val="Hyperlink"/>
                <w:rFonts w:cs="Times New Roman"/>
                <w:noProof/>
              </w:rPr>
              <w:t>A situation analysis of the study</w:t>
            </w:r>
            <w:r w:rsidR="00E947FE">
              <w:rPr>
                <w:noProof/>
                <w:webHidden/>
              </w:rPr>
              <w:tab/>
            </w:r>
            <w:r w:rsidR="00E947FE">
              <w:rPr>
                <w:noProof/>
                <w:webHidden/>
              </w:rPr>
              <w:fldChar w:fldCharType="begin"/>
            </w:r>
            <w:r w:rsidR="00E947FE">
              <w:rPr>
                <w:noProof/>
                <w:webHidden/>
              </w:rPr>
              <w:instrText xml:space="preserve"> PAGEREF _Toc78067496 \h </w:instrText>
            </w:r>
            <w:r w:rsidR="00E947FE">
              <w:rPr>
                <w:noProof/>
                <w:webHidden/>
              </w:rPr>
            </w:r>
            <w:r w:rsidR="00E947FE">
              <w:rPr>
                <w:noProof/>
                <w:webHidden/>
              </w:rPr>
              <w:fldChar w:fldCharType="separate"/>
            </w:r>
            <w:r w:rsidR="00E947FE">
              <w:rPr>
                <w:noProof/>
                <w:webHidden/>
              </w:rPr>
              <w:t>7</w:t>
            </w:r>
            <w:r w:rsidR="00E947FE">
              <w:rPr>
                <w:noProof/>
                <w:webHidden/>
              </w:rPr>
              <w:fldChar w:fldCharType="end"/>
            </w:r>
          </w:hyperlink>
        </w:p>
        <w:p w14:paraId="7FF3C256"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497" w:history="1">
            <w:r w:rsidR="00E947FE" w:rsidRPr="008A275C">
              <w:rPr>
                <w:rStyle w:val="Hyperlink"/>
                <w:rFonts w:cs="Times New Roman"/>
                <w:noProof/>
              </w:rPr>
              <w:t>Statement of the Problem</w:t>
            </w:r>
            <w:r w:rsidR="00E947FE">
              <w:rPr>
                <w:noProof/>
                <w:webHidden/>
              </w:rPr>
              <w:tab/>
            </w:r>
            <w:r w:rsidR="00E947FE">
              <w:rPr>
                <w:noProof/>
                <w:webHidden/>
              </w:rPr>
              <w:fldChar w:fldCharType="begin"/>
            </w:r>
            <w:r w:rsidR="00E947FE">
              <w:rPr>
                <w:noProof/>
                <w:webHidden/>
              </w:rPr>
              <w:instrText xml:space="preserve"> PAGEREF _Toc78067497 \h </w:instrText>
            </w:r>
            <w:r w:rsidR="00E947FE">
              <w:rPr>
                <w:noProof/>
                <w:webHidden/>
              </w:rPr>
            </w:r>
            <w:r w:rsidR="00E947FE">
              <w:rPr>
                <w:noProof/>
                <w:webHidden/>
              </w:rPr>
              <w:fldChar w:fldCharType="separate"/>
            </w:r>
            <w:r w:rsidR="00E947FE">
              <w:rPr>
                <w:noProof/>
                <w:webHidden/>
              </w:rPr>
              <w:t>8</w:t>
            </w:r>
            <w:r w:rsidR="00E947FE">
              <w:rPr>
                <w:noProof/>
                <w:webHidden/>
              </w:rPr>
              <w:fldChar w:fldCharType="end"/>
            </w:r>
          </w:hyperlink>
        </w:p>
        <w:p w14:paraId="45735A13"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498" w:history="1">
            <w:r w:rsidR="00E947FE" w:rsidRPr="008A275C">
              <w:rPr>
                <w:rStyle w:val="Hyperlink"/>
                <w:rFonts w:cs="Times New Roman"/>
                <w:noProof/>
              </w:rPr>
              <w:t>Research Questions</w:t>
            </w:r>
            <w:r w:rsidR="00E947FE">
              <w:rPr>
                <w:noProof/>
                <w:webHidden/>
              </w:rPr>
              <w:tab/>
            </w:r>
            <w:r w:rsidR="00E947FE">
              <w:rPr>
                <w:noProof/>
                <w:webHidden/>
              </w:rPr>
              <w:fldChar w:fldCharType="begin"/>
            </w:r>
            <w:r w:rsidR="00E947FE">
              <w:rPr>
                <w:noProof/>
                <w:webHidden/>
              </w:rPr>
              <w:instrText xml:space="preserve"> PAGEREF _Toc78067498 \h </w:instrText>
            </w:r>
            <w:r w:rsidR="00E947FE">
              <w:rPr>
                <w:noProof/>
                <w:webHidden/>
              </w:rPr>
            </w:r>
            <w:r w:rsidR="00E947FE">
              <w:rPr>
                <w:noProof/>
                <w:webHidden/>
              </w:rPr>
              <w:fldChar w:fldCharType="separate"/>
            </w:r>
            <w:r w:rsidR="00E947FE">
              <w:rPr>
                <w:noProof/>
                <w:webHidden/>
              </w:rPr>
              <w:t>10</w:t>
            </w:r>
            <w:r w:rsidR="00E947FE">
              <w:rPr>
                <w:noProof/>
                <w:webHidden/>
              </w:rPr>
              <w:fldChar w:fldCharType="end"/>
            </w:r>
          </w:hyperlink>
        </w:p>
        <w:p w14:paraId="7553560D"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499" w:history="1">
            <w:r w:rsidR="00E947FE" w:rsidRPr="008A275C">
              <w:rPr>
                <w:rStyle w:val="Hyperlink"/>
                <w:rFonts w:cs="Times New Roman"/>
                <w:noProof/>
              </w:rPr>
              <w:t>Hypothesis</w:t>
            </w:r>
            <w:r w:rsidR="00E947FE">
              <w:rPr>
                <w:noProof/>
                <w:webHidden/>
              </w:rPr>
              <w:tab/>
            </w:r>
            <w:r w:rsidR="00E947FE">
              <w:rPr>
                <w:noProof/>
                <w:webHidden/>
              </w:rPr>
              <w:fldChar w:fldCharType="begin"/>
            </w:r>
            <w:r w:rsidR="00E947FE">
              <w:rPr>
                <w:noProof/>
                <w:webHidden/>
              </w:rPr>
              <w:instrText xml:space="preserve"> PAGEREF _Toc78067499 \h </w:instrText>
            </w:r>
            <w:r w:rsidR="00E947FE">
              <w:rPr>
                <w:noProof/>
                <w:webHidden/>
              </w:rPr>
            </w:r>
            <w:r w:rsidR="00E947FE">
              <w:rPr>
                <w:noProof/>
                <w:webHidden/>
              </w:rPr>
              <w:fldChar w:fldCharType="separate"/>
            </w:r>
            <w:r w:rsidR="00E947FE">
              <w:rPr>
                <w:noProof/>
                <w:webHidden/>
              </w:rPr>
              <w:t>10</w:t>
            </w:r>
            <w:r w:rsidR="00E947FE">
              <w:rPr>
                <w:noProof/>
                <w:webHidden/>
              </w:rPr>
              <w:fldChar w:fldCharType="end"/>
            </w:r>
          </w:hyperlink>
        </w:p>
        <w:p w14:paraId="1919380C"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00" w:history="1">
            <w:r w:rsidR="00E947FE" w:rsidRPr="008A275C">
              <w:rPr>
                <w:rStyle w:val="Hyperlink"/>
                <w:rFonts w:cs="Times New Roman"/>
                <w:noProof/>
              </w:rPr>
              <w:t>Significance of the Study</w:t>
            </w:r>
            <w:r w:rsidR="00E947FE">
              <w:rPr>
                <w:noProof/>
                <w:webHidden/>
              </w:rPr>
              <w:tab/>
            </w:r>
            <w:r w:rsidR="00E947FE">
              <w:rPr>
                <w:noProof/>
                <w:webHidden/>
              </w:rPr>
              <w:fldChar w:fldCharType="begin"/>
            </w:r>
            <w:r w:rsidR="00E947FE">
              <w:rPr>
                <w:noProof/>
                <w:webHidden/>
              </w:rPr>
              <w:instrText xml:space="preserve"> PAGEREF _Toc78067500 \h </w:instrText>
            </w:r>
            <w:r w:rsidR="00E947FE">
              <w:rPr>
                <w:noProof/>
                <w:webHidden/>
              </w:rPr>
            </w:r>
            <w:r w:rsidR="00E947FE">
              <w:rPr>
                <w:noProof/>
                <w:webHidden/>
              </w:rPr>
              <w:fldChar w:fldCharType="separate"/>
            </w:r>
            <w:r w:rsidR="00E947FE">
              <w:rPr>
                <w:noProof/>
                <w:webHidden/>
              </w:rPr>
              <w:t>11</w:t>
            </w:r>
            <w:r w:rsidR="00E947FE">
              <w:rPr>
                <w:noProof/>
                <w:webHidden/>
              </w:rPr>
              <w:fldChar w:fldCharType="end"/>
            </w:r>
          </w:hyperlink>
        </w:p>
        <w:p w14:paraId="7787D9A1"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01" w:history="1">
            <w:r w:rsidR="00E947FE" w:rsidRPr="008A275C">
              <w:rPr>
                <w:rStyle w:val="Hyperlink"/>
                <w:rFonts w:cs="Times New Roman"/>
                <w:noProof/>
              </w:rPr>
              <w:t>Justification of the Study</w:t>
            </w:r>
            <w:r w:rsidR="00E947FE">
              <w:rPr>
                <w:noProof/>
                <w:webHidden/>
              </w:rPr>
              <w:tab/>
            </w:r>
            <w:r w:rsidR="00E947FE">
              <w:rPr>
                <w:noProof/>
                <w:webHidden/>
              </w:rPr>
              <w:fldChar w:fldCharType="begin"/>
            </w:r>
            <w:r w:rsidR="00E947FE">
              <w:rPr>
                <w:noProof/>
                <w:webHidden/>
              </w:rPr>
              <w:instrText xml:space="preserve"> PAGEREF _Toc78067501 \h </w:instrText>
            </w:r>
            <w:r w:rsidR="00E947FE">
              <w:rPr>
                <w:noProof/>
                <w:webHidden/>
              </w:rPr>
            </w:r>
            <w:r w:rsidR="00E947FE">
              <w:rPr>
                <w:noProof/>
                <w:webHidden/>
              </w:rPr>
              <w:fldChar w:fldCharType="separate"/>
            </w:r>
            <w:r w:rsidR="00E947FE">
              <w:rPr>
                <w:noProof/>
                <w:webHidden/>
              </w:rPr>
              <w:t>12</w:t>
            </w:r>
            <w:r w:rsidR="00E947FE">
              <w:rPr>
                <w:noProof/>
                <w:webHidden/>
              </w:rPr>
              <w:fldChar w:fldCharType="end"/>
            </w:r>
          </w:hyperlink>
        </w:p>
        <w:p w14:paraId="31B4FB50"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02" w:history="1">
            <w:r w:rsidR="00E947FE" w:rsidRPr="008A275C">
              <w:rPr>
                <w:rStyle w:val="Hyperlink"/>
                <w:rFonts w:cs="Times New Roman"/>
                <w:noProof/>
              </w:rPr>
              <w:t>Theoretical and Conceptual Framework</w:t>
            </w:r>
            <w:r w:rsidR="00E947FE">
              <w:rPr>
                <w:noProof/>
                <w:webHidden/>
              </w:rPr>
              <w:tab/>
            </w:r>
            <w:r w:rsidR="00E947FE">
              <w:rPr>
                <w:noProof/>
                <w:webHidden/>
              </w:rPr>
              <w:fldChar w:fldCharType="begin"/>
            </w:r>
            <w:r w:rsidR="00E947FE">
              <w:rPr>
                <w:noProof/>
                <w:webHidden/>
              </w:rPr>
              <w:instrText xml:space="preserve"> PAGEREF _Toc78067502 \h </w:instrText>
            </w:r>
            <w:r w:rsidR="00E947FE">
              <w:rPr>
                <w:noProof/>
                <w:webHidden/>
              </w:rPr>
            </w:r>
            <w:r w:rsidR="00E947FE">
              <w:rPr>
                <w:noProof/>
                <w:webHidden/>
              </w:rPr>
              <w:fldChar w:fldCharType="separate"/>
            </w:r>
            <w:r w:rsidR="00E947FE">
              <w:rPr>
                <w:noProof/>
                <w:webHidden/>
              </w:rPr>
              <w:t>13</w:t>
            </w:r>
            <w:r w:rsidR="00E947FE">
              <w:rPr>
                <w:noProof/>
                <w:webHidden/>
              </w:rPr>
              <w:fldChar w:fldCharType="end"/>
            </w:r>
          </w:hyperlink>
        </w:p>
        <w:p w14:paraId="0719EF6D" w14:textId="77777777" w:rsidR="00E947FE" w:rsidRDefault="008F7402">
          <w:pPr>
            <w:pStyle w:val="TOC3"/>
            <w:tabs>
              <w:tab w:val="right" w:leader="dot" w:pos="8630"/>
            </w:tabs>
            <w:rPr>
              <w:rFonts w:asciiTheme="minorHAnsi" w:eastAsiaTheme="minorEastAsia" w:hAnsiTheme="minorHAnsi"/>
              <w:noProof/>
              <w:sz w:val="22"/>
              <w:lang w:val="en-US"/>
            </w:rPr>
          </w:pPr>
          <w:hyperlink w:anchor="_Toc78067503" w:history="1">
            <w:r w:rsidR="00E947FE" w:rsidRPr="008A275C">
              <w:rPr>
                <w:rStyle w:val="Hyperlink"/>
                <w:rFonts w:cs="Times New Roman"/>
                <w:noProof/>
              </w:rPr>
              <w:t>Theoretical</w:t>
            </w:r>
            <w:r w:rsidR="00E947FE">
              <w:rPr>
                <w:noProof/>
                <w:webHidden/>
              </w:rPr>
              <w:tab/>
            </w:r>
            <w:r w:rsidR="00E947FE">
              <w:rPr>
                <w:noProof/>
                <w:webHidden/>
              </w:rPr>
              <w:fldChar w:fldCharType="begin"/>
            </w:r>
            <w:r w:rsidR="00E947FE">
              <w:rPr>
                <w:noProof/>
                <w:webHidden/>
              </w:rPr>
              <w:instrText xml:space="preserve"> PAGEREF _Toc78067503 \h </w:instrText>
            </w:r>
            <w:r w:rsidR="00E947FE">
              <w:rPr>
                <w:noProof/>
                <w:webHidden/>
              </w:rPr>
            </w:r>
            <w:r w:rsidR="00E947FE">
              <w:rPr>
                <w:noProof/>
                <w:webHidden/>
              </w:rPr>
              <w:fldChar w:fldCharType="separate"/>
            </w:r>
            <w:r w:rsidR="00E947FE">
              <w:rPr>
                <w:noProof/>
                <w:webHidden/>
              </w:rPr>
              <w:t>13</w:t>
            </w:r>
            <w:r w:rsidR="00E947FE">
              <w:rPr>
                <w:noProof/>
                <w:webHidden/>
              </w:rPr>
              <w:fldChar w:fldCharType="end"/>
            </w:r>
          </w:hyperlink>
        </w:p>
        <w:p w14:paraId="0902E764" w14:textId="77777777" w:rsidR="00E947FE" w:rsidRDefault="008F7402">
          <w:pPr>
            <w:pStyle w:val="TOC3"/>
            <w:tabs>
              <w:tab w:val="right" w:leader="dot" w:pos="8630"/>
            </w:tabs>
            <w:rPr>
              <w:rFonts w:asciiTheme="minorHAnsi" w:eastAsiaTheme="minorEastAsia" w:hAnsiTheme="minorHAnsi"/>
              <w:noProof/>
              <w:sz w:val="22"/>
              <w:lang w:val="en-US"/>
            </w:rPr>
          </w:pPr>
          <w:hyperlink w:anchor="_Toc78067504" w:history="1">
            <w:r w:rsidR="00E947FE" w:rsidRPr="008A275C">
              <w:rPr>
                <w:rStyle w:val="Hyperlink"/>
                <w:rFonts w:cs="Times New Roman"/>
                <w:noProof/>
              </w:rPr>
              <w:t>Conceptual Framework</w:t>
            </w:r>
            <w:r w:rsidR="00E947FE">
              <w:rPr>
                <w:noProof/>
                <w:webHidden/>
              </w:rPr>
              <w:tab/>
            </w:r>
            <w:r w:rsidR="00E947FE">
              <w:rPr>
                <w:noProof/>
                <w:webHidden/>
              </w:rPr>
              <w:fldChar w:fldCharType="begin"/>
            </w:r>
            <w:r w:rsidR="00E947FE">
              <w:rPr>
                <w:noProof/>
                <w:webHidden/>
              </w:rPr>
              <w:instrText xml:space="preserve"> PAGEREF _Toc78067504 \h </w:instrText>
            </w:r>
            <w:r w:rsidR="00E947FE">
              <w:rPr>
                <w:noProof/>
                <w:webHidden/>
              </w:rPr>
            </w:r>
            <w:r w:rsidR="00E947FE">
              <w:rPr>
                <w:noProof/>
                <w:webHidden/>
              </w:rPr>
              <w:fldChar w:fldCharType="separate"/>
            </w:r>
            <w:r w:rsidR="00E947FE">
              <w:rPr>
                <w:noProof/>
                <w:webHidden/>
              </w:rPr>
              <w:t>14</w:t>
            </w:r>
            <w:r w:rsidR="00E947FE">
              <w:rPr>
                <w:noProof/>
                <w:webHidden/>
              </w:rPr>
              <w:fldChar w:fldCharType="end"/>
            </w:r>
          </w:hyperlink>
        </w:p>
        <w:p w14:paraId="4F73A30C"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05" w:history="1">
            <w:r w:rsidR="00E947FE" w:rsidRPr="008A275C">
              <w:rPr>
                <w:rStyle w:val="Hyperlink"/>
                <w:rFonts w:cs="Times New Roman"/>
                <w:noProof/>
              </w:rPr>
              <w:t>Scope</w:t>
            </w:r>
            <w:r w:rsidR="00E947FE">
              <w:rPr>
                <w:noProof/>
                <w:webHidden/>
              </w:rPr>
              <w:tab/>
            </w:r>
            <w:r w:rsidR="00E947FE">
              <w:rPr>
                <w:noProof/>
                <w:webHidden/>
              </w:rPr>
              <w:fldChar w:fldCharType="begin"/>
            </w:r>
            <w:r w:rsidR="00E947FE">
              <w:rPr>
                <w:noProof/>
                <w:webHidden/>
              </w:rPr>
              <w:instrText xml:space="preserve"> PAGEREF _Toc78067505 \h </w:instrText>
            </w:r>
            <w:r w:rsidR="00E947FE">
              <w:rPr>
                <w:noProof/>
                <w:webHidden/>
              </w:rPr>
            </w:r>
            <w:r w:rsidR="00E947FE">
              <w:rPr>
                <w:noProof/>
                <w:webHidden/>
              </w:rPr>
              <w:fldChar w:fldCharType="separate"/>
            </w:r>
            <w:r w:rsidR="00E947FE">
              <w:rPr>
                <w:noProof/>
                <w:webHidden/>
              </w:rPr>
              <w:t>16</w:t>
            </w:r>
            <w:r w:rsidR="00E947FE">
              <w:rPr>
                <w:noProof/>
                <w:webHidden/>
              </w:rPr>
              <w:fldChar w:fldCharType="end"/>
            </w:r>
          </w:hyperlink>
        </w:p>
        <w:p w14:paraId="2242D449"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06" w:history="1">
            <w:r w:rsidR="00E947FE" w:rsidRPr="008A275C">
              <w:rPr>
                <w:rStyle w:val="Hyperlink"/>
                <w:rFonts w:cs="Times New Roman"/>
                <w:noProof/>
              </w:rPr>
              <w:t>Limitations</w:t>
            </w:r>
            <w:r w:rsidR="00E947FE">
              <w:rPr>
                <w:noProof/>
                <w:webHidden/>
              </w:rPr>
              <w:tab/>
            </w:r>
            <w:r w:rsidR="00E947FE">
              <w:rPr>
                <w:noProof/>
                <w:webHidden/>
              </w:rPr>
              <w:fldChar w:fldCharType="begin"/>
            </w:r>
            <w:r w:rsidR="00E947FE">
              <w:rPr>
                <w:noProof/>
                <w:webHidden/>
              </w:rPr>
              <w:instrText xml:space="preserve"> PAGEREF _Toc78067506 \h </w:instrText>
            </w:r>
            <w:r w:rsidR="00E947FE">
              <w:rPr>
                <w:noProof/>
                <w:webHidden/>
              </w:rPr>
            </w:r>
            <w:r w:rsidR="00E947FE">
              <w:rPr>
                <w:noProof/>
                <w:webHidden/>
              </w:rPr>
              <w:fldChar w:fldCharType="separate"/>
            </w:r>
            <w:r w:rsidR="00E947FE">
              <w:rPr>
                <w:noProof/>
                <w:webHidden/>
              </w:rPr>
              <w:t>16</w:t>
            </w:r>
            <w:r w:rsidR="00E947FE">
              <w:rPr>
                <w:noProof/>
                <w:webHidden/>
              </w:rPr>
              <w:fldChar w:fldCharType="end"/>
            </w:r>
          </w:hyperlink>
        </w:p>
        <w:p w14:paraId="78D6AE96"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07" w:history="1">
            <w:r w:rsidR="00E947FE" w:rsidRPr="008A275C">
              <w:rPr>
                <w:rStyle w:val="Hyperlink"/>
                <w:rFonts w:cs="Times New Roman"/>
                <w:noProof/>
              </w:rPr>
              <w:t>Operational Definition of Terms</w:t>
            </w:r>
            <w:r w:rsidR="00E947FE">
              <w:rPr>
                <w:noProof/>
                <w:webHidden/>
              </w:rPr>
              <w:tab/>
            </w:r>
            <w:r w:rsidR="00E947FE">
              <w:rPr>
                <w:noProof/>
                <w:webHidden/>
              </w:rPr>
              <w:fldChar w:fldCharType="begin"/>
            </w:r>
            <w:r w:rsidR="00E947FE">
              <w:rPr>
                <w:noProof/>
                <w:webHidden/>
              </w:rPr>
              <w:instrText xml:space="preserve"> PAGEREF _Toc78067507 \h </w:instrText>
            </w:r>
            <w:r w:rsidR="00E947FE">
              <w:rPr>
                <w:noProof/>
                <w:webHidden/>
              </w:rPr>
            </w:r>
            <w:r w:rsidR="00E947FE">
              <w:rPr>
                <w:noProof/>
                <w:webHidden/>
              </w:rPr>
              <w:fldChar w:fldCharType="separate"/>
            </w:r>
            <w:r w:rsidR="00E947FE">
              <w:rPr>
                <w:noProof/>
                <w:webHidden/>
              </w:rPr>
              <w:t>17</w:t>
            </w:r>
            <w:r w:rsidR="00E947FE">
              <w:rPr>
                <w:noProof/>
                <w:webHidden/>
              </w:rPr>
              <w:fldChar w:fldCharType="end"/>
            </w:r>
          </w:hyperlink>
        </w:p>
        <w:p w14:paraId="5EF4A7ED" w14:textId="77777777" w:rsidR="00E947FE" w:rsidRDefault="008F7402">
          <w:pPr>
            <w:pStyle w:val="TOC1"/>
            <w:tabs>
              <w:tab w:val="right" w:leader="dot" w:pos="8630"/>
            </w:tabs>
            <w:rPr>
              <w:rFonts w:asciiTheme="minorHAnsi" w:eastAsiaTheme="minorEastAsia" w:hAnsiTheme="minorHAnsi"/>
              <w:noProof/>
              <w:sz w:val="22"/>
              <w:lang w:val="en-US"/>
            </w:rPr>
          </w:pPr>
          <w:hyperlink w:anchor="_Toc78067508" w:history="1">
            <w:r w:rsidR="00E947FE" w:rsidRPr="008A275C">
              <w:rPr>
                <w:rStyle w:val="Hyperlink"/>
                <w:rFonts w:cs="Times New Roman"/>
                <w:noProof/>
              </w:rPr>
              <w:t>CHAPTER TWO</w:t>
            </w:r>
            <w:r w:rsidR="00E947FE">
              <w:rPr>
                <w:noProof/>
                <w:webHidden/>
              </w:rPr>
              <w:tab/>
            </w:r>
            <w:r w:rsidR="00E947FE">
              <w:rPr>
                <w:noProof/>
                <w:webHidden/>
              </w:rPr>
              <w:fldChar w:fldCharType="begin"/>
            </w:r>
            <w:r w:rsidR="00E947FE">
              <w:rPr>
                <w:noProof/>
                <w:webHidden/>
              </w:rPr>
              <w:instrText xml:space="preserve"> PAGEREF _Toc78067508 \h </w:instrText>
            </w:r>
            <w:r w:rsidR="00E947FE">
              <w:rPr>
                <w:noProof/>
                <w:webHidden/>
              </w:rPr>
            </w:r>
            <w:r w:rsidR="00E947FE">
              <w:rPr>
                <w:noProof/>
                <w:webHidden/>
              </w:rPr>
              <w:fldChar w:fldCharType="separate"/>
            </w:r>
            <w:r w:rsidR="00E947FE">
              <w:rPr>
                <w:noProof/>
                <w:webHidden/>
              </w:rPr>
              <w:t>19</w:t>
            </w:r>
            <w:r w:rsidR="00E947FE">
              <w:rPr>
                <w:noProof/>
                <w:webHidden/>
              </w:rPr>
              <w:fldChar w:fldCharType="end"/>
            </w:r>
          </w:hyperlink>
        </w:p>
        <w:p w14:paraId="6ADB1D9D" w14:textId="77777777" w:rsidR="00E947FE" w:rsidRDefault="008F7402">
          <w:pPr>
            <w:pStyle w:val="TOC1"/>
            <w:tabs>
              <w:tab w:val="right" w:leader="dot" w:pos="8630"/>
            </w:tabs>
            <w:rPr>
              <w:rFonts w:asciiTheme="minorHAnsi" w:eastAsiaTheme="minorEastAsia" w:hAnsiTheme="minorHAnsi"/>
              <w:noProof/>
              <w:sz w:val="22"/>
              <w:lang w:val="en-US"/>
            </w:rPr>
          </w:pPr>
          <w:hyperlink w:anchor="_Toc78067509" w:history="1">
            <w:r w:rsidR="00E947FE" w:rsidRPr="008A275C">
              <w:rPr>
                <w:rStyle w:val="Hyperlink"/>
                <w:rFonts w:cs="Times New Roman"/>
                <w:noProof/>
              </w:rPr>
              <w:t>REVIEW OF RELATED LITERATURE AND STUDIES</w:t>
            </w:r>
            <w:r w:rsidR="00E947FE">
              <w:rPr>
                <w:noProof/>
                <w:webHidden/>
              </w:rPr>
              <w:tab/>
            </w:r>
            <w:r w:rsidR="00E947FE">
              <w:rPr>
                <w:noProof/>
                <w:webHidden/>
              </w:rPr>
              <w:fldChar w:fldCharType="begin"/>
            </w:r>
            <w:r w:rsidR="00E947FE">
              <w:rPr>
                <w:noProof/>
                <w:webHidden/>
              </w:rPr>
              <w:instrText xml:space="preserve"> PAGEREF _Toc78067509 \h </w:instrText>
            </w:r>
            <w:r w:rsidR="00E947FE">
              <w:rPr>
                <w:noProof/>
                <w:webHidden/>
              </w:rPr>
            </w:r>
            <w:r w:rsidR="00E947FE">
              <w:rPr>
                <w:noProof/>
                <w:webHidden/>
              </w:rPr>
              <w:fldChar w:fldCharType="separate"/>
            </w:r>
            <w:r w:rsidR="00E947FE">
              <w:rPr>
                <w:noProof/>
                <w:webHidden/>
              </w:rPr>
              <w:t>19</w:t>
            </w:r>
            <w:r w:rsidR="00E947FE">
              <w:rPr>
                <w:noProof/>
                <w:webHidden/>
              </w:rPr>
              <w:fldChar w:fldCharType="end"/>
            </w:r>
          </w:hyperlink>
        </w:p>
        <w:p w14:paraId="730C0D2A"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10" w:history="1">
            <w:r w:rsidR="00E947FE" w:rsidRPr="008A275C">
              <w:rPr>
                <w:rStyle w:val="Hyperlink"/>
                <w:rFonts w:cs="Times New Roman"/>
                <w:noProof/>
              </w:rPr>
              <w:t>Introduction</w:t>
            </w:r>
            <w:r w:rsidR="00E947FE">
              <w:rPr>
                <w:noProof/>
                <w:webHidden/>
              </w:rPr>
              <w:tab/>
            </w:r>
            <w:r w:rsidR="00E947FE">
              <w:rPr>
                <w:noProof/>
                <w:webHidden/>
              </w:rPr>
              <w:fldChar w:fldCharType="begin"/>
            </w:r>
            <w:r w:rsidR="00E947FE">
              <w:rPr>
                <w:noProof/>
                <w:webHidden/>
              </w:rPr>
              <w:instrText xml:space="preserve"> PAGEREF _Toc78067510 \h </w:instrText>
            </w:r>
            <w:r w:rsidR="00E947FE">
              <w:rPr>
                <w:noProof/>
                <w:webHidden/>
              </w:rPr>
            </w:r>
            <w:r w:rsidR="00E947FE">
              <w:rPr>
                <w:noProof/>
                <w:webHidden/>
              </w:rPr>
              <w:fldChar w:fldCharType="separate"/>
            </w:r>
            <w:r w:rsidR="00E947FE">
              <w:rPr>
                <w:noProof/>
                <w:webHidden/>
              </w:rPr>
              <w:t>19</w:t>
            </w:r>
            <w:r w:rsidR="00E947FE">
              <w:rPr>
                <w:noProof/>
                <w:webHidden/>
              </w:rPr>
              <w:fldChar w:fldCharType="end"/>
            </w:r>
          </w:hyperlink>
        </w:p>
        <w:p w14:paraId="3061EB49"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11" w:history="1">
            <w:r w:rsidR="00E947FE" w:rsidRPr="008A275C">
              <w:rPr>
                <w:rStyle w:val="Hyperlink"/>
                <w:noProof/>
              </w:rPr>
              <w:t>Management Remuneration strategies</w:t>
            </w:r>
            <w:r w:rsidR="00E947FE">
              <w:rPr>
                <w:noProof/>
                <w:webHidden/>
              </w:rPr>
              <w:tab/>
            </w:r>
            <w:r w:rsidR="00E947FE">
              <w:rPr>
                <w:noProof/>
                <w:webHidden/>
              </w:rPr>
              <w:fldChar w:fldCharType="begin"/>
            </w:r>
            <w:r w:rsidR="00E947FE">
              <w:rPr>
                <w:noProof/>
                <w:webHidden/>
              </w:rPr>
              <w:instrText xml:space="preserve"> PAGEREF _Toc78067511 \h </w:instrText>
            </w:r>
            <w:r w:rsidR="00E947FE">
              <w:rPr>
                <w:noProof/>
                <w:webHidden/>
              </w:rPr>
            </w:r>
            <w:r w:rsidR="00E947FE">
              <w:rPr>
                <w:noProof/>
                <w:webHidden/>
              </w:rPr>
              <w:fldChar w:fldCharType="separate"/>
            </w:r>
            <w:r w:rsidR="00E947FE">
              <w:rPr>
                <w:noProof/>
                <w:webHidden/>
              </w:rPr>
              <w:t>19</w:t>
            </w:r>
            <w:r w:rsidR="00E947FE">
              <w:rPr>
                <w:noProof/>
                <w:webHidden/>
              </w:rPr>
              <w:fldChar w:fldCharType="end"/>
            </w:r>
          </w:hyperlink>
        </w:p>
        <w:p w14:paraId="378C2011" w14:textId="77777777" w:rsidR="00E947FE" w:rsidRDefault="008F7402">
          <w:pPr>
            <w:pStyle w:val="TOC3"/>
            <w:tabs>
              <w:tab w:val="right" w:leader="dot" w:pos="8630"/>
            </w:tabs>
            <w:rPr>
              <w:rFonts w:asciiTheme="minorHAnsi" w:eastAsiaTheme="minorEastAsia" w:hAnsiTheme="minorHAnsi"/>
              <w:noProof/>
              <w:sz w:val="22"/>
              <w:lang w:val="en-US"/>
            </w:rPr>
          </w:pPr>
          <w:hyperlink w:anchor="_Toc78067512" w:history="1">
            <w:r w:rsidR="00E947FE" w:rsidRPr="008A275C">
              <w:rPr>
                <w:rStyle w:val="Hyperlink"/>
                <w:noProof/>
                <w:lang w:val="en-US"/>
              </w:rPr>
              <w:t>Salary, bonus and benefit strategy</w:t>
            </w:r>
            <w:r w:rsidR="00E947FE">
              <w:rPr>
                <w:noProof/>
                <w:webHidden/>
              </w:rPr>
              <w:tab/>
            </w:r>
            <w:r w:rsidR="00E947FE">
              <w:rPr>
                <w:noProof/>
                <w:webHidden/>
              </w:rPr>
              <w:fldChar w:fldCharType="begin"/>
            </w:r>
            <w:r w:rsidR="00E947FE">
              <w:rPr>
                <w:noProof/>
                <w:webHidden/>
              </w:rPr>
              <w:instrText xml:space="preserve"> PAGEREF _Toc78067512 \h </w:instrText>
            </w:r>
            <w:r w:rsidR="00E947FE">
              <w:rPr>
                <w:noProof/>
                <w:webHidden/>
              </w:rPr>
            </w:r>
            <w:r w:rsidR="00E947FE">
              <w:rPr>
                <w:noProof/>
                <w:webHidden/>
              </w:rPr>
              <w:fldChar w:fldCharType="separate"/>
            </w:r>
            <w:r w:rsidR="00E947FE">
              <w:rPr>
                <w:noProof/>
                <w:webHidden/>
              </w:rPr>
              <w:t>21</w:t>
            </w:r>
            <w:r w:rsidR="00E947FE">
              <w:rPr>
                <w:noProof/>
                <w:webHidden/>
              </w:rPr>
              <w:fldChar w:fldCharType="end"/>
            </w:r>
          </w:hyperlink>
        </w:p>
        <w:p w14:paraId="15B71022" w14:textId="77777777" w:rsidR="00E947FE" w:rsidRDefault="008F7402">
          <w:pPr>
            <w:pStyle w:val="TOC3"/>
            <w:tabs>
              <w:tab w:val="right" w:leader="dot" w:pos="8630"/>
            </w:tabs>
            <w:rPr>
              <w:rFonts w:asciiTheme="minorHAnsi" w:eastAsiaTheme="minorEastAsia" w:hAnsiTheme="minorHAnsi"/>
              <w:noProof/>
              <w:sz w:val="22"/>
              <w:lang w:val="en-US"/>
            </w:rPr>
          </w:pPr>
          <w:hyperlink w:anchor="_Toc78067513" w:history="1">
            <w:r w:rsidR="00E947FE" w:rsidRPr="008A275C">
              <w:rPr>
                <w:rStyle w:val="Hyperlink"/>
                <w:noProof/>
                <w:lang w:val="en-US"/>
              </w:rPr>
              <w:t>Shares</w:t>
            </w:r>
            <w:r w:rsidR="00E947FE">
              <w:rPr>
                <w:noProof/>
                <w:webHidden/>
              </w:rPr>
              <w:tab/>
            </w:r>
            <w:r w:rsidR="00E947FE">
              <w:rPr>
                <w:noProof/>
                <w:webHidden/>
              </w:rPr>
              <w:fldChar w:fldCharType="begin"/>
            </w:r>
            <w:r w:rsidR="00E947FE">
              <w:rPr>
                <w:noProof/>
                <w:webHidden/>
              </w:rPr>
              <w:instrText xml:space="preserve"> PAGEREF _Toc78067513 \h </w:instrText>
            </w:r>
            <w:r w:rsidR="00E947FE">
              <w:rPr>
                <w:noProof/>
                <w:webHidden/>
              </w:rPr>
            </w:r>
            <w:r w:rsidR="00E947FE">
              <w:rPr>
                <w:noProof/>
                <w:webHidden/>
              </w:rPr>
              <w:fldChar w:fldCharType="separate"/>
            </w:r>
            <w:r w:rsidR="00E947FE">
              <w:rPr>
                <w:noProof/>
                <w:webHidden/>
              </w:rPr>
              <w:t>25</w:t>
            </w:r>
            <w:r w:rsidR="00E947FE">
              <w:rPr>
                <w:noProof/>
                <w:webHidden/>
              </w:rPr>
              <w:fldChar w:fldCharType="end"/>
            </w:r>
          </w:hyperlink>
        </w:p>
        <w:p w14:paraId="2AF2A7AB"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14" w:history="1">
            <w:r w:rsidR="00E947FE" w:rsidRPr="008A275C">
              <w:rPr>
                <w:rStyle w:val="Hyperlink"/>
                <w:rFonts w:cs="Times New Roman"/>
                <w:noProof/>
              </w:rPr>
              <w:t>Financial performance</w:t>
            </w:r>
            <w:r w:rsidR="00E947FE">
              <w:rPr>
                <w:noProof/>
                <w:webHidden/>
              </w:rPr>
              <w:tab/>
            </w:r>
            <w:r w:rsidR="00E947FE">
              <w:rPr>
                <w:noProof/>
                <w:webHidden/>
              </w:rPr>
              <w:fldChar w:fldCharType="begin"/>
            </w:r>
            <w:r w:rsidR="00E947FE">
              <w:rPr>
                <w:noProof/>
                <w:webHidden/>
              </w:rPr>
              <w:instrText xml:space="preserve"> PAGEREF _Toc78067514 \h </w:instrText>
            </w:r>
            <w:r w:rsidR="00E947FE">
              <w:rPr>
                <w:noProof/>
                <w:webHidden/>
              </w:rPr>
            </w:r>
            <w:r w:rsidR="00E947FE">
              <w:rPr>
                <w:noProof/>
                <w:webHidden/>
              </w:rPr>
              <w:fldChar w:fldCharType="separate"/>
            </w:r>
            <w:r w:rsidR="00E947FE">
              <w:rPr>
                <w:noProof/>
                <w:webHidden/>
              </w:rPr>
              <w:t>26</w:t>
            </w:r>
            <w:r w:rsidR="00E947FE">
              <w:rPr>
                <w:noProof/>
                <w:webHidden/>
              </w:rPr>
              <w:fldChar w:fldCharType="end"/>
            </w:r>
          </w:hyperlink>
        </w:p>
        <w:p w14:paraId="3A171141"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15" w:history="1">
            <w:r w:rsidR="00E947FE" w:rsidRPr="008A275C">
              <w:rPr>
                <w:rStyle w:val="Hyperlink"/>
                <w:rFonts w:cs="Times New Roman"/>
                <w:noProof/>
              </w:rPr>
              <w:t>Remuneration and Performance</w:t>
            </w:r>
            <w:r w:rsidR="00E947FE">
              <w:rPr>
                <w:noProof/>
                <w:webHidden/>
              </w:rPr>
              <w:tab/>
            </w:r>
            <w:r w:rsidR="00E947FE">
              <w:rPr>
                <w:noProof/>
                <w:webHidden/>
              </w:rPr>
              <w:fldChar w:fldCharType="begin"/>
            </w:r>
            <w:r w:rsidR="00E947FE">
              <w:rPr>
                <w:noProof/>
                <w:webHidden/>
              </w:rPr>
              <w:instrText xml:space="preserve"> PAGEREF _Toc78067515 \h </w:instrText>
            </w:r>
            <w:r w:rsidR="00E947FE">
              <w:rPr>
                <w:noProof/>
                <w:webHidden/>
              </w:rPr>
            </w:r>
            <w:r w:rsidR="00E947FE">
              <w:rPr>
                <w:noProof/>
                <w:webHidden/>
              </w:rPr>
              <w:fldChar w:fldCharType="separate"/>
            </w:r>
            <w:r w:rsidR="00E947FE">
              <w:rPr>
                <w:noProof/>
                <w:webHidden/>
              </w:rPr>
              <w:t>28</w:t>
            </w:r>
            <w:r w:rsidR="00E947FE">
              <w:rPr>
                <w:noProof/>
                <w:webHidden/>
              </w:rPr>
              <w:fldChar w:fldCharType="end"/>
            </w:r>
          </w:hyperlink>
        </w:p>
        <w:p w14:paraId="21FDC50E"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16" w:history="1">
            <w:r w:rsidR="00E947FE" w:rsidRPr="008A275C">
              <w:rPr>
                <w:rStyle w:val="Hyperlink"/>
                <w:rFonts w:cs="Times New Roman"/>
                <w:noProof/>
              </w:rPr>
              <w:t>Employees remuneration and Financial Performance of Organization</w:t>
            </w:r>
            <w:r w:rsidR="00E947FE">
              <w:rPr>
                <w:noProof/>
                <w:webHidden/>
              </w:rPr>
              <w:tab/>
            </w:r>
            <w:r w:rsidR="00E947FE">
              <w:rPr>
                <w:noProof/>
                <w:webHidden/>
              </w:rPr>
              <w:fldChar w:fldCharType="begin"/>
            </w:r>
            <w:r w:rsidR="00E947FE">
              <w:rPr>
                <w:noProof/>
                <w:webHidden/>
              </w:rPr>
              <w:instrText xml:space="preserve"> PAGEREF _Toc78067516 \h </w:instrText>
            </w:r>
            <w:r w:rsidR="00E947FE">
              <w:rPr>
                <w:noProof/>
                <w:webHidden/>
              </w:rPr>
            </w:r>
            <w:r w:rsidR="00E947FE">
              <w:rPr>
                <w:noProof/>
                <w:webHidden/>
              </w:rPr>
              <w:fldChar w:fldCharType="separate"/>
            </w:r>
            <w:r w:rsidR="00E947FE">
              <w:rPr>
                <w:noProof/>
                <w:webHidden/>
              </w:rPr>
              <w:t>30</w:t>
            </w:r>
            <w:r w:rsidR="00E947FE">
              <w:rPr>
                <w:noProof/>
                <w:webHidden/>
              </w:rPr>
              <w:fldChar w:fldCharType="end"/>
            </w:r>
          </w:hyperlink>
        </w:p>
        <w:p w14:paraId="1F7D66C8"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17" w:history="1">
            <w:r w:rsidR="00E947FE" w:rsidRPr="008A275C">
              <w:rPr>
                <w:rStyle w:val="Hyperlink"/>
                <w:rFonts w:cs="Times New Roman"/>
                <w:noProof/>
              </w:rPr>
              <w:t>Challenges Facing Compensation as Financial Performance Strategy</w:t>
            </w:r>
            <w:r w:rsidR="00E947FE">
              <w:rPr>
                <w:noProof/>
                <w:webHidden/>
              </w:rPr>
              <w:tab/>
            </w:r>
            <w:r w:rsidR="00E947FE">
              <w:rPr>
                <w:noProof/>
                <w:webHidden/>
              </w:rPr>
              <w:fldChar w:fldCharType="begin"/>
            </w:r>
            <w:r w:rsidR="00E947FE">
              <w:rPr>
                <w:noProof/>
                <w:webHidden/>
              </w:rPr>
              <w:instrText xml:space="preserve"> PAGEREF _Toc78067517 \h </w:instrText>
            </w:r>
            <w:r w:rsidR="00E947FE">
              <w:rPr>
                <w:noProof/>
                <w:webHidden/>
              </w:rPr>
            </w:r>
            <w:r w:rsidR="00E947FE">
              <w:rPr>
                <w:noProof/>
                <w:webHidden/>
              </w:rPr>
              <w:fldChar w:fldCharType="separate"/>
            </w:r>
            <w:r w:rsidR="00E947FE">
              <w:rPr>
                <w:noProof/>
                <w:webHidden/>
              </w:rPr>
              <w:t>32</w:t>
            </w:r>
            <w:r w:rsidR="00E947FE">
              <w:rPr>
                <w:noProof/>
                <w:webHidden/>
              </w:rPr>
              <w:fldChar w:fldCharType="end"/>
            </w:r>
          </w:hyperlink>
        </w:p>
        <w:p w14:paraId="28DCBF14"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18" w:history="1">
            <w:r w:rsidR="00E947FE" w:rsidRPr="008A275C">
              <w:rPr>
                <w:rStyle w:val="Hyperlink"/>
                <w:rFonts w:cs="Times New Roman"/>
                <w:noProof/>
              </w:rPr>
              <w:t>Summary and Research Gaps</w:t>
            </w:r>
            <w:r w:rsidR="00E947FE">
              <w:rPr>
                <w:noProof/>
                <w:webHidden/>
              </w:rPr>
              <w:tab/>
            </w:r>
            <w:r w:rsidR="00E947FE">
              <w:rPr>
                <w:noProof/>
                <w:webHidden/>
              </w:rPr>
              <w:fldChar w:fldCharType="begin"/>
            </w:r>
            <w:r w:rsidR="00E947FE">
              <w:rPr>
                <w:noProof/>
                <w:webHidden/>
              </w:rPr>
              <w:instrText xml:space="preserve"> PAGEREF _Toc78067518 \h </w:instrText>
            </w:r>
            <w:r w:rsidR="00E947FE">
              <w:rPr>
                <w:noProof/>
                <w:webHidden/>
              </w:rPr>
            </w:r>
            <w:r w:rsidR="00E947FE">
              <w:rPr>
                <w:noProof/>
                <w:webHidden/>
              </w:rPr>
              <w:fldChar w:fldCharType="separate"/>
            </w:r>
            <w:r w:rsidR="00E947FE">
              <w:rPr>
                <w:noProof/>
                <w:webHidden/>
              </w:rPr>
              <w:t>33</w:t>
            </w:r>
            <w:r w:rsidR="00E947FE">
              <w:rPr>
                <w:noProof/>
                <w:webHidden/>
              </w:rPr>
              <w:fldChar w:fldCharType="end"/>
            </w:r>
          </w:hyperlink>
        </w:p>
        <w:p w14:paraId="379B337D" w14:textId="77777777" w:rsidR="00E947FE" w:rsidRDefault="008F7402">
          <w:pPr>
            <w:pStyle w:val="TOC1"/>
            <w:tabs>
              <w:tab w:val="right" w:leader="dot" w:pos="8630"/>
            </w:tabs>
            <w:rPr>
              <w:rFonts w:asciiTheme="minorHAnsi" w:eastAsiaTheme="minorEastAsia" w:hAnsiTheme="minorHAnsi"/>
              <w:noProof/>
              <w:sz w:val="22"/>
              <w:lang w:val="en-US"/>
            </w:rPr>
          </w:pPr>
          <w:hyperlink w:anchor="_Toc78067519" w:history="1">
            <w:r w:rsidR="00E947FE" w:rsidRPr="008A275C">
              <w:rPr>
                <w:rStyle w:val="Hyperlink"/>
                <w:rFonts w:cs="Times New Roman"/>
                <w:noProof/>
              </w:rPr>
              <w:t>CHAPTER THREE</w:t>
            </w:r>
            <w:r w:rsidR="00E947FE">
              <w:rPr>
                <w:noProof/>
                <w:webHidden/>
              </w:rPr>
              <w:tab/>
            </w:r>
            <w:r w:rsidR="00E947FE">
              <w:rPr>
                <w:noProof/>
                <w:webHidden/>
              </w:rPr>
              <w:fldChar w:fldCharType="begin"/>
            </w:r>
            <w:r w:rsidR="00E947FE">
              <w:rPr>
                <w:noProof/>
                <w:webHidden/>
              </w:rPr>
              <w:instrText xml:space="preserve"> PAGEREF _Toc78067519 \h </w:instrText>
            </w:r>
            <w:r w:rsidR="00E947FE">
              <w:rPr>
                <w:noProof/>
                <w:webHidden/>
              </w:rPr>
            </w:r>
            <w:r w:rsidR="00E947FE">
              <w:rPr>
                <w:noProof/>
                <w:webHidden/>
              </w:rPr>
              <w:fldChar w:fldCharType="separate"/>
            </w:r>
            <w:r w:rsidR="00E947FE">
              <w:rPr>
                <w:noProof/>
                <w:webHidden/>
              </w:rPr>
              <w:t>36</w:t>
            </w:r>
            <w:r w:rsidR="00E947FE">
              <w:rPr>
                <w:noProof/>
                <w:webHidden/>
              </w:rPr>
              <w:fldChar w:fldCharType="end"/>
            </w:r>
          </w:hyperlink>
        </w:p>
        <w:p w14:paraId="5813185A" w14:textId="77777777" w:rsidR="00E947FE" w:rsidRDefault="008F7402">
          <w:pPr>
            <w:pStyle w:val="TOC1"/>
            <w:tabs>
              <w:tab w:val="right" w:leader="dot" w:pos="8630"/>
            </w:tabs>
            <w:rPr>
              <w:rFonts w:asciiTheme="minorHAnsi" w:eastAsiaTheme="minorEastAsia" w:hAnsiTheme="minorHAnsi"/>
              <w:noProof/>
              <w:sz w:val="22"/>
              <w:lang w:val="en-US"/>
            </w:rPr>
          </w:pPr>
          <w:hyperlink w:anchor="_Toc78067520" w:history="1">
            <w:r w:rsidR="00E947FE" w:rsidRPr="008A275C">
              <w:rPr>
                <w:rStyle w:val="Hyperlink"/>
                <w:rFonts w:cs="Times New Roman"/>
                <w:noProof/>
              </w:rPr>
              <w:t>RESEARCH METHODOLOGY</w:t>
            </w:r>
            <w:r w:rsidR="00E947FE">
              <w:rPr>
                <w:noProof/>
                <w:webHidden/>
              </w:rPr>
              <w:tab/>
            </w:r>
            <w:r w:rsidR="00E947FE">
              <w:rPr>
                <w:noProof/>
                <w:webHidden/>
              </w:rPr>
              <w:fldChar w:fldCharType="begin"/>
            </w:r>
            <w:r w:rsidR="00E947FE">
              <w:rPr>
                <w:noProof/>
                <w:webHidden/>
              </w:rPr>
              <w:instrText xml:space="preserve"> PAGEREF _Toc78067520 \h </w:instrText>
            </w:r>
            <w:r w:rsidR="00E947FE">
              <w:rPr>
                <w:noProof/>
                <w:webHidden/>
              </w:rPr>
            </w:r>
            <w:r w:rsidR="00E947FE">
              <w:rPr>
                <w:noProof/>
                <w:webHidden/>
              </w:rPr>
              <w:fldChar w:fldCharType="separate"/>
            </w:r>
            <w:r w:rsidR="00E947FE">
              <w:rPr>
                <w:noProof/>
                <w:webHidden/>
              </w:rPr>
              <w:t>36</w:t>
            </w:r>
            <w:r w:rsidR="00E947FE">
              <w:rPr>
                <w:noProof/>
                <w:webHidden/>
              </w:rPr>
              <w:fldChar w:fldCharType="end"/>
            </w:r>
          </w:hyperlink>
        </w:p>
        <w:p w14:paraId="6F9A1BA5"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21" w:history="1">
            <w:r w:rsidR="00E947FE" w:rsidRPr="008A275C">
              <w:rPr>
                <w:rStyle w:val="Hyperlink"/>
                <w:noProof/>
              </w:rPr>
              <w:t>Introduction</w:t>
            </w:r>
            <w:r w:rsidR="00E947FE">
              <w:rPr>
                <w:noProof/>
                <w:webHidden/>
              </w:rPr>
              <w:tab/>
            </w:r>
            <w:r w:rsidR="00E947FE">
              <w:rPr>
                <w:noProof/>
                <w:webHidden/>
              </w:rPr>
              <w:fldChar w:fldCharType="begin"/>
            </w:r>
            <w:r w:rsidR="00E947FE">
              <w:rPr>
                <w:noProof/>
                <w:webHidden/>
              </w:rPr>
              <w:instrText xml:space="preserve"> PAGEREF _Toc78067521 \h </w:instrText>
            </w:r>
            <w:r w:rsidR="00E947FE">
              <w:rPr>
                <w:noProof/>
                <w:webHidden/>
              </w:rPr>
            </w:r>
            <w:r w:rsidR="00E947FE">
              <w:rPr>
                <w:noProof/>
                <w:webHidden/>
              </w:rPr>
              <w:fldChar w:fldCharType="separate"/>
            </w:r>
            <w:r w:rsidR="00E947FE">
              <w:rPr>
                <w:noProof/>
                <w:webHidden/>
              </w:rPr>
              <w:t>36</w:t>
            </w:r>
            <w:r w:rsidR="00E947FE">
              <w:rPr>
                <w:noProof/>
                <w:webHidden/>
              </w:rPr>
              <w:fldChar w:fldCharType="end"/>
            </w:r>
          </w:hyperlink>
        </w:p>
        <w:p w14:paraId="062378D0"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22" w:history="1">
            <w:r w:rsidR="00E947FE" w:rsidRPr="008A275C">
              <w:rPr>
                <w:rStyle w:val="Hyperlink"/>
                <w:rFonts w:cs="Times New Roman"/>
                <w:noProof/>
              </w:rPr>
              <w:t>Research Designs</w:t>
            </w:r>
            <w:r w:rsidR="00E947FE">
              <w:rPr>
                <w:noProof/>
                <w:webHidden/>
              </w:rPr>
              <w:tab/>
            </w:r>
            <w:r w:rsidR="00E947FE">
              <w:rPr>
                <w:noProof/>
                <w:webHidden/>
              </w:rPr>
              <w:fldChar w:fldCharType="begin"/>
            </w:r>
            <w:r w:rsidR="00E947FE">
              <w:rPr>
                <w:noProof/>
                <w:webHidden/>
              </w:rPr>
              <w:instrText xml:space="preserve"> PAGEREF _Toc78067522 \h </w:instrText>
            </w:r>
            <w:r w:rsidR="00E947FE">
              <w:rPr>
                <w:noProof/>
                <w:webHidden/>
              </w:rPr>
            </w:r>
            <w:r w:rsidR="00E947FE">
              <w:rPr>
                <w:noProof/>
                <w:webHidden/>
              </w:rPr>
              <w:fldChar w:fldCharType="separate"/>
            </w:r>
            <w:r w:rsidR="00E947FE">
              <w:rPr>
                <w:noProof/>
                <w:webHidden/>
              </w:rPr>
              <w:t>36</w:t>
            </w:r>
            <w:r w:rsidR="00E947FE">
              <w:rPr>
                <w:noProof/>
                <w:webHidden/>
              </w:rPr>
              <w:fldChar w:fldCharType="end"/>
            </w:r>
          </w:hyperlink>
        </w:p>
        <w:p w14:paraId="19DE7E62"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23" w:history="1">
            <w:r w:rsidR="00E947FE" w:rsidRPr="008A275C">
              <w:rPr>
                <w:rStyle w:val="Hyperlink"/>
                <w:rFonts w:cs="Times New Roman"/>
                <w:noProof/>
              </w:rPr>
              <w:t>Population and Sampling Techniques</w:t>
            </w:r>
            <w:r w:rsidR="00E947FE">
              <w:rPr>
                <w:noProof/>
                <w:webHidden/>
              </w:rPr>
              <w:tab/>
            </w:r>
            <w:r w:rsidR="00E947FE">
              <w:rPr>
                <w:noProof/>
                <w:webHidden/>
              </w:rPr>
              <w:fldChar w:fldCharType="begin"/>
            </w:r>
            <w:r w:rsidR="00E947FE">
              <w:rPr>
                <w:noProof/>
                <w:webHidden/>
              </w:rPr>
              <w:instrText xml:space="preserve"> PAGEREF _Toc78067523 \h </w:instrText>
            </w:r>
            <w:r w:rsidR="00E947FE">
              <w:rPr>
                <w:noProof/>
                <w:webHidden/>
              </w:rPr>
            </w:r>
            <w:r w:rsidR="00E947FE">
              <w:rPr>
                <w:noProof/>
                <w:webHidden/>
              </w:rPr>
              <w:fldChar w:fldCharType="separate"/>
            </w:r>
            <w:r w:rsidR="00E947FE">
              <w:rPr>
                <w:noProof/>
                <w:webHidden/>
              </w:rPr>
              <w:t>36</w:t>
            </w:r>
            <w:r w:rsidR="00E947FE">
              <w:rPr>
                <w:noProof/>
                <w:webHidden/>
              </w:rPr>
              <w:fldChar w:fldCharType="end"/>
            </w:r>
          </w:hyperlink>
        </w:p>
        <w:p w14:paraId="07A33FA2"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24" w:history="1">
            <w:r w:rsidR="00E947FE" w:rsidRPr="008A275C">
              <w:rPr>
                <w:rStyle w:val="Hyperlink"/>
                <w:rFonts w:cs="Times New Roman"/>
                <w:noProof/>
              </w:rPr>
              <w:t>Data Collection Tools</w:t>
            </w:r>
            <w:r w:rsidR="00E947FE">
              <w:rPr>
                <w:noProof/>
                <w:webHidden/>
              </w:rPr>
              <w:tab/>
            </w:r>
            <w:r w:rsidR="00E947FE">
              <w:rPr>
                <w:noProof/>
                <w:webHidden/>
              </w:rPr>
              <w:fldChar w:fldCharType="begin"/>
            </w:r>
            <w:r w:rsidR="00E947FE">
              <w:rPr>
                <w:noProof/>
                <w:webHidden/>
              </w:rPr>
              <w:instrText xml:space="preserve"> PAGEREF _Toc78067524 \h </w:instrText>
            </w:r>
            <w:r w:rsidR="00E947FE">
              <w:rPr>
                <w:noProof/>
                <w:webHidden/>
              </w:rPr>
            </w:r>
            <w:r w:rsidR="00E947FE">
              <w:rPr>
                <w:noProof/>
                <w:webHidden/>
              </w:rPr>
              <w:fldChar w:fldCharType="separate"/>
            </w:r>
            <w:r w:rsidR="00E947FE">
              <w:rPr>
                <w:noProof/>
                <w:webHidden/>
              </w:rPr>
              <w:t>37</w:t>
            </w:r>
            <w:r w:rsidR="00E947FE">
              <w:rPr>
                <w:noProof/>
                <w:webHidden/>
              </w:rPr>
              <w:fldChar w:fldCharType="end"/>
            </w:r>
          </w:hyperlink>
        </w:p>
        <w:p w14:paraId="1CCCEF03"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25" w:history="1">
            <w:r w:rsidR="00E947FE" w:rsidRPr="008A275C">
              <w:rPr>
                <w:rStyle w:val="Hyperlink"/>
                <w:rFonts w:cs="Times New Roman"/>
                <w:noProof/>
              </w:rPr>
              <w:t>Data Collection Procedure</w:t>
            </w:r>
            <w:r w:rsidR="00E947FE">
              <w:rPr>
                <w:noProof/>
                <w:webHidden/>
              </w:rPr>
              <w:tab/>
            </w:r>
            <w:r w:rsidR="00E947FE">
              <w:rPr>
                <w:noProof/>
                <w:webHidden/>
              </w:rPr>
              <w:fldChar w:fldCharType="begin"/>
            </w:r>
            <w:r w:rsidR="00E947FE">
              <w:rPr>
                <w:noProof/>
                <w:webHidden/>
              </w:rPr>
              <w:instrText xml:space="preserve"> PAGEREF _Toc78067525 \h </w:instrText>
            </w:r>
            <w:r w:rsidR="00E947FE">
              <w:rPr>
                <w:noProof/>
                <w:webHidden/>
              </w:rPr>
            </w:r>
            <w:r w:rsidR="00E947FE">
              <w:rPr>
                <w:noProof/>
                <w:webHidden/>
              </w:rPr>
              <w:fldChar w:fldCharType="separate"/>
            </w:r>
            <w:r w:rsidR="00E947FE">
              <w:rPr>
                <w:noProof/>
                <w:webHidden/>
              </w:rPr>
              <w:t>38</w:t>
            </w:r>
            <w:r w:rsidR="00E947FE">
              <w:rPr>
                <w:noProof/>
                <w:webHidden/>
              </w:rPr>
              <w:fldChar w:fldCharType="end"/>
            </w:r>
          </w:hyperlink>
        </w:p>
        <w:p w14:paraId="7CFA12AA"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26" w:history="1">
            <w:r w:rsidR="00E947FE" w:rsidRPr="008A275C">
              <w:rPr>
                <w:rStyle w:val="Hyperlink"/>
                <w:rFonts w:cs="Times New Roman"/>
                <w:noProof/>
              </w:rPr>
              <w:t>Data Analysis</w:t>
            </w:r>
            <w:r w:rsidR="00E947FE">
              <w:rPr>
                <w:noProof/>
                <w:webHidden/>
              </w:rPr>
              <w:tab/>
            </w:r>
            <w:r w:rsidR="00E947FE">
              <w:rPr>
                <w:noProof/>
                <w:webHidden/>
              </w:rPr>
              <w:fldChar w:fldCharType="begin"/>
            </w:r>
            <w:r w:rsidR="00E947FE">
              <w:rPr>
                <w:noProof/>
                <w:webHidden/>
              </w:rPr>
              <w:instrText xml:space="preserve"> PAGEREF _Toc78067526 \h </w:instrText>
            </w:r>
            <w:r w:rsidR="00E947FE">
              <w:rPr>
                <w:noProof/>
                <w:webHidden/>
              </w:rPr>
            </w:r>
            <w:r w:rsidR="00E947FE">
              <w:rPr>
                <w:noProof/>
                <w:webHidden/>
              </w:rPr>
              <w:fldChar w:fldCharType="separate"/>
            </w:r>
            <w:r w:rsidR="00E947FE">
              <w:rPr>
                <w:noProof/>
                <w:webHidden/>
              </w:rPr>
              <w:t>38</w:t>
            </w:r>
            <w:r w:rsidR="00E947FE">
              <w:rPr>
                <w:noProof/>
                <w:webHidden/>
              </w:rPr>
              <w:fldChar w:fldCharType="end"/>
            </w:r>
          </w:hyperlink>
        </w:p>
        <w:p w14:paraId="20AAF607"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27" w:history="1">
            <w:r w:rsidR="00E947FE" w:rsidRPr="008A275C">
              <w:rPr>
                <w:rStyle w:val="Hyperlink"/>
                <w:rFonts w:cs="Times New Roman"/>
                <w:noProof/>
              </w:rPr>
              <w:t>Ethical Considerations</w:t>
            </w:r>
            <w:r w:rsidR="00E947FE">
              <w:rPr>
                <w:noProof/>
                <w:webHidden/>
              </w:rPr>
              <w:tab/>
            </w:r>
            <w:r w:rsidR="00E947FE">
              <w:rPr>
                <w:noProof/>
                <w:webHidden/>
              </w:rPr>
              <w:fldChar w:fldCharType="begin"/>
            </w:r>
            <w:r w:rsidR="00E947FE">
              <w:rPr>
                <w:noProof/>
                <w:webHidden/>
              </w:rPr>
              <w:instrText xml:space="preserve"> PAGEREF _Toc78067527 \h </w:instrText>
            </w:r>
            <w:r w:rsidR="00E947FE">
              <w:rPr>
                <w:noProof/>
                <w:webHidden/>
              </w:rPr>
            </w:r>
            <w:r w:rsidR="00E947FE">
              <w:rPr>
                <w:noProof/>
                <w:webHidden/>
              </w:rPr>
              <w:fldChar w:fldCharType="separate"/>
            </w:r>
            <w:r w:rsidR="00E947FE">
              <w:rPr>
                <w:noProof/>
                <w:webHidden/>
              </w:rPr>
              <w:t>40</w:t>
            </w:r>
            <w:r w:rsidR="00E947FE">
              <w:rPr>
                <w:noProof/>
                <w:webHidden/>
              </w:rPr>
              <w:fldChar w:fldCharType="end"/>
            </w:r>
          </w:hyperlink>
        </w:p>
        <w:p w14:paraId="59AD1E2B" w14:textId="77777777" w:rsidR="00E947FE" w:rsidRDefault="008F7402">
          <w:pPr>
            <w:pStyle w:val="TOC1"/>
            <w:tabs>
              <w:tab w:val="right" w:leader="dot" w:pos="8630"/>
            </w:tabs>
            <w:rPr>
              <w:rFonts w:asciiTheme="minorHAnsi" w:eastAsiaTheme="minorEastAsia" w:hAnsiTheme="minorHAnsi"/>
              <w:noProof/>
              <w:sz w:val="22"/>
              <w:lang w:val="en-US"/>
            </w:rPr>
          </w:pPr>
          <w:hyperlink w:anchor="_Toc78067528" w:history="1">
            <w:r w:rsidR="00E947FE" w:rsidRPr="008A275C">
              <w:rPr>
                <w:rStyle w:val="Hyperlink"/>
                <w:noProof/>
              </w:rPr>
              <w:t>CHAPTER FOUR</w:t>
            </w:r>
            <w:r w:rsidR="00E947FE">
              <w:rPr>
                <w:noProof/>
                <w:webHidden/>
              </w:rPr>
              <w:tab/>
            </w:r>
            <w:r w:rsidR="00E947FE">
              <w:rPr>
                <w:noProof/>
                <w:webHidden/>
              </w:rPr>
              <w:fldChar w:fldCharType="begin"/>
            </w:r>
            <w:r w:rsidR="00E947FE">
              <w:rPr>
                <w:noProof/>
                <w:webHidden/>
              </w:rPr>
              <w:instrText xml:space="preserve"> PAGEREF _Toc78067528 \h </w:instrText>
            </w:r>
            <w:r w:rsidR="00E947FE">
              <w:rPr>
                <w:noProof/>
                <w:webHidden/>
              </w:rPr>
            </w:r>
            <w:r w:rsidR="00E947FE">
              <w:rPr>
                <w:noProof/>
                <w:webHidden/>
              </w:rPr>
              <w:fldChar w:fldCharType="separate"/>
            </w:r>
            <w:r w:rsidR="00E947FE">
              <w:rPr>
                <w:noProof/>
                <w:webHidden/>
              </w:rPr>
              <w:t>41</w:t>
            </w:r>
            <w:r w:rsidR="00E947FE">
              <w:rPr>
                <w:noProof/>
                <w:webHidden/>
              </w:rPr>
              <w:fldChar w:fldCharType="end"/>
            </w:r>
          </w:hyperlink>
        </w:p>
        <w:p w14:paraId="616B373A" w14:textId="77777777" w:rsidR="00E947FE" w:rsidRDefault="008F7402">
          <w:pPr>
            <w:pStyle w:val="TOC1"/>
            <w:tabs>
              <w:tab w:val="right" w:leader="dot" w:pos="8630"/>
            </w:tabs>
            <w:rPr>
              <w:rFonts w:asciiTheme="minorHAnsi" w:eastAsiaTheme="minorEastAsia" w:hAnsiTheme="minorHAnsi"/>
              <w:noProof/>
              <w:sz w:val="22"/>
              <w:lang w:val="en-US"/>
            </w:rPr>
          </w:pPr>
          <w:hyperlink w:anchor="_Toc78067529" w:history="1">
            <w:r w:rsidR="00E947FE" w:rsidRPr="008A275C">
              <w:rPr>
                <w:rStyle w:val="Hyperlink"/>
                <w:noProof/>
              </w:rPr>
              <w:t>PRESENTATION OF FINDINGS, ANALYSIS AND INTERPRETATION</w:t>
            </w:r>
            <w:r w:rsidR="00E947FE">
              <w:rPr>
                <w:noProof/>
                <w:webHidden/>
              </w:rPr>
              <w:tab/>
            </w:r>
            <w:r w:rsidR="00E947FE">
              <w:rPr>
                <w:noProof/>
                <w:webHidden/>
              </w:rPr>
              <w:fldChar w:fldCharType="begin"/>
            </w:r>
            <w:r w:rsidR="00E947FE">
              <w:rPr>
                <w:noProof/>
                <w:webHidden/>
              </w:rPr>
              <w:instrText xml:space="preserve"> PAGEREF _Toc78067529 \h </w:instrText>
            </w:r>
            <w:r w:rsidR="00E947FE">
              <w:rPr>
                <w:noProof/>
                <w:webHidden/>
              </w:rPr>
            </w:r>
            <w:r w:rsidR="00E947FE">
              <w:rPr>
                <w:noProof/>
                <w:webHidden/>
              </w:rPr>
              <w:fldChar w:fldCharType="separate"/>
            </w:r>
            <w:r w:rsidR="00E947FE">
              <w:rPr>
                <w:noProof/>
                <w:webHidden/>
              </w:rPr>
              <w:t>41</w:t>
            </w:r>
            <w:r w:rsidR="00E947FE">
              <w:rPr>
                <w:noProof/>
                <w:webHidden/>
              </w:rPr>
              <w:fldChar w:fldCharType="end"/>
            </w:r>
          </w:hyperlink>
        </w:p>
        <w:p w14:paraId="6932A394"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30" w:history="1">
            <w:r w:rsidR="00E947FE" w:rsidRPr="008A275C">
              <w:rPr>
                <w:rStyle w:val="Hyperlink"/>
                <w:noProof/>
              </w:rPr>
              <w:t>Introduction</w:t>
            </w:r>
            <w:r w:rsidR="00E947FE">
              <w:rPr>
                <w:noProof/>
                <w:webHidden/>
              </w:rPr>
              <w:tab/>
            </w:r>
            <w:r w:rsidR="00E947FE">
              <w:rPr>
                <w:noProof/>
                <w:webHidden/>
              </w:rPr>
              <w:fldChar w:fldCharType="begin"/>
            </w:r>
            <w:r w:rsidR="00E947FE">
              <w:rPr>
                <w:noProof/>
                <w:webHidden/>
              </w:rPr>
              <w:instrText xml:space="preserve"> PAGEREF _Toc78067530 \h </w:instrText>
            </w:r>
            <w:r w:rsidR="00E947FE">
              <w:rPr>
                <w:noProof/>
                <w:webHidden/>
              </w:rPr>
            </w:r>
            <w:r w:rsidR="00E947FE">
              <w:rPr>
                <w:noProof/>
                <w:webHidden/>
              </w:rPr>
              <w:fldChar w:fldCharType="separate"/>
            </w:r>
            <w:r w:rsidR="00E947FE">
              <w:rPr>
                <w:noProof/>
                <w:webHidden/>
              </w:rPr>
              <w:t>41</w:t>
            </w:r>
            <w:r w:rsidR="00E947FE">
              <w:rPr>
                <w:noProof/>
                <w:webHidden/>
              </w:rPr>
              <w:fldChar w:fldCharType="end"/>
            </w:r>
          </w:hyperlink>
        </w:p>
        <w:p w14:paraId="56BA5A1A"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31" w:history="1">
            <w:r w:rsidR="00E947FE" w:rsidRPr="008A275C">
              <w:rPr>
                <w:rStyle w:val="Hyperlink"/>
                <w:noProof/>
              </w:rPr>
              <w:t>Findings and discussion</w:t>
            </w:r>
            <w:r w:rsidR="00E947FE">
              <w:rPr>
                <w:noProof/>
                <w:webHidden/>
              </w:rPr>
              <w:tab/>
            </w:r>
            <w:r w:rsidR="00E947FE">
              <w:rPr>
                <w:noProof/>
                <w:webHidden/>
              </w:rPr>
              <w:fldChar w:fldCharType="begin"/>
            </w:r>
            <w:r w:rsidR="00E947FE">
              <w:rPr>
                <w:noProof/>
                <w:webHidden/>
              </w:rPr>
              <w:instrText xml:space="preserve"> PAGEREF _Toc78067531 \h </w:instrText>
            </w:r>
            <w:r w:rsidR="00E947FE">
              <w:rPr>
                <w:noProof/>
                <w:webHidden/>
              </w:rPr>
            </w:r>
            <w:r w:rsidR="00E947FE">
              <w:rPr>
                <w:noProof/>
                <w:webHidden/>
              </w:rPr>
              <w:fldChar w:fldCharType="separate"/>
            </w:r>
            <w:r w:rsidR="00E947FE">
              <w:rPr>
                <w:noProof/>
                <w:webHidden/>
              </w:rPr>
              <w:t>41</w:t>
            </w:r>
            <w:r w:rsidR="00E947FE">
              <w:rPr>
                <w:noProof/>
                <w:webHidden/>
              </w:rPr>
              <w:fldChar w:fldCharType="end"/>
            </w:r>
          </w:hyperlink>
        </w:p>
        <w:p w14:paraId="461F8285" w14:textId="77777777" w:rsidR="00E947FE" w:rsidRDefault="008F7402">
          <w:pPr>
            <w:pStyle w:val="TOC3"/>
            <w:tabs>
              <w:tab w:val="right" w:leader="dot" w:pos="8630"/>
            </w:tabs>
            <w:rPr>
              <w:rFonts w:asciiTheme="minorHAnsi" w:eastAsiaTheme="minorEastAsia" w:hAnsiTheme="minorHAnsi"/>
              <w:noProof/>
              <w:sz w:val="22"/>
              <w:lang w:val="en-US"/>
            </w:rPr>
          </w:pPr>
          <w:hyperlink w:anchor="_Toc78067532" w:history="1">
            <w:r w:rsidR="00E947FE" w:rsidRPr="008A275C">
              <w:rPr>
                <w:rStyle w:val="Hyperlink"/>
                <w:noProof/>
              </w:rPr>
              <w:t>Remuneration strategies utilized by selected public listed companies.</w:t>
            </w:r>
            <w:r w:rsidR="00E947FE">
              <w:rPr>
                <w:noProof/>
                <w:webHidden/>
              </w:rPr>
              <w:tab/>
            </w:r>
            <w:r w:rsidR="00E947FE">
              <w:rPr>
                <w:noProof/>
                <w:webHidden/>
              </w:rPr>
              <w:fldChar w:fldCharType="begin"/>
            </w:r>
            <w:r w:rsidR="00E947FE">
              <w:rPr>
                <w:noProof/>
                <w:webHidden/>
              </w:rPr>
              <w:instrText xml:space="preserve"> PAGEREF _Toc78067532 \h </w:instrText>
            </w:r>
            <w:r w:rsidR="00E947FE">
              <w:rPr>
                <w:noProof/>
                <w:webHidden/>
              </w:rPr>
            </w:r>
            <w:r w:rsidR="00E947FE">
              <w:rPr>
                <w:noProof/>
                <w:webHidden/>
              </w:rPr>
              <w:fldChar w:fldCharType="separate"/>
            </w:r>
            <w:r w:rsidR="00E947FE">
              <w:rPr>
                <w:noProof/>
                <w:webHidden/>
              </w:rPr>
              <w:t>41</w:t>
            </w:r>
            <w:r w:rsidR="00E947FE">
              <w:rPr>
                <w:noProof/>
                <w:webHidden/>
              </w:rPr>
              <w:fldChar w:fldCharType="end"/>
            </w:r>
          </w:hyperlink>
        </w:p>
        <w:p w14:paraId="41DEF172" w14:textId="77777777" w:rsidR="00E947FE" w:rsidRDefault="008F7402">
          <w:pPr>
            <w:pStyle w:val="TOC3"/>
            <w:tabs>
              <w:tab w:val="right" w:leader="dot" w:pos="8630"/>
            </w:tabs>
            <w:rPr>
              <w:rFonts w:asciiTheme="minorHAnsi" w:eastAsiaTheme="minorEastAsia" w:hAnsiTheme="minorHAnsi"/>
              <w:noProof/>
              <w:sz w:val="22"/>
              <w:lang w:val="en-US"/>
            </w:rPr>
          </w:pPr>
          <w:hyperlink w:anchor="_Toc78067533" w:history="1">
            <w:r w:rsidR="00E947FE" w:rsidRPr="008A275C">
              <w:rPr>
                <w:rStyle w:val="Hyperlink"/>
                <w:noProof/>
              </w:rPr>
              <w:t>Financial performance of public listed companies</w:t>
            </w:r>
            <w:r w:rsidR="00E947FE">
              <w:rPr>
                <w:noProof/>
                <w:webHidden/>
              </w:rPr>
              <w:tab/>
            </w:r>
            <w:r w:rsidR="00E947FE">
              <w:rPr>
                <w:noProof/>
                <w:webHidden/>
              </w:rPr>
              <w:fldChar w:fldCharType="begin"/>
            </w:r>
            <w:r w:rsidR="00E947FE">
              <w:rPr>
                <w:noProof/>
                <w:webHidden/>
              </w:rPr>
              <w:instrText xml:space="preserve"> PAGEREF _Toc78067533 \h </w:instrText>
            </w:r>
            <w:r w:rsidR="00E947FE">
              <w:rPr>
                <w:noProof/>
                <w:webHidden/>
              </w:rPr>
            </w:r>
            <w:r w:rsidR="00E947FE">
              <w:rPr>
                <w:noProof/>
                <w:webHidden/>
              </w:rPr>
              <w:fldChar w:fldCharType="separate"/>
            </w:r>
            <w:r w:rsidR="00E947FE">
              <w:rPr>
                <w:noProof/>
                <w:webHidden/>
              </w:rPr>
              <w:t>44</w:t>
            </w:r>
            <w:r w:rsidR="00E947FE">
              <w:rPr>
                <w:noProof/>
                <w:webHidden/>
              </w:rPr>
              <w:fldChar w:fldCharType="end"/>
            </w:r>
          </w:hyperlink>
        </w:p>
        <w:p w14:paraId="20E1870C" w14:textId="77777777" w:rsidR="00E947FE" w:rsidRDefault="008F7402">
          <w:pPr>
            <w:pStyle w:val="TOC3"/>
            <w:tabs>
              <w:tab w:val="right" w:leader="dot" w:pos="8630"/>
            </w:tabs>
            <w:rPr>
              <w:rFonts w:asciiTheme="minorHAnsi" w:eastAsiaTheme="minorEastAsia" w:hAnsiTheme="minorHAnsi"/>
              <w:noProof/>
              <w:sz w:val="22"/>
              <w:lang w:val="en-US"/>
            </w:rPr>
          </w:pPr>
          <w:hyperlink w:anchor="_Toc78067534" w:history="1">
            <w:r w:rsidR="00E947FE" w:rsidRPr="008A275C">
              <w:rPr>
                <w:rStyle w:val="Hyperlink"/>
                <w:noProof/>
              </w:rPr>
              <w:t>Relationship between management remuneration and financial performance</w:t>
            </w:r>
            <w:r w:rsidR="00E947FE">
              <w:rPr>
                <w:noProof/>
                <w:webHidden/>
              </w:rPr>
              <w:tab/>
            </w:r>
            <w:r w:rsidR="00E947FE">
              <w:rPr>
                <w:noProof/>
                <w:webHidden/>
              </w:rPr>
              <w:fldChar w:fldCharType="begin"/>
            </w:r>
            <w:r w:rsidR="00E947FE">
              <w:rPr>
                <w:noProof/>
                <w:webHidden/>
              </w:rPr>
              <w:instrText xml:space="preserve"> PAGEREF _Toc78067534 \h </w:instrText>
            </w:r>
            <w:r w:rsidR="00E947FE">
              <w:rPr>
                <w:noProof/>
                <w:webHidden/>
              </w:rPr>
            </w:r>
            <w:r w:rsidR="00E947FE">
              <w:rPr>
                <w:noProof/>
                <w:webHidden/>
              </w:rPr>
              <w:fldChar w:fldCharType="separate"/>
            </w:r>
            <w:r w:rsidR="00E947FE">
              <w:rPr>
                <w:noProof/>
                <w:webHidden/>
              </w:rPr>
              <w:t>48</w:t>
            </w:r>
            <w:r w:rsidR="00E947FE">
              <w:rPr>
                <w:noProof/>
                <w:webHidden/>
              </w:rPr>
              <w:fldChar w:fldCharType="end"/>
            </w:r>
          </w:hyperlink>
        </w:p>
        <w:p w14:paraId="070688AA" w14:textId="77777777" w:rsidR="00E947FE" w:rsidRDefault="008F7402">
          <w:pPr>
            <w:pStyle w:val="TOC3"/>
            <w:tabs>
              <w:tab w:val="right" w:leader="dot" w:pos="8630"/>
            </w:tabs>
            <w:rPr>
              <w:rFonts w:asciiTheme="minorHAnsi" w:eastAsiaTheme="minorEastAsia" w:hAnsiTheme="minorHAnsi"/>
              <w:noProof/>
              <w:sz w:val="22"/>
              <w:lang w:val="en-US"/>
            </w:rPr>
          </w:pPr>
          <w:hyperlink w:anchor="_Toc78067535" w:history="1">
            <w:r w:rsidR="00E947FE" w:rsidRPr="008A275C">
              <w:rPr>
                <w:rStyle w:val="Hyperlink"/>
                <w:noProof/>
              </w:rPr>
              <w:t>Management remuneration measure that are best predictors of financial performance</w:t>
            </w:r>
            <w:r w:rsidR="00E947FE">
              <w:rPr>
                <w:noProof/>
                <w:webHidden/>
              </w:rPr>
              <w:tab/>
            </w:r>
            <w:r w:rsidR="00E947FE">
              <w:rPr>
                <w:noProof/>
                <w:webHidden/>
              </w:rPr>
              <w:fldChar w:fldCharType="begin"/>
            </w:r>
            <w:r w:rsidR="00E947FE">
              <w:rPr>
                <w:noProof/>
                <w:webHidden/>
              </w:rPr>
              <w:instrText xml:space="preserve"> PAGEREF _Toc78067535 \h </w:instrText>
            </w:r>
            <w:r w:rsidR="00E947FE">
              <w:rPr>
                <w:noProof/>
                <w:webHidden/>
              </w:rPr>
            </w:r>
            <w:r w:rsidR="00E947FE">
              <w:rPr>
                <w:noProof/>
                <w:webHidden/>
              </w:rPr>
              <w:fldChar w:fldCharType="separate"/>
            </w:r>
            <w:r w:rsidR="00E947FE">
              <w:rPr>
                <w:noProof/>
                <w:webHidden/>
              </w:rPr>
              <w:t>52</w:t>
            </w:r>
            <w:r w:rsidR="00E947FE">
              <w:rPr>
                <w:noProof/>
                <w:webHidden/>
              </w:rPr>
              <w:fldChar w:fldCharType="end"/>
            </w:r>
          </w:hyperlink>
        </w:p>
        <w:p w14:paraId="20B5A92B" w14:textId="77777777" w:rsidR="00E947FE" w:rsidRDefault="008F7402">
          <w:pPr>
            <w:pStyle w:val="TOC1"/>
            <w:tabs>
              <w:tab w:val="right" w:leader="dot" w:pos="8630"/>
            </w:tabs>
            <w:rPr>
              <w:rFonts w:asciiTheme="minorHAnsi" w:eastAsiaTheme="minorEastAsia" w:hAnsiTheme="minorHAnsi"/>
              <w:noProof/>
              <w:sz w:val="22"/>
              <w:lang w:val="en-US"/>
            </w:rPr>
          </w:pPr>
          <w:hyperlink w:anchor="_Toc78067536" w:history="1">
            <w:r w:rsidR="00E947FE" w:rsidRPr="008A275C">
              <w:rPr>
                <w:rStyle w:val="Hyperlink"/>
                <w:noProof/>
              </w:rPr>
              <w:t>CHAPTER FIVE</w:t>
            </w:r>
            <w:r w:rsidR="00E947FE">
              <w:rPr>
                <w:noProof/>
                <w:webHidden/>
              </w:rPr>
              <w:tab/>
            </w:r>
            <w:r w:rsidR="00E947FE">
              <w:rPr>
                <w:noProof/>
                <w:webHidden/>
              </w:rPr>
              <w:fldChar w:fldCharType="begin"/>
            </w:r>
            <w:r w:rsidR="00E947FE">
              <w:rPr>
                <w:noProof/>
                <w:webHidden/>
              </w:rPr>
              <w:instrText xml:space="preserve"> PAGEREF _Toc78067536 \h </w:instrText>
            </w:r>
            <w:r w:rsidR="00E947FE">
              <w:rPr>
                <w:noProof/>
                <w:webHidden/>
              </w:rPr>
            </w:r>
            <w:r w:rsidR="00E947FE">
              <w:rPr>
                <w:noProof/>
                <w:webHidden/>
              </w:rPr>
              <w:fldChar w:fldCharType="separate"/>
            </w:r>
            <w:r w:rsidR="00E947FE">
              <w:rPr>
                <w:noProof/>
                <w:webHidden/>
              </w:rPr>
              <w:t>53</w:t>
            </w:r>
            <w:r w:rsidR="00E947FE">
              <w:rPr>
                <w:noProof/>
                <w:webHidden/>
              </w:rPr>
              <w:fldChar w:fldCharType="end"/>
            </w:r>
          </w:hyperlink>
        </w:p>
        <w:p w14:paraId="74278E11" w14:textId="77777777" w:rsidR="00E947FE" w:rsidRDefault="008F7402">
          <w:pPr>
            <w:pStyle w:val="TOC1"/>
            <w:tabs>
              <w:tab w:val="right" w:leader="dot" w:pos="8630"/>
            </w:tabs>
            <w:rPr>
              <w:rFonts w:asciiTheme="minorHAnsi" w:eastAsiaTheme="minorEastAsia" w:hAnsiTheme="minorHAnsi"/>
              <w:noProof/>
              <w:sz w:val="22"/>
              <w:lang w:val="en-US"/>
            </w:rPr>
          </w:pPr>
          <w:hyperlink w:anchor="_Toc78067537" w:history="1">
            <w:r w:rsidR="00E947FE" w:rsidRPr="008A275C">
              <w:rPr>
                <w:rStyle w:val="Hyperlink"/>
                <w:rFonts w:cs="Times New Roman"/>
                <w:noProof/>
              </w:rPr>
              <w:t>SUMMARY, CONCLUSIONS AND RECOMMENDATIONS</w:t>
            </w:r>
            <w:r w:rsidR="00E947FE">
              <w:rPr>
                <w:noProof/>
                <w:webHidden/>
              </w:rPr>
              <w:tab/>
            </w:r>
            <w:r w:rsidR="00E947FE">
              <w:rPr>
                <w:noProof/>
                <w:webHidden/>
              </w:rPr>
              <w:fldChar w:fldCharType="begin"/>
            </w:r>
            <w:r w:rsidR="00E947FE">
              <w:rPr>
                <w:noProof/>
                <w:webHidden/>
              </w:rPr>
              <w:instrText xml:space="preserve"> PAGEREF _Toc78067537 \h </w:instrText>
            </w:r>
            <w:r w:rsidR="00E947FE">
              <w:rPr>
                <w:noProof/>
                <w:webHidden/>
              </w:rPr>
            </w:r>
            <w:r w:rsidR="00E947FE">
              <w:rPr>
                <w:noProof/>
                <w:webHidden/>
              </w:rPr>
              <w:fldChar w:fldCharType="separate"/>
            </w:r>
            <w:r w:rsidR="00E947FE">
              <w:rPr>
                <w:noProof/>
                <w:webHidden/>
              </w:rPr>
              <w:t>53</w:t>
            </w:r>
            <w:r w:rsidR="00E947FE">
              <w:rPr>
                <w:noProof/>
                <w:webHidden/>
              </w:rPr>
              <w:fldChar w:fldCharType="end"/>
            </w:r>
          </w:hyperlink>
        </w:p>
        <w:p w14:paraId="2C820BE7"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38" w:history="1">
            <w:r w:rsidR="00E947FE" w:rsidRPr="008A275C">
              <w:rPr>
                <w:rStyle w:val="Hyperlink"/>
                <w:noProof/>
              </w:rPr>
              <w:t>Summary</w:t>
            </w:r>
            <w:r w:rsidR="00E947FE">
              <w:rPr>
                <w:noProof/>
                <w:webHidden/>
              </w:rPr>
              <w:tab/>
            </w:r>
            <w:r w:rsidR="00E947FE">
              <w:rPr>
                <w:noProof/>
                <w:webHidden/>
              </w:rPr>
              <w:fldChar w:fldCharType="begin"/>
            </w:r>
            <w:r w:rsidR="00E947FE">
              <w:rPr>
                <w:noProof/>
                <w:webHidden/>
              </w:rPr>
              <w:instrText xml:space="preserve"> PAGEREF _Toc78067538 \h </w:instrText>
            </w:r>
            <w:r w:rsidR="00E947FE">
              <w:rPr>
                <w:noProof/>
                <w:webHidden/>
              </w:rPr>
            </w:r>
            <w:r w:rsidR="00E947FE">
              <w:rPr>
                <w:noProof/>
                <w:webHidden/>
              </w:rPr>
              <w:fldChar w:fldCharType="separate"/>
            </w:r>
            <w:r w:rsidR="00E947FE">
              <w:rPr>
                <w:noProof/>
                <w:webHidden/>
              </w:rPr>
              <w:t>53</w:t>
            </w:r>
            <w:r w:rsidR="00E947FE">
              <w:rPr>
                <w:noProof/>
                <w:webHidden/>
              </w:rPr>
              <w:fldChar w:fldCharType="end"/>
            </w:r>
          </w:hyperlink>
        </w:p>
        <w:p w14:paraId="140F5BC9"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39" w:history="1">
            <w:r w:rsidR="00E947FE" w:rsidRPr="008A275C">
              <w:rPr>
                <w:rStyle w:val="Hyperlink"/>
                <w:noProof/>
              </w:rPr>
              <w:t>Conclusion</w:t>
            </w:r>
            <w:r w:rsidR="00E947FE">
              <w:rPr>
                <w:noProof/>
                <w:webHidden/>
              </w:rPr>
              <w:tab/>
            </w:r>
            <w:r w:rsidR="00E947FE">
              <w:rPr>
                <w:noProof/>
                <w:webHidden/>
              </w:rPr>
              <w:fldChar w:fldCharType="begin"/>
            </w:r>
            <w:r w:rsidR="00E947FE">
              <w:rPr>
                <w:noProof/>
                <w:webHidden/>
              </w:rPr>
              <w:instrText xml:space="preserve"> PAGEREF _Toc78067539 \h </w:instrText>
            </w:r>
            <w:r w:rsidR="00E947FE">
              <w:rPr>
                <w:noProof/>
                <w:webHidden/>
              </w:rPr>
            </w:r>
            <w:r w:rsidR="00E947FE">
              <w:rPr>
                <w:noProof/>
                <w:webHidden/>
              </w:rPr>
              <w:fldChar w:fldCharType="separate"/>
            </w:r>
            <w:r w:rsidR="00E947FE">
              <w:rPr>
                <w:noProof/>
                <w:webHidden/>
              </w:rPr>
              <w:t>54</w:t>
            </w:r>
            <w:r w:rsidR="00E947FE">
              <w:rPr>
                <w:noProof/>
                <w:webHidden/>
              </w:rPr>
              <w:fldChar w:fldCharType="end"/>
            </w:r>
          </w:hyperlink>
        </w:p>
        <w:p w14:paraId="2C40F0B5"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40" w:history="1">
            <w:r w:rsidR="00E947FE" w:rsidRPr="008A275C">
              <w:rPr>
                <w:rStyle w:val="Hyperlink"/>
                <w:noProof/>
              </w:rPr>
              <w:t>Recommendations</w:t>
            </w:r>
            <w:r w:rsidR="00E947FE">
              <w:rPr>
                <w:noProof/>
                <w:webHidden/>
              </w:rPr>
              <w:tab/>
            </w:r>
            <w:r w:rsidR="00E947FE">
              <w:rPr>
                <w:noProof/>
                <w:webHidden/>
              </w:rPr>
              <w:fldChar w:fldCharType="begin"/>
            </w:r>
            <w:r w:rsidR="00E947FE">
              <w:rPr>
                <w:noProof/>
                <w:webHidden/>
              </w:rPr>
              <w:instrText xml:space="preserve"> PAGEREF _Toc78067540 \h </w:instrText>
            </w:r>
            <w:r w:rsidR="00E947FE">
              <w:rPr>
                <w:noProof/>
                <w:webHidden/>
              </w:rPr>
            </w:r>
            <w:r w:rsidR="00E947FE">
              <w:rPr>
                <w:noProof/>
                <w:webHidden/>
              </w:rPr>
              <w:fldChar w:fldCharType="separate"/>
            </w:r>
            <w:r w:rsidR="00E947FE">
              <w:rPr>
                <w:noProof/>
                <w:webHidden/>
              </w:rPr>
              <w:t>54</w:t>
            </w:r>
            <w:r w:rsidR="00E947FE">
              <w:rPr>
                <w:noProof/>
                <w:webHidden/>
              </w:rPr>
              <w:fldChar w:fldCharType="end"/>
            </w:r>
          </w:hyperlink>
        </w:p>
        <w:p w14:paraId="525F1C8E" w14:textId="77777777" w:rsidR="00E947FE" w:rsidRDefault="008F7402">
          <w:pPr>
            <w:pStyle w:val="TOC1"/>
            <w:tabs>
              <w:tab w:val="right" w:leader="dot" w:pos="8630"/>
            </w:tabs>
            <w:rPr>
              <w:rFonts w:asciiTheme="minorHAnsi" w:eastAsiaTheme="minorEastAsia" w:hAnsiTheme="minorHAnsi"/>
              <w:noProof/>
              <w:sz w:val="22"/>
              <w:lang w:val="en-US"/>
            </w:rPr>
          </w:pPr>
          <w:hyperlink w:anchor="_Toc78067541" w:history="1">
            <w:r w:rsidR="00E947FE" w:rsidRPr="008A275C">
              <w:rPr>
                <w:rStyle w:val="Hyperlink"/>
                <w:noProof/>
              </w:rPr>
              <w:t>REFERENCES</w:t>
            </w:r>
            <w:r w:rsidR="00E947FE">
              <w:rPr>
                <w:noProof/>
                <w:webHidden/>
              </w:rPr>
              <w:tab/>
            </w:r>
            <w:r w:rsidR="00E947FE">
              <w:rPr>
                <w:noProof/>
                <w:webHidden/>
              </w:rPr>
              <w:fldChar w:fldCharType="begin"/>
            </w:r>
            <w:r w:rsidR="00E947FE">
              <w:rPr>
                <w:noProof/>
                <w:webHidden/>
              </w:rPr>
              <w:instrText xml:space="preserve"> PAGEREF _Toc78067541 \h </w:instrText>
            </w:r>
            <w:r w:rsidR="00E947FE">
              <w:rPr>
                <w:noProof/>
                <w:webHidden/>
              </w:rPr>
            </w:r>
            <w:r w:rsidR="00E947FE">
              <w:rPr>
                <w:noProof/>
                <w:webHidden/>
              </w:rPr>
              <w:fldChar w:fldCharType="separate"/>
            </w:r>
            <w:r w:rsidR="00E947FE">
              <w:rPr>
                <w:noProof/>
                <w:webHidden/>
              </w:rPr>
              <w:t>56</w:t>
            </w:r>
            <w:r w:rsidR="00E947FE">
              <w:rPr>
                <w:noProof/>
                <w:webHidden/>
              </w:rPr>
              <w:fldChar w:fldCharType="end"/>
            </w:r>
          </w:hyperlink>
        </w:p>
        <w:p w14:paraId="25D75465" w14:textId="77777777" w:rsidR="00E947FE" w:rsidRDefault="008F7402">
          <w:pPr>
            <w:pStyle w:val="TOC1"/>
            <w:tabs>
              <w:tab w:val="right" w:leader="dot" w:pos="8630"/>
            </w:tabs>
            <w:rPr>
              <w:rFonts w:asciiTheme="minorHAnsi" w:eastAsiaTheme="minorEastAsia" w:hAnsiTheme="minorHAnsi"/>
              <w:noProof/>
              <w:sz w:val="22"/>
              <w:lang w:val="en-US"/>
            </w:rPr>
          </w:pPr>
          <w:hyperlink w:anchor="_Toc78067542" w:history="1">
            <w:r w:rsidR="00E947FE" w:rsidRPr="008A275C">
              <w:rPr>
                <w:rStyle w:val="Hyperlink"/>
                <w:rFonts w:cs="Times New Roman"/>
                <w:noProof/>
              </w:rPr>
              <w:t>APPENDICES</w:t>
            </w:r>
            <w:r w:rsidR="00E947FE">
              <w:rPr>
                <w:noProof/>
                <w:webHidden/>
              </w:rPr>
              <w:tab/>
            </w:r>
            <w:r w:rsidR="00E947FE">
              <w:rPr>
                <w:noProof/>
                <w:webHidden/>
              </w:rPr>
              <w:fldChar w:fldCharType="begin"/>
            </w:r>
            <w:r w:rsidR="00E947FE">
              <w:rPr>
                <w:noProof/>
                <w:webHidden/>
              </w:rPr>
              <w:instrText xml:space="preserve"> PAGEREF _Toc78067542 \h </w:instrText>
            </w:r>
            <w:r w:rsidR="00E947FE">
              <w:rPr>
                <w:noProof/>
                <w:webHidden/>
              </w:rPr>
            </w:r>
            <w:r w:rsidR="00E947FE">
              <w:rPr>
                <w:noProof/>
                <w:webHidden/>
              </w:rPr>
              <w:fldChar w:fldCharType="separate"/>
            </w:r>
            <w:r w:rsidR="00E947FE">
              <w:rPr>
                <w:noProof/>
                <w:webHidden/>
              </w:rPr>
              <w:t>75</w:t>
            </w:r>
            <w:r w:rsidR="00E947FE">
              <w:rPr>
                <w:noProof/>
                <w:webHidden/>
              </w:rPr>
              <w:fldChar w:fldCharType="end"/>
            </w:r>
          </w:hyperlink>
        </w:p>
        <w:p w14:paraId="50CD743E"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43" w:history="1">
            <w:r w:rsidR="00E947FE" w:rsidRPr="008A275C">
              <w:rPr>
                <w:rStyle w:val="Hyperlink"/>
                <w:rFonts w:cs="Times New Roman"/>
                <w:noProof/>
              </w:rPr>
              <w:t>Appendix 1: Gantt chart</w:t>
            </w:r>
            <w:r w:rsidR="00E947FE">
              <w:rPr>
                <w:noProof/>
                <w:webHidden/>
              </w:rPr>
              <w:tab/>
            </w:r>
            <w:r w:rsidR="00E947FE">
              <w:rPr>
                <w:noProof/>
                <w:webHidden/>
              </w:rPr>
              <w:fldChar w:fldCharType="begin"/>
            </w:r>
            <w:r w:rsidR="00E947FE">
              <w:rPr>
                <w:noProof/>
                <w:webHidden/>
              </w:rPr>
              <w:instrText xml:space="preserve"> PAGEREF _Toc78067543 \h </w:instrText>
            </w:r>
            <w:r w:rsidR="00E947FE">
              <w:rPr>
                <w:noProof/>
                <w:webHidden/>
              </w:rPr>
            </w:r>
            <w:r w:rsidR="00E947FE">
              <w:rPr>
                <w:noProof/>
                <w:webHidden/>
              </w:rPr>
              <w:fldChar w:fldCharType="separate"/>
            </w:r>
            <w:r w:rsidR="00E947FE">
              <w:rPr>
                <w:noProof/>
                <w:webHidden/>
              </w:rPr>
              <w:t>75</w:t>
            </w:r>
            <w:r w:rsidR="00E947FE">
              <w:rPr>
                <w:noProof/>
                <w:webHidden/>
              </w:rPr>
              <w:fldChar w:fldCharType="end"/>
            </w:r>
          </w:hyperlink>
        </w:p>
        <w:p w14:paraId="74F14849"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44" w:history="1">
            <w:r w:rsidR="00E947FE" w:rsidRPr="008A275C">
              <w:rPr>
                <w:rStyle w:val="Hyperlink"/>
                <w:rFonts w:cs="Times New Roman"/>
                <w:noProof/>
              </w:rPr>
              <w:t>Appendix 2: Budget</w:t>
            </w:r>
            <w:r w:rsidR="00E947FE">
              <w:rPr>
                <w:noProof/>
                <w:webHidden/>
              </w:rPr>
              <w:tab/>
            </w:r>
            <w:r w:rsidR="00E947FE">
              <w:rPr>
                <w:noProof/>
                <w:webHidden/>
              </w:rPr>
              <w:fldChar w:fldCharType="begin"/>
            </w:r>
            <w:r w:rsidR="00E947FE">
              <w:rPr>
                <w:noProof/>
                <w:webHidden/>
              </w:rPr>
              <w:instrText xml:space="preserve"> PAGEREF _Toc78067544 \h </w:instrText>
            </w:r>
            <w:r w:rsidR="00E947FE">
              <w:rPr>
                <w:noProof/>
                <w:webHidden/>
              </w:rPr>
            </w:r>
            <w:r w:rsidR="00E947FE">
              <w:rPr>
                <w:noProof/>
                <w:webHidden/>
              </w:rPr>
              <w:fldChar w:fldCharType="separate"/>
            </w:r>
            <w:r w:rsidR="00E947FE">
              <w:rPr>
                <w:noProof/>
                <w:webHidden/>
              </w:rPr>
              <w:t>75</w:t>
            </w:r>
            <w:r w:rsidR="00E947FE">
              <w:rPr>
                <w:noProof/>
                <w:webHidden/>
              </w:rPr>
              <w:fldChar w:fldCharType="end"/>
            </w:r>
          </w:hyperlink>
        </w:p>
        <w:p w14:paraId="676F0996"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45" w:history="1">
            <w:r w:rsidR="00E947FE" w:rsidRPr="008A275C">
              <w:rPr>
                <w:rStyle w:val="Hyperlink"/>
                <w:noProof/>
              </w:rPr>
              <w:t>Appendix 3: Data collection schedule</w:t>
            </w:r>
            <w:r w:rsidR="00E947FE">
              <w:rPr>
                <w:noProof/>
                <w:webHidden/>
              </w:rPr>
              <w:tab/>
            </w:r>
            <w:r w:rsidR="00E947FE">
              <w:rPr>
                <w:noProof/>
                <w:webHidden/>
              </w:rPr>
              <w:fldChar w:fldCharType="begin"/>
            </w:r>
            <w:r w:rsidR="00E947FE">
              <w:rPr>
                <w:noProof/>
                <w:webHidden/>
              </w:rPr>
              <w:instrText xml:space="preserve"> PAGEREF _Toc78067545 \h </w:instrText>
            </w:r>
            <w:r w:rsidR="00E947FE">
              <w:rPr>
                <w:noProof/>
                <w:webHidden/>
              </w:rPr>
            </w:r>
            <w:r w:rsidR="00E947FE">
              <w:rPr>
                <w:noProof/>
                <w:webHidden/>
              </w:rPr>
              <w:fldChar w:fldCharType="separate"/>
            </w:r>
            <w:r w:rsidR="00E947FE">
              <w:rPr>
                <w:noProof/>
                <w:webHidden/>
              </w:rPr>
              <w:t>76</w:t>
            </w:r>
            <w:r w:rsidR="00E947FE">
              <w:rPr>
                <w:noProof/>
                <w:webHidden/>
              </w:rPr>
              <w:fldChar w:fldCharType="end"/>
            </w:r>
          </w:hyperlink>
        </w:p>
        <w:p w14:paraId="29CF9D14"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46" w:history="1">
            <w:r w:rsidR="00E947FE" w:rsidRPr="008A275C">
              <w:rPr>
                <w:rStyle w:val="Hyperlink"/>
                <w:noProof/>
              </w:rPr>
              <w:t>Appendix 4: public listed companies in NSE under the different categories.</w:t>
            </w:r>
            <w:r w:rsidR="00E947FE">
              <w:rPr>
                <w:noProof/>
                <w:webHidden/>
              </w:rPr>
              <w:tab/>
            </w:r>
            <w:r w:rsidR="00E947FE">
              <w:rPr>
                <w:noProof/>
                <w:webHidden/>
              </w:rPr>
              <w:fldChar w:fldCharType="begin"/>
            </w:r>
            <w:r w:rsidR="00E947FE">
              <w:rPr>
                <w:noProof/>
                <w:webHidden/>
              </w:rPr>
              <w:instrText xml:space="preserve"> PAGEREF _Toc78067546 \h </w:instrText>
            </w:r>
            <w:r w:rsidR="00E947FE">
              <w:rPr>
                <w:noProof/>
                <w:webHidden/>
              </w:rPr>
            </w:r>
            <w:r w:rsidR="00E947FE">
              <w:rPr>
                <w:noProof/>
                <w:webHidden/>
              </w:rPr>
              <w:fldChar w:fldCharType="separate"/>
            </w:r>
            <w:r w:rsidR="00E947FE">
              <w:rPr>
                <w:noProof/>
                <w:webHidden/>
              </w:rPr>
              <w:t>78</w:t>
            </w:r>
            <w:r w:rsidR="00E947FE">
              <w:rPr>
                <w:noProof/>
                <w:webHidden/>
              </w:rPr>
              <w:fldChar w:fldCharType="end"/>
            </w:r>
          </w:hyperlink>
        </w:p>
        <w:p w14:paraId="1CC9DD16"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47" w:history="1">
            <w:r w:rsidR="00E947FE" w:rsidRPr="008A275C">
              <w:rPr>
                <w:rStyle w:val="Hyperlink"/>
                <w:noProof/>
              </w:rPr>
              <w:t>Appendix 5: Nacosti Permit</w:t>
            </w:r>
            <w:r w:rsidR="00E947FE">
              <w:rPr>
                <w:noProof/>
                <w:webHidden/>
              </w:rPr>
              <w:tab/>
            </w:r>
            <w:r w:rsidR="00E947FE">
              <w:rPr>
                <w:noProof/>
                <w:webHidden/>
              </w:rPr>
              <w:fldChar w:fldCharType="begin"/>
            </w:r>
            <w:r w:rsidR="00E947FE">
              <w:rPr>
                <w:noProof/>
                <w:webHidden/>
              </w:rPr>
              <w:instrText xml:space="preserve"> PAGEREF _Toc78067547 \h </w:instrText>
            </w:r>
            <w:r w:rsidR="00E947FE">
              <w:rPr>
                <w:noProof/>
                <w:webHidden/>
              </w:rPr>
            </w:r>
            <w:r w:rsidR="00E947FE">
              <w:rPr>
                <w:noProof/>
                <w:webHidden/>
              </w:rPr>
              <w:fldChar w:fldCharType="separate"/>
            </w:r>
            <w:r w:rsidR="00E947FE">
              <w:rPr>
                <w:noProof/>
                <w:webHidden/>
              </w:rPr>
              <w:t>80</w:t>
            </w:r>
            <w:r w:rsidR="00E947FE">
              <w:rPr>
                <w:noProof/>
                <w:webHidden/>
              </w:rPr>
              <w:fldChar w:fldCharType="end"/>
            </w:r>
          </w:hyperlink>
        </w:p>
        <w:p w14:paraId="07336026" w14:textId="77777777" w:rsidR="00E947FE" w:rsidRDefault="008F7402">
          <w:pPr>
            <w:pStyle w:val="TOC2"/>
            <w:tabs>
              <w:tab w:val="right" w:leader="dot" w:pos="8630"/>
            </w:tabs>
            <w:rPr>
              <w:rFonts w:asciiTheme="minorHAnsi" w:eastAsiaTheme="minorEastAsia" w:hAnsiTheme="minorHAnsi"/>
              <w:noProof/>
              <w:sz w:val="22"/>
              <w:lang w:val="en-US"/>
            </w:rPr>
          </w:pPr>
          <w:hyperlink w:anchor="_Toc78067548" w:history="1">
            <w:r w:rsidR="00E947FE" w:rsidRPr="008A275C">
              <w:rPr>
                <w:rStyle w:val="Hyperlink"/>
                <w:noProof/>
              </w:rPr>
              <w:t>Appendix 6: Ethic Clearance letter</w:t>
            </w:r>
            <w:r w:rsidR="00E947FE">
              <w:rPr>
                <w:noProof/>
                <w:webHidden/>
              </w:rPr>
              <w:tab/>
            </w:r>
            <w:r w:rsidR="00E947FE">
              <w:rPr>
                <w:noProof/>
                <w:webHidden/>
              </w:rPr>
              <w:fldChar w:fldCharType="begin"/>
            </w:r>
            <w:r w:rsidR="00E947FE">
              <w:rPr>
                <w:noProof/>
                <w:webHidden/>
              </w:rPr>
              <w:instrText xml:space="preserve"> PAGEREF _Toc78067548 \h </w:instrText>
            </w:r>
            <w:r w:rsidR="00E947FE">
              <w:rPr>
                <w:noProof/>
                <w:webHidden/>
              </w:rPr>
            </w:r>
            <w:r w:rsidR="00E947FE">
              <w:rPr>
                <w:noProof/>
                <w:webHidden/>
              </w:rPr>
              <w:fldChar w:fldCharType="separate"/>
            </w:r>
            <w:r w:rsidR="00E947FE">
              <w:rPr>
                <w:noProof/>
                <w:webHidden/>
              </w:rPr>
              <w:t>81</w:t>
            </w:r>
            <w:r w:rsidR="00E947FE">
              <w:rPr>
                <w:noProof/>
                <w:webHidden/>
              </w:rPr>
              <w:fldChar w:fldCharType="end"/>
            </w:r>
          </w:hyperlink>
        </w:p>
        <w:p w14:paraId="1DC870F6" w14:textId="395EDCC0" w:rsidR="0082437D" w:rsidRPr="00AE0B3D" w:rsidRDefault="00587420" w:rsidP="00485BA8">
          <w:pPr>
            <w:pStyle w:val="TOC1"/>
            <w:tabs>
              <w:tab w:val="right" w:leader="dot" w:pos="9350"/>
            </w:tabs>
            <w:rPr>
              <w:rFonts w:cs="Times New Roman"/>
            </w:rPr>
          </w:pPr>
          <w:r w:rsidRPr="00AE0B3D">
            <w:rPr>
              <w:rFonts w:cs="Times New Roman"/>
              <w:b/>
              <w:bCs/>
              <w:noProof/>
            </w:rPr>
            <w:fldChar w:fldCharType="end"/>
          </w:r>
          <w:r w:rsidR="0082437D" w:rsidRPr="00AE0B3D">
            <w:rPr>
              <w:rFonts w:cs="Times New Roman"/>
            </w:rPr>
            <w:br w:type="page"/>
          </w:r>
        </w:p>
      </w:sdtContent>
    </w:sdt>
    <w:p w14:paraId="6CA16CA1" w14:textId="58ECD795" w:rsidR="005318C8" w:rsidRPr="00AE0B3D" w:rsidRDefault="00C05524" w:rsidP="005318C8">
      <w:pPr>
        <w:pStyle w:val="Heading1"/>
      </w:pPr>
      <w:bookmarkStart w:id="8" w:name="_Toc78067491"/>
      <w:r w:rsidRPr="00AE0B3D">
        <w:lastRenderedPageBreak/>
        <w:t>LIST OF TABLES</w:t>
      </w:r>
      <w:bookmarkEnd w:id="8"/>
    </w:p>
    <w:p w14:paraId="135A5F04" w14:textId="460567B3" w:rsidR="000441F6" w:rsidRDefault="005318C8" w:rsidP="00142F12">
      <w:pPr>
        <w:pStyle w:val="TableofFigures"/>
        <w:tabs>
          <w:tab w:val="right" w:leader="dot" w:pos="9350"/>
        </w:tabs>
        <w:ind w:firstLine="0"/>
        <w:rPr>
          <w:rFonts w:asciiTheme="minorHAnsi" w:eastAsiaTheme="minorEastAsia" w:hAnsiTheme="minorHAnsi"/>
          <w:noProof/>
          <w:sz w:val="22"/>
          <w:lang w:val="en-US"/>
        </w:rPr>
      </w:pPr>
      <w:r w:rsidRPr="00AE0B3D">
        <w:fldChar w:fldCharType="begin"/>
      </w:r>
      <w:r w:rsidRPr="00AE0B3D">
        <w:instrText xml:space="preserve"> TOC \h \z \c "Table" </w:instrText>
      </w:r>
      <w:r w:rsidRPr="00AE0B3D">
        <w:fldChar w:fldCharType="separate"/>
      </w:r>
      <w:hyperlink w:anchor="_Toc66721387" w:history="1">
        <w:r w:rsidR="000441F6" w:rsidRPr="004A1FCF">
          <w:rPr>
            <w:rStyle w:val="Hyperlink"/>
            <w:noProof/>
          </w:rPr>
          <w:t>Table 1.The Statistical Tools Used to Answer the Research Questions</w:t>
        </w:r>
        <w:r w:rsidR="000441F6">
          <w:rPr>
            <w:noProof/>
            <w:webHidden/>
          </w:rPr>
          <w:tab/>
        </w:r>
        <w:r w:rsidR="000441F6">
          <w:rPr>
            <w:noProof/>
            <w:webHidden/>
          </w:rPr>
          <w:fldChar w:fldCharType="begin"/>
        </w:r>
        <w:r w:rsidR="000441F6">
          <w:rPr>
            <w:noProof/>
            <w:webHidden/>
          </w:rPr>
          <w:instrText xml:space="preserve"> PAGEREF _Toc66721387 \h </w:instrText>
        </w:r>
        <w:r w:rsidR="000441F6">
          <w:rPr>
            <w:noProof/>
            <w:webHidden/>
          </w:rPr>
        </w:r>
        <w:r w:rsidR="000441F6">
          <w:rPr>
            <w:noProof/>
            <w:webHidden/>
          </w:rPr>
          <w:fldChar w:fldCharType="separate"/>
        </w:r>
        <w:r w:rsidR="00E947FE">
          <w:rPr>
            <w:noProof/>
            <w:webHidden/>
          </w:rPr>
          <w:t>39</w:t>
        </w:r>
        <w:r w:rsidR="000441F6">
          <w:rPr>
            <w:noProof/>
            <w:webHidden/>
          </w:rPr>
          <w:fldChar w:fldCharType="end"/>
        </w:r>
      </w:hyperlink>
    </w:p>
    <w:p w14:paraId="0CFBD062" w14:textId="58681EE9" w:rsidR="000441F6" w:rsidRDefault="008F7402" w:rsidP="00142F12">
      <w:pPr>
        <w:pStyle w:val="TableofFigures"/>
        <w:tabs>
          <w:tab w:val="right" w:leader="dot" w:pos="9350"/>
        </w:tabs>
        <w:ind w:firstLine="0"/>
        <w:rPr>
          <w:rFonts w:asciiTheme="minorHAnsi" w:eastAsiaTheme="minorEastAsia" w:hAnsiTheme="minorHAnsi"/>
          <w:noProof/>
          <w:sz w:val="22"/>
          <w:lang w:val="en-US"/>
        </w:rPr>
      </w:pPr>
      <w:hyperlink w:anchor="_Toc66721388" w:history="1">
        <w:r w:rsidR="000441F6" w:rsidRPr="004A1FCF">
          <w:rPr>
            <w:rStyle w:val="Hyperlink"/>
            <w:noProof/>
          </w:rPr>
          <w:t>Table 2.ROE of Public Listed Company in NSE Between 2016 and 2018</w:t>
        </w:r>
        <w:r w:rsidR="000441F6">
          <w:rPr>
            <w:noProof/>
            <w:webHidden/>
          </w:rPr>
          <w:tab/>
        </w:r>
        <w:r w:rsidR="000441F6">
          <w:rPr>
            <w:noProof/>
            <w:webHidden/>
          </w:rPr>
          <w:fldChar w:fldCharType="begin"/>
        </w:r>
        <w:r w:rsidR="000441F6">
          <w:rPr>
            <w:noProof/>
            <w:webHidden/>
          </w:rPr>
          <w:instrText xml:space="preserve"> PAGEREF _Toc66721388 \h </w:instrText>
        </w:r>
        <w:r w:rsidR="000441F6">
          <w:rPr>
            <w:noProof/>
            <w:webHidden/>
          </w:rPr>
        </w:r>
        <w:r w:rsidR="000441F6">
          <w:rPr>
            <w:noProof/>
            <w:webHidden/>
          </w:rPr>
          <w:fldChar w:fldCharType="separate"/>
        </w:r>
        <w:r w:rsidR="00E947FE">
          <w:rPr>
            <w:noProof/>
            <w:webHidden/>
          </w:rPr>
          <w:t>45</w:t>
        </w:r>
        <w:r w:rsidR="000441F6">
          <w:rPr>
            <w:noProof/>
            <w:webHidden/>
          </w:rPr>
          <w:fldChar w:fldCharType="end"/>
        </w:r>
      </w:hyperlink>
    </w:p>
    <w:p w14:paraId="3375EE5C" w14:textId="2D76A52A" w:rsidR="000441F6" w:rsidRDefault="008F7402" w:rsidP="00142F12">
      <w:pPr>
        <w:pStyle w:val="TableofFigures"/>
        <w:tabs>
          <w:tab w:val="right" w:leader="dot" w:pos="9350"/>
        </w:tabs>
        <w:ind w:firstLine="0"/>
        <w:rPr>
          <w:rFonts w:asciiTheme="minorHAnsi" w:eastAsiaTheme="minorEastAsia" w:hAnsiTheme="minorHAnsi"/>
          <w:noProof/>
          <w:sz w:val="22"/>
          <w:lang w:val="en-US"/>
        </w:rPr>
      </w:pPr>
      <w:hyperlink w:anchor="_Toc66721389" w:history="1">
        <w:r w:rsidR="000441F6" w:rsidRPr="004A1FCF">
          <w:rPr>
            <w:rStyle w:val="Hyperlink"/>
            <w:noProof/>
          </w:rPr>
          <w:t>Table 3. ROA of Public Listed Company in NSE Between 2016 and 2018</w:t>
        </w:r>
        <w:r w:rsidR="000441F6">
          <w:rPr>
            <w:noProof/>
            <w:webHidden/>
          </w:rPr>
          <w:tab/>
        </w:r>
        <w:r w:rsidR="000441F6">
          <w:rPr>
            <w:noProof/>
            <w:webHidden/>
          </w:rPr>
          <w:fldChar w:fldCharType="begin"/>
        </w:r>
        <w:r w:rsidR="000441F6">
          <w:rPr>
            <w:noProof/>
            <w:webHidden/>
          </w:rPr>
          <w:instrText xml:space="preserve"> PAGEREF _Toc66721389 \h </w:instrText>
        </w:r>
        <w:r w:rsidR="000441F6">
          <w:rPr>
            <w:noProof/>
            <w:webHidden/>
          </w:rPr>
        </w:r>
        <w:r w:rsidR="000441F6">
          <w:rPr>
            <w:noProof/>
            <w:webHidden/>
          </w:rPr>
          <w:fldChar w:fldCharType="separate"/>
        </w:r>
        <w:r w:rsidR="00E947FE">
          <w:rPr>
            <w:noProof/>
            <w:webHidden/>
          </w:rPr>
          <w:t>47</w:t>
        </w:r>
        <w:r w:rsidR="000441F6">
          <w:rPr>
            <w:noProof/>
            <w:webHidden/>
          </w:rPr>
          <w:fldChar w:fldCharType="end"/>
        </w:r>
      </w:hyperlink>
    </w:p>
    <w:p w14:paraId="4E460016" w14:textId="30A77D78" w:rsidR="000441F6" w:rsidRDefault="008F7402" w:rsidP="00142F12">
      <w:pPr>
        <w:pStyle w:val="TableofFigures"/>
        <w:tabs>
          <w:tab w:val="right" w:leader="dot" w:pos="9350"/>
        </w:tabs>
        <w:ind w:firstLine="0"/>
        <w:rPr>
          <w:rFonts w:asciiTheme="minorHAnsi" w:eastAsiaTheme="minorEastAsia" w:hAnsiTheme="minorHAnsi"/>
          <w:noProof/>
          <w:sz w:val="22"/>
          <w:lang w:val="en-US"/>
        </w:rPr>
      </w:pPr>
      <w:hyperlink w:anchor="_Toc66721390" w:history="1">
        <w:r w:rsidR="000441F6" w:rsidRPr="004A1FCF">
          <w:rPr>
            <w:rStyle w:val="Hyperlink"/>
            <w:noProof/>
          </w:rPr>
          <w:t xml:space="preserve">Table 4. </w:t>
        </w:r>
        <w:r w:rsidR="000441F6" w:rsidRPr="004A1FCF">
          <w:rPr>
            <w:rStyle w:val="Hyperlink"/>
            <w:rFonts w:cs="Times New Roman"/>
            <w:bCs/>
            <w:noProof/>
          </w:rPr>
          <w:t>Management Remuneration U</w:t>
        </w:r>
        <w:r w:rsidR="0062619B">
          <w:rPr>
            <w:rStyle w:val="Hyperlink"/>
            <w:rFonts w:cs="Times New Roman"/>
            <w:bCs/>
            <w:noProof/>
          </w:rPr>
          <w:t xml:space="preserve">sed </w:t>
        </w:r>
        <w:r w:rsidR="0067794F">
          <w:rPr>
            <w:rStyle w:val="Hyperlink"/>
            <w:rFonts w:cs="Times New Roman"/>
            <w:bCs/>
            <w:noProof/>
          </w:rPr>
          <w:t xml:space="preserve">by </w:t>
        </w:r>
        <w:r w:rsidR="000441F6" w:rsidRPr="004A1FCF">
          <w:rPr>
            <w:rStyle w:val="Hyperlink"/>
            <w:rFonts w:cs="Times New Roman"/>
            <w:bCs/>
            <w:noProof/>
          </w:rPr>
          <w:t>Public Listed Companies</w:t>
        </w:r>
        <w:r w:rsidR="000441F6">
          <w:rPr>
            <w:noProof/>
            <w:webHidden/>
          </w:rPr>
          <w:tab/>
        </w:r>
        <w:r w:rsidR="000441F6">
          <w:rPr>
            <w:noProof/>
            <w:webHidden/>
          </w:rPr>
          <w:fldChar w:fldCharType="begin"/>
        </w:r>
        <w:r w:rsidR="000441F6">
          <w:rPr>
            <w:noProof/>
            <w:webHidden/>
          </w:rPr>
          <w:instrText xml:space="preserve"> PAGEREF _Toc66721390 \h </w:instrText>
        </w:r>
        <w:r w:rsidR="000441F6">
          <w:rPr>
            <w:noProof/>
            <w:webHidden/>
          </w:rPr>
        </w:r>
        <w:r w:rsidR="000441F6">
          <w:rPr>
            <w:noProof/>
            <w:webHidden/>
          </w:rPr>
          <w:fldChar w:fldCharType="separate"/>
        </w:r>
        <w:r w:rsidR="00E947FE">
          <w:rPr>
            <w:noProof/>
            <w:webHidden/>
          </w:rPr>
          <w:t>48</w:t>
        </w:r>
        <w:r w:rsidR="000441F6">
          <w:rPr>
            <w:noProof/>
            <w:webHidden/>
          </w:rPr>
          <w:fldChar w:fldCharType="end"/>
        </w:r>
      </w:hyperlink>
    </w:p>
    <w:p w14:paraId="6E7E1C76" w14:textId="24853C43" w:rsidR="000441F6" w:rsidRPr="000441F6" w:rsidRDefault="008F7402" w:rsidP="00142F12">
      <w:pPr>
        <w:pStyle w:val="TableofFigures"/>
        <w:tabs>
          <w:tab w:val="right" w:leader="dot" w:pos="9350"/>
        </w:tabs>
        <w:ind w:firstLine="0"/>
        <w:rPr>
          <w:rFonts w:asciiTheme="minorHAnsi" w:eastAsiaTheme="minorEastAsia" w:hAnsiTheme="minorHAnsi"/>
          <w:noProof/>
          <w:sz w:val="22"/>
          <w:lang w:val="en-US"/>
        </w:rPr>
      </w:pPr>
      <w:hyperlink w:anchor="_Toc66721391" w:history="1">
        <w:r w:rsidR="000441F6" w:rsidRPr="00BF0707">
          <w:rPr>
            <w:rStyle w:val="Hyperlink"/>
            <w:iCs/>
            <w:noProof/>
          </w:rPr>
          <w:t>Table 5. The Correlation Between ROA and remuneration strategies</w:t>
        </w:r>
        <w:r w:rsidR="000441F6" w:rsidRPr="00BF0707">
          <w:rPr>
            <w:rStyle w:val="Hyperlink"/>
            <w:b/>
            <w:bCs/>
            <w:iCs/>
            <w:noProof/>
          </w:rPr>
          <w:t>.</w:t>
        </w:r>
        <w:r w:rsidR="000441F6" w:rsidRPr="000441F6">
          <w:rPr>
            <w:noProof/>
            <w:webHidden/>
          </w:rPr>
          <w:tab/>
        </w:r>
        <w:r w:rsidR="000441F6" w:rsidRPr="00BF0707">
          <w:rPr>
            <w:noProof/>
            <w:webHidden/>
          </w:rPr>
          <w:fldChar w:fldCharType="begin"/>
        </w:r>
        <w:r w:rsidR="000441F6" w:rsidRPr="000441F6">
          <w:rPr>
            <w:noProof/>
            <w:webHidden/>
          </w:rPr>
          <w:instrText xml:space="preserve"> PAGEREF _Toc66721391 \h </w:instrText>
        </w:r>
        <w:r w:rsidR="000441F6" w:rsidRPr="00BF0707">
          <w:rPr>
            <w:noProof/>
            <w:webHidden/>
          </w:rPr>
        </w:r>
        <w:r w:rsidR="000441F6" w:rsidRPr="00BF0707">
          <w:rPr>
            <w:noProof/>
            <w:webHidden/>
          </w:rPr>
          <w:fldChar w:fldCharType="separate"/>
        </w:r>
        <w:r w:rsidR="00E947FE">
          <w:rPr>
            <w:noProof/>
            <w:webHidden/>
          </w:rPr>
          <w:t>49</w:t>
        </w:r>
        <w:r w:rsidR="000441F6" w:rsidRPr="00BF0707">
          <w:rPr>
            <w:noProof/>
            <w:webHidden/>
          </w:rPr>
          <w:fldChar w:fldCharType="end"/>
        </w:r>
      </w:hyperlink>
    </w:p>
    <w:p w14:paraId="7716DE37" w14:textId="26659DC0" w:rsidR="000441F6" w:rsidRDefault="008F7402" w:rsidP="00142F12">
      <w:pPr>
        <w:pStyle w:val="TableofFigures"/>
        <w:tabs>
          <w:tab w:val="right" w:leader="dot" w:pos="9350"/>
        </w:tabs>
        <w:ind w:firstLine="0"/>
        <w:rPr>
          <w:rFonts w:asciiTheme="minorHAnsi" w:eastAsiaTheme="minorEastAsia" w:hAnsiTheme="minorHAnsi"/>
          <w:noProof/>
          <w:sz w:val="22"/>
          <w:lang w:val="en-US"/>
        </w:rPr>
      </w:pPr>
      <w:hyperlink w:anchor="_Toc66721392" w:history="1">
        <w:r w:rsidR="000441F6" w:rsidRPr="004A1FCF">
          <w:rPr>
            <w:rStyle w:val="Hyperlink"/>
            <w:noProof/>
          </w:rPr>
          <w:t>Table 6.The Correlation Between ROE and Remuneration Variables</w:t>
        </w:r>
        <w:r w:rsidR="000441F6">
          <w:rPr>
            <w:noProof/>
            <w:webHidden/>
          </w:rPr>
          <w:tab/>
        </w:r>
        <w:r w:rsidR="000441F6">
          <w:rPr>
            <w:noProof/>
            <w:webHidden/>
          </w:rPr>
          <w:fldChar w:fldCharType="begin"/>
        </w:r>
        <w:r w:rsidR="000441F6">
          <w:rPr>
            <w:noProof/>
            <w:webHidden/>
          </w:rPr>
          <w:instrText xml:space="preserve"> PAGEREF _Toc66721392 \h </w:instrText>
        </w:r>
        <w:r w:rsidR="000441F6">
          <w:rPr>
            <w:noProof/>
            <w:webHidden/>
          </w:rPr>
        </w:r>
        <w:r w:rsidR="000441F6">
          <w:rPr>
            <w:noProof/>
            <w:webHidden/>
          </w:rPr>
          <w:fldChar w:fldCharType="separate"/>
        </w:r>
        <w:r w:rsidR="00E947FE">
          <w:rPr>
            <w:noProof/>
            <w:webHidden/>
          </w:rPr>
          <w:t>50</w:t>
        </w:r>
        <w:r w:rsidR="000441F6">
          <w:rPr>
            <w:noProof/>
            <w:webHidden/>
          </w:rPr>
          <w:fldChar w:fldCharType="end"/>
        </w:r>
      </w:hyperlink>
    </w:p>
    <w:p w14:paraId="65939B24" w14:textId="76894BEC" w:rsidR="005318C8" w:rsidRPr="00AE0B3D" w:rsidRDefault="005318C8" w:rsidP="00981121">
      <w:pPr>
        <w:spacing w:line="259" w:lineRule="auto"/>
        <w:ind w:hanging="851"/>
        <w:jc w:val="left"/>
        <w:rPr>
          <w:rFonts w:eastAsiaTheme="majorEastAsia" w:cstheme="majorBidi"/>
          <w:b/>
          <w:sz w:val="32"/>
          <w:szCs w:val="32"/>
        </w:rPr>
      </w:pPr>
      <w:r w:rsidRPr="00AE0B3D">
        <w:fldChar w:fldCharType="end"/>
      </w:r>
      <w:r w:rsidRPr="00AE0B3D">
        <w:br w:type="page"/>
      </w:r>
    </w:p>
    <w:p w14:paraId="20B5E498" w14:textId="3D20C56E" w:rsidR="00DE4EAE" w:rsidRPr="00AE0B3D" w:rsidRDefault="00C05524" w:rsidP="005318C8">
      <w:pPr>
        <w:pStyle w:val="Heading1"/>
        <w:rPr>
          <w:rFonts w:cs="Times New Roman"/>
        </w:rPr>
      </w:pPr>
      <w:bookmarkStart w:id="9" w:name="_Toc78067492"/>
      <w:r w:rsidRPr="00AE0B3D">
        <w:lastRenderedPageBreak/>
        <w:t>LIST OF FIGURES</w:t>
      </w:r>
      <w:bookmarkEnd w:id="9"/>
    </w:p>
    <w:p w14:paraId="5778C6A2" w14:textId="77777777" w:rsidR="002506C9" w:rsidRDefault="005318C8">
      <w:pPr>
        <w:pStyle w:val="TableofFigures"/>
        <w:tabs>
          <w:tab w:val="right" w:leader="dot" w:pos="8630"/>
        </w:tabs>
        <w:rPr>
          <w:rFonts w:asciiTheme="minorHAnsi" w:eastAsiaTheme="minorEastAsia" w:hAnsiTheme="minorHAnsi"/>
          <w:noProof/>
          <w:sz w:val="22"/>
          <w:lang w:val="en-US"/>
        </w:rPr>
      </w:pPr>
      <w:r w:rsidRPr="00AE0B3D">
        <w:rPr>
          <w:rFonts w:cs="Times New Roman"/>
        </w:rPr>
        <w:fldChar w:fldCharType="begin"/>
      </w:r>
      <w:r w:rsidRPr="00AE0B3D">
        <w:rPr>
          <w:rFonts w:cs="Times New Roman"/>
        </w:rPr>
        <w:instrText xml:space="preserve"> TOC \h \z \c "Figure" </w:instrText>
      </w:r>
      <w:r w:rsidRPr="00AE0B3D">
        <w:rPr>
          <w:rFonts w:cs="Times New Roman"/>
        </w:rPr>
        <w:fldChar w:fldCharType="separate"/>
      </w:r>
      <w:hyperlink w:anchor="_Toc77888786" w:history="1">
        <w:r w:rsidR="002506C9" w:rsidRPr="008E1529">
          <w:rPr>
            <w:rStyle w:val="Hyperlink"/>
            <w:noProof/>
          </w:rPr>
          <w:t>Figure 1. The conceptual framework of the research.</w:t>
        </w:r>
        <w:r w:rsidR="002506C9">
          <w:rPr>
            <w:noProof/>
            <w:webHidden/>
          </w:rPr>
          <w:tab/>
        </w:r>
        <w:r w:rsidR="002506C9">
          <w:rPr>
            <w:noProof/>
            <w:webHidden/>
          </w:rPr>
          <w:fldChar w:fldCharType="begin"/>
        </w:r>
        <w:r w:rsidR="002506C9">
          <w:rPr>
            <w:noProof/>
            <w:webHidden/>
          </w:rPr>
          <w:instrText xml:space="preserve"> PAGEREF _Toc77888786 \h </w:instrText>
        </w:r>
        <w:r w:rsidR="002506C9">
          <w:rPr>
            <w:noProof/>
            <w:webHidden/>
          </w:rPr>
        </w:r>
        <w:r w:rsidR="002506C9">
          <w:rPr>
            <w:noProof/>
            <w:webHidden/>
          </w:rPr>
          <w:fldChar w:fldCharType="separate"/>
        </w:r>
        <w:r w:rsidR="00E947FE">
          <w:rPr>
            <w:noProof/>
            <w:webHidden/>
          </w:rPr>
          <w:t>15</w:t>
        </w:r>
        <w:r w:rsidR="002506C9">
          <w:rPr>
            <w:noProof/>
            <w:webHidden/>
          </w:rPr>
          <w:fldChar w:fldCharType="end"/>
        </w:r>
      </w:hyperlink>
    </w:p>
    <w:p w14:paraId="209A5E14" w14:textId="57DC0AAF" w:rsidR="00482937" w:rsidRPr="00AE0B3D" w:rsidRDefault="005318C8" w:rsidP="00AF4542">
      <w:pPr>
        <w:rPr>
          <w:rFonts w:cs="Times New Roman"/>
        </w:rPr>
        <w:sectPr w:rsidR="00482937" w:rsidRPr="00AE0B3D" w:rsidSect="00F0107A">
          <w:headerReference w:type="default" r:id="rId8"/>
          <w:footerReference w:type="default" r:id="rId9"/>
          <w:headerReference w:type="first" r:id="rId10"/>
          <w:pgSz w:w="12240" w:h="15840"/>
          <w:pgMar w:top="1440" w:right="1440" w:bottom="1440" w:left="2160" w:header="720" w:footer="720" w:gutter="0"/>
          <w:pgNumType w:fmt="lowerRoman"/>
          <w:cols w:space="720"/>
          <w:titlePg/>
          <w:docGrid w:linePitch="360"/>
        </w:sectPr>
      </w:pPr>
      <w:r w:rsidRPr="00AE0B3D">
        <w:rPr>
          <w:rFonts w:cs="Times New Roman"/>
        </w:rPr>
        <w:fldChar w:fldCharType="end"/>
      </w:r>
      <w:r w:rsidR="00AF4542" w:rsidRPr="00AE0B3D">
        <w:rPr>
          <w:rFonts w:cs="Times New Roman"/>
        </w:rPr>
        <w:t xml:space="preserve"> </w:t>
      </w:r>
      <w:r w:rsidR="0034404E" w:rsidRPr="00AE0B3D">
        <w:rPr>
          <w:rFonts w:cs="Times New Roman"/>
        </w:rPr>
        <w:br w:type="page"/>
      </w:r>
    </w:p>
    <w:p w14:paraId="2DA25AD8" w14:textId="4608337F" w:rsidR="005A13FC" w:rsidRPr="00AE0B3D" w:rsidRDefault="005A13FC" w:rsidP="000E7BD4">
      <w:pPr>
        <w:pStyle w:val="Heading1"/>
        <w:rPr>
          <w:rFonts w:cs="Times New Roman"/>
        </w:rPr>
      </w:pPr>
      <w:bookmarkStart w:id="10" w:name="_Toc78067493"/>
      <w:r w:rsidRPr="00AE0B3D">
        <w:rPr>
          <w:rFonts w:cs="Times New Roman"/>
        </w:rPr>
        <w:lastRenderedPageBreak/>
        <w:t>CHAPTER O</w:t>
      </w:r>
      <w:r w:rsidR="005C4B28" w:rsidRPr="00AE0B3D">
        <w:rPr>
          <w:rFonts w:cs="Times New Roman"/>
        </w:rPr>
        <w:t>NE</w:t>
      </w:r>
      <w:bookmarkEnd w:id="10"/>
    </w:p>
    <w:p w14:paraId="4883E344" w14:textId="701E16BD" w:rsidR="00A60EE8" w:rsidRPr="00AE0B3D" w:rsidRDefault="0010758F" w:rsidP="000E7BD4">
      <w:pPr>
        <w:pStyle w:val="Heading1"/>
        <w:tabs>
          <w:tab w:val="center" w:pos="4680"/>
          <w:tab w:val="left" w:pos="7230"/>
        </w:tabs>
        <w:rPr>
          <w:rFonts w:cs="Times New Roman"/>
        </w:rPr>
      </w:pPr>
      <w:bookmarkStart w:id="11" w:name="_Toc78067494"/>
      <w:r w:rsidRPr="00AE0B3D">
        <w:rPr>
          <w:rFonts w:cs="Times New Roman"/>
        </w:rPr>
        <w:t>INTRODUCTION</w:t>
      </w:r>
      <w:bookmarkEnd w:id="11"/>
    </w:p>
    <w:p w14:paraId="06B27688" w14:textId="77777777" w:rsidR="000D1E85" w:rsidRPr="00AE0B3D" w:rsidRDefault="000D1E85" w:rsidP="000D1E85">
      <w:pPr>
        <w:pStyle w:val="Heading2"/>
        <w:rPr>
          <w:rFonts w:cs="Times New Roman"/>
        </w:rPr>
      </w:pPr>
      <w:bookmarkStart w:id="12" w:name="_Toc78067495"/>
      <w:r w:rsidRPr="00AE0B3D">
        <w:rPr>
          <w:rFonts w:cs="Times New Roman"/>
        </w:rPr>
        <w:t>Background of the Study</w:t>
      </w:r>
      <w:bookmarkEnd w:id="12"/>
    </w:p>
    <w:p w14:paraId="351971A0" w14:textId="4C8207A9" w:rsidR="00146455" w:rsidRPr="00AE0B3D" w:rsidRDefault="00146455" w:rsidP="00146455">
      <w:r w:rsidRPr="00AE0B3D">
        <w:t xml:space="preserve">This study was intended to determine the effect of management remuneration on the financial performance of selected public companies listed in the Nairobi securities exchange. </w:t>
      </w:r>
      <w:r w:rsidRPr="00AE0B3D">
        <w:rPr>
          <w:rFonts w:cs="Times New Roman"/>
        </w:rPr>
        <w:t xml:space="preserve">Management remuneration is one way of providing </w:t>
      </w:r>
      <w:r w:rsidRPr="00AE0B3D">
        <w:rPr>
          <w:rFonts w:cs="Times New Roman"/>
          <w:noProof/>
        </w:rPr>
        <w:t>incentive</w:t>
      </w:r>
      <w:r w:rsidRPr="00AE0B3D">
        <w:rPr>
          <w:rFonts w:cs="Times New Roman"/>
        </w:rPr>
        <w:t xml:space="preserve"> to the employees to work objectively towards the overall goal of the organisation </w:t>
      </w:r>
      <w:r w:rsidRPr="00AE0B3D">
        <w:rPr>
          <w:rFonts w:cs="Times New Roman"/>
        </w:rPr>
        <w:fldChar w:fldCharType="begin" w:fldLock="1"/>
      </w:r>
      <w:r w:rsidRPr="00AE0B3D">
        <w:rPr>
          <w:rFonts w:cs="Times New Roman"/>
        </w:rPr>
        <w:instrText>ADDIN CSL_CITATION {"citationItems":[{"id":"ITEM-1","itemData":{"author":[{"dropping-particle":"","family":"Bach","given":"S","non-dropping-particle":"","parse-names":false,"suffix":""}],"id":"ITEM-1","issued":{"date-parts":[["2009"]]},"title":"Managing human resources: personnel management in transition","type":"book"},"uris":["http://www.mendeley.com/documents/?uuid=12fc6f55-ac76-310a-bca5-086eaae3f1da"]}],"mendeley":{"formattedCitation":"(Bach, 2009)","plainTextFormattedCitation":"(Bach, 2009)","previouslyFormattedCitation":"(Bach, 2009)"},"properties":{"noteIndex":0},"schema":"https://github.com/citation-style-language/schema/raw/master/csl-citation.json"}</w:instrText>
      </w:r>
      <w:r w:rsidRPr="00AE0B3D">
        <w:rPr>
          <w:rFonts w:cs="Times New Roman"/>
        </w:rPr>
        <w:fldChar w:fldCharType="separate"/>
      </w:r>
      <w:r w:rsidRPr="00AE0B3D">
        <w:rPr>
          <w:rFonts w:cs="Times New Roman"/>
          <w:noProof/>
        </w:rPr>
        <w:t>(Bach, 2009)</w:t>
      </w:r>
      <w:r w:rsidRPr="00AE0B3D">
        <w:rPr>
          <w:rFonts w:cs="Times New Roman"/>
        </w:rPr>
        <w:fldChar w:fldCharType="end"/>
      </w:r>
      <w:r w:rsidRPr="00AE0B3D">
        <w:rPr>
          <w:rFonts w:cs="Times New Roman"/>
        </w:rPr>
        <w:t>.</w:t>
      </w:r>
      <w:r w:rsidR="00EE656D">
        <w:rPr>
          <w:rFonts w:cs="Times New Roman"/>
        </w:rPr>
        <w:t xml:space="preserve"> On the other hand, f</w:t>
      </w:r>
      <w:r w:rsidRPr="00AE0B3D">
        <w:rPr>
          <w:rFonts w:cs="Times New Roman"/>
        </w:rPr>
        <w:t xml:space="preserve">inancial performance is one of the components that is used to measure the performance of organizations </w:t>
      </w:r>
      <w:r w:rsidRPr="00AE0B3D">
        <w:rPr>
          <w:rFonts w:cs="Times New Roman"/>
        </w:rPr>
        <w:fldChar w:fldCharType="begin" w:fldLock="1"/>
      </w:r>
      <w:r w:rsidR="00955099">
        <w:rPr>
          <w:rFonts w:cs="Times New Roman"/>
        </w:rPr>
        <w:instrText>ADDIN CSL_CITATION {"citationItems":[{"id":"ITEM-1","itemData":{"DOI":"10.1109/TSMCC.2010.2053532","abstract":"In this paper we analyse public sector efficiency in the new member states of the EU compared to that in emerging markets. After a conceptual discussion of expenditure efficiency measurement, we compute efficiency scores and rankings by applying a range of measurement techniques. The study finds that expenditure efficiency across new EU member states is rather diverse especially as compared to the group of top performing emerging markets in Asia. Econometric analysis shows that higher income, civil service competence and education levels as well as the security of property rights seem to facilitate the prevention of inefficiencies in the public sector.","author":[{"dropping-particle":"","family":"Upadhaya","given":"Bedanand","non-dropping-particle":"","parse-names":false,"suffix":""},{"dropping-particle":"","family":"Munir","given":"Rahat","non-dropping-particle":"","parse-names":false,"suffix":""},{"dropping-particle":"","family":"Blount","given":"Yvette","non-dropping-particle":"","parse-names":false,"suffix":""}],"container-title":"International Journal of Operations &amp; Production Management","id":"ITEM-1","issue":"7","issued":{"date-parts":[["2014"]]},"page":"853-875","title":"Association between performance measurement systems and organisational effectiveness","type":"article-journal","volume":"34"},"uris":["http://www.mendeley.com/documents/?uuid=66d5c554-d15d-4d4c-8c2e-0e1ebdec6451"]}],"mendeley":{"formattedCitation":"(Upadhaya et al., 2014)","manualFormatting":"(Upadhaya et al., 2014)","plainTextFormattedCitation":"(Upadhaya et al., 2014)","previouslyFormattedCitation":"(Upadhaya et al., 2014)"},"properties":{"noteIndex":0},"schema":"https://github.com/citation-style-language/schema/raw/master/csl-citation.json"}</w:instrText>
      </w:r>
      <w:r w:rsidRPr="00AE0B3D">
        <w:rPr>
          <w:rFonts w:cs="Times New Roman"/>
        </w:rPr>
        <w:fldChar w:fldCharType="separate"/>
      </w:r>
      <w:r w:rsidR="00574AE8">
        <w:rPr>
          <w:rFonts w:cs="Times New Roman"/>
          <w:noProof/>
        </w:rPr>
        <w:t>(Upadhaya</w:t>
      </w:r>
      <w:r w:rsidRPr="00AE0B3D">
        <w:rPr>
          <w:rFonts w:cs="Times New Roman"/>
          <w:noProof/>
        </w:rPr>
        <w:t xml:space="preserve"> </w:t>
      </w:r>
      <w:r w:rsidR="004B1029">
        <w:rPr>
          <w:rFonts w:cs="Times New Roman"/>
          <w:noProof/>
        </w:rPr>
        <w:t>et al.</w:t>
      </w:r>
      <w:r w:rsidRPr="00AE0B3D">
        <w:rPr>
          <w:rFonts w:cs="Times New Roman"/>
          <w:noProof/>
        </w:rPr>
        <w:t>, 2014)</w:t>
      </w:r>
      <w:r w:rsidRPr="00AE0B3D">
        <w:rPr>
          <w:rFonts w:cs="Times New Roman"/>
        </w:rPr>
        <w:fldChar w:fldCharType="end"/>
      </w:r>
      <w:r w:rsidRPr="00AE0B3D">
        <w:rPr>
          <w:rFonts w:cs="Times New Roman"/>
        </w:rPr>
        <w:t xml:space="preserve"> that include sales growth, return on assets, return on investment, return on equity, annual income, profitability, market share, share prices among other variables </w:t>
      </w:r>
      <w:r w:rsidRPr="00AE0B3D">
        <w:rPr>
          <w:rFonts w:cs="Times New Roman"/>
        </w:rPr>
        <w:fldChar w:fldCharType="begin" w:fldLock="1"/>
      </w:r>
      <w:r w:rsidR="00690F1D">
        <w:rPr>
          <w:rFonts w:cs="Times New Roman"/>
        </w:rPr>
        <w:instrText>ADDIN CSL_CITATION {"citationItems":[{"id":"ITEM-1","itemData":{"DOI":"10.15520/jbme.2015.vol3.iss11.158.pp33-40","ISBN":"2146-4138","ISSN":"2146-4138","author":[{"dropping-particle":"","family":"Ongore","given":"Vincent Okoth;","non-dropping-particle":"","parse-names":false,"suffix":""},{"dropping-particle":"","family":"Kusa","given":"Gemechu Berhanu","non-dropping-particle":"","parse-names":false,"suffix":""}],"container-title":"International journal of economics and financial","id":"ITEM-1","issue":"1","issued":{"date-parts":[["2013"]]},"page":"237-252","title":"Determinants of financial performance of commercial banks in Kenya","type":"article-journal","volume":"3"},"uris":["http://www.mendeley.com/documents/?uuid=1ac903a5-40e3-4abb-aa43-5228c90fc504"]},{"id":"ITEM-2","itemData":{"DOI":"10.1016/j.ribaf.2017.07.009","ISSN":"02755319","abstract":"This study uses both a functionalist paradigm of social theory and agency theory assumptions to examine whether CEO remuneration is performance sensitive and, vice versa, whether companies that pay their CEOs more perform better. Our analysis is based on the sample of 330 large European firms for the period from 2009 to 2013. The findings of panel data analysis confirm that CEO compensation is positively associated with corporate performance, and vice versa. The simultaneous estimation, in which we treat both compensation and firm performance as endogenous using a two-stage least squares method, shows that companies tie bonuses to accounting-based measures and this incentive pay enhances corporate internal performance. However, compensation linked to market-based measures does not improve firm performance.","author":[{"dropping-particle":"","family":"Smirnova","given":"Aleksandra S.","non-dropping-particle":"","parse-names":false,"suffix":""},{"dropping-particle":"","family":"Zavertiaeva","given":"Marina A.","non-dropping-particle":"","parse-names":false,"suffix":""}],"container-title":"Research in International Business and Finance","id":"ITEM-2","issued":{"date-parts":[["2017"]]},"page":"658-673","publisher":"Elsevier B.V.","title":"Which came first, CEO compensation or firm performance? The causality dilemma in European companies","type":"article-journal","volume":"42"},"uris":["http://www.mendeley.com/documents/?uuid=5d35397b-3b03-4d69-a07e-6a7e9fd745fd"]}],"mendeley":{"formattedCitation":"(Vincent Okoth; Ongore &amp; Kusa, 2013; Smirnova &amp; Zavertiaeva, 2017)","manualFormatting":"( Ongore &amp; Kusa, 2013; Smirnova &amp; Zavertiaeva, 2017)","plainTextFormattedCitation":"(Vincent Okoth; Ongore &amp; Kusa, 2013; Smirnova &amp; Zavertiaeva, 2017)","previouslyFormattedCitation":"(Vincent Okoth; Ongore &amp; Kusa, 2013; Smirnova &amp; Zavertiaeva, 2017)"},"properties":{"noteIndex":0},"schema":"https://github.com/citation-style-language/schema/raw/master/csl-citation.json"}</w:instrText>
      </w:r>
      <w:r w:rsidRPr="00AE0B3D">
        <w:rPr>
          <w:rFonts w:cs="Times New Roman"/>
        </w:rPr>
        <w:fldChar w:fldCharType="separate"/>
      </w:r>
      <w:r w:rsidR="00347ED3" w:rsidRPr="00AE0B3D">
        <w:rPr>
          <w:rFonts w:cs="Times New Roman"/>
          <w:noProof/>
        </w:rPr>
        <w:t>( Ongore &amp; Kusa, 2013; Smirnova &amp; Zavertiaeva, 2017)</w:t>
      </w:r>
      <w:r w:rsidRPr="00AE0B3D">
        <w:rPr>
          <w:rFonts w:cs="Times New Roman"/>
        </w:rPr>
        <w:fldChar w:fldCharType="end"/>
      </w:r>
      <w:r w:rsidRPr="00AE0B3D">
        <w:rPr>
          <w:rFonts w:cs="Times New Roman"/>
        </w:rPr>
        <w:t xml:space="preserve">. Public </w:t>
      </w:r>
      <w:r w:rsidR="0082608D" w:rsidRPr="00AE0B3D">
        <w:rPr>
          <w:rFonts w:cs="Times New Roman"/>
        </w:rPr>
        <w:t>companies are</w:t>
      </w:r>
      <w:r w:rsidRPr="00AE0B3D">
        <w:rPr>
          <w:rFonts w:cs="Times New Roman"/>
        </w:rPr>
        <w:t xml:space="preserve"> companies that are listed in the stock exchange whose shares are freely traded, and ownership </w:t>
      </w:r>
      <w:r w:rsidR="0082608D" w:rsidRPr="00AE0B3D">
        <w:rPr>
          <w:rFonts w:cs="Times New Roman"/>
        </w:rPr>
        <w:t>is</w:t>
      </w:r>
      <w:r w:rsidRPr="00AE0B3D">
        <w:rPr>
          <w:rFonts w:cs="Times New Roman"/>
        </w:rPr>
        <w:t xml:space="preserve"> distributed through </w:t>
      </w:r>
      <w:r w:rsidR="00B66418" w:rsidRPr="00AE0B3D">
        <w:rPr>
          <w:rFonts w:cs="Times New Roman"/>
        </w:rPr>
        <w:t>public</w:t>
      </w:r>
      <w:r w:rsidRPr="00AE0B3D">
        <w:rPr>
          <w:rFonts w:cs="Times New Roman"/>
        </w:rPr>
        <w:t xml:space="preserve"> shareholders. </w:t>
      </w:r>
      <w:r w:rsidRPr="00AE0B3D">
        <w:t xml:space="preserve">Securities exchange refers to facilities where traders and stockbrokers buy and sell securities </w:t>
      </w:r>
      <w:r w:rsidRPr="00AE0B3D">
        <w:fldChar w:fldCharType="begin" w:fldLock="1"/>
      </w:r>
      <w:r w:rsidRPr="00AE0B3D">
        <w:instrText>ADDIN CSL_CITATION {"citationItems":[{"id":"ITEM-1","itemData":{"ISSN":"07453515","author":[{"dropping-particle":"","family":"Karmel","given":"Roberta S.","non-dropping-particle":"","parse-names":false,"suffix":""}],"container-title":"Notre Dame Law Review","id":"ITEM-1","issue":"3","issued":{"date-parts":[["2005"]]},"page":"909-949","title":"Mutual funds, pension funds, hedge funds and stock market volatility - What regulation by the Securities and Exchange Commission is appropriate?","type":"article-journal","volume":"80"},"uris":["http://www.mendeley.com/documents/?uuid=a5e0b8de-4b4a-4aa4-b881-ff4502ec0d7c"]}],"mendeley":{"formattedCitation":"(Karmel, 2005)","plainTextFormattedCitation":"(Karmel, 2005)","previouslyFormattedCitation":"(Karmel, 2005)"},"properties":{"noteIndex":0},"schema":"https://github.com/citation-style-language/schema/raw/master/csl-citation.json"}</w:instrText>
      </w:r>
      <w:r w:rsidRPr="00AE0B3D">
        <w:fldChar w:fldCharType="separate"/>
      </w:r>
      <w:r w:rsidRPr="00AE0B3D">
        <w:rPr>
          <w:noProof/>
        </w:rPr>
        <w:t>(Karmel, 2005)</w:t>
      </w:r>
      <w:r w:rsidRPr="00AE0B3D">
        <w:fldChar w:fldCharType="end"/>
      </w:r>
      <w:r w:rsidRPr="00AE0B3D">
        <w:t xml:space="preserve">. Nairobi securities exchange is the only listed stock exchange market in Kenya </w:t>
      </w:r>
      <w:r w:rsidRPr="00AE0B3D">
        <w:fldChar w:fldCharType="begin" w:fldLock="1"/>
      </w:r>
      <w:r w:rsidR="00347ED3" w:rsidRPr="00AE0B3D">
        <w:instrText>ADDIN CSL_CITATION {"citationItems":[{"id":"ITEM-1","itemData":{"abstract":"With the increasing trend of sudden corporate failure in both global and local context, shareholders and other stakeholders are increasingly becoming more concerned of the financial performance of their firms. The study therefore aimed to find out the factors affecting the financial performance of listed companies at Nairobi Securities Exchange in Kenya. It was informed by trade off and the agency theories. The study adopted an explanatory research design and 29 listed firms (excluding listed banks and insurance companies) which have consistently been operating at the Nairobi securities exchange during the period 2006-2012 were sampled. Purposive sampling technique was used. The analysis of the data collected from financial statement followed a number of basic statistical techniques. Descriptive statistics (mean and standard deviation) and inferential statistics (Pearson correlation and multiple-regression) were used to analyze data. Pearson correlation was used to ascertain the interrelationship between the variables, whereas multiple-regression was used to assess the extent of the effect of the independent variables on the dependent variable. Study findings showed that leverage had a significant negative effect on financial performance (β 1 = -0.289, ρ&lt;0.05). Findings also showed that liquidity had a significant positive effect on financial performance (β 2 = 0.296, ρ&lt;0.05). Company size had a significant positive effect on financial performance (β 3 = 0.480, ρ&lt;0.05). The study also revealed that company age had a significant positive effect on financial performance (β 4 = 0.168, ρ&lt;0.05). The study provides some precursory evidence that leverage, liquidity, company size and company age play an important role in improving company's financial performance. The study suggests that there is need to determine an optimal debt level that balances the benefits of debt against the costs of debt and developing sound techniques of managing current assets to ensure that neither insufficient nor unnecessary funds are invested in current assets as maintaining a balance between short-term assets and short-term liabilities is critical. The study also suggest that firms should expand in a controlled way with the aim of achieving an optimum size so as to enjoy economies of scale which can ultimately result in higher level of financial performance.","author":[{"dropping-particle":"","family":"Omondi","given":"Maleya M","non-dropping-particle":"","parse-names":false,"suffix":""},{"dropping-particle":"","family":"Muturi","given":"Willy","non-dropping-particle":"","parse-names":false,"suffix":""}],"container-title":"Research Journal of Finance and Accounting","id":"ITEM-1","issue":"15","issued":{"date-parts":[["2013"]]},"title":"Factors affecting the financial performance of listed companies at the Nairobi Securities Exchange in Kenya","type":"article-journal","volume":"4"},"uris":["http://www.mendeley.com/documents/?uuid=ce0bc6e7-39f9-43d6-9616-d17c58fdec0b"]}],"mendeley":{"formattedCitation":"(Omondi &amp; Muturi, 2013)","plainTextFormattedCitation":"(Omondi &amp; Muturi, 2013)","previouslyFormattedCitation":"(Omondi &amp; Muturi, 2013)"},"properties":{"noteIndex":0},"schema":"https://github.com/citation-style-language/schema/raw/master/csl-citation.json"}</w:instrText>
      </w:r>
      <w:r w:rsidRPr="00AE0B3D">
        <w:fldChar w:fldCharType="separate"/>
      </w:r>
      <w:r w:rsidRPr="00AE0B3D">
        <w:rPr>
          <w:noProof/>
        </w:rPr>
        <w:t>(Omondi &amp; Muturi, 2013)</w:t>
      </w:r>
      <w:r w:rsidRPr="00AE0B3D">
        <w:fldChar w:fldCharType="end"/>
      </w:r>
      <w:r w:rsidRPr="00AE0B3D">
        <w:t xml:space="preserve">. </w:t>
      </w:r>
    </w:p>
    <w:p w14:paraId="09521CA4" w14:textId="6F4BCBCA" w:rsidR="000B5BC7" w:rsidRDefault="005D1BC4" w:rsidP="000D1E85">
      <w:pPr>
        <w:rPr>
          <w:rFonts w:cs="Times New Roman"/>
        </w:rPr>
        <w:sectPr w:rsidR="000B5BC7" w:rsidSect="00975779">
          <w:footerReference w:type="default" r:id="rId11"/>
          <w:pgSz w:w="12240" w:h="15840"/>
          <w:pgMar w:top="2160" w:right="1440" w:bottom="1440" w:left="2160" w:header="720" w:footer="720" w:gutter="0"/>
          <w:pgNumType w:start="1"/>
          <w:cols w:space="720"/>
          <w:docGrid w:linePitch="360"/>
        </w:sectPr>
      </w:pPr>
      <w:r w:rsidRPr="00AE0B3D">
        <w:rPr>
          <w:rFonts w:cs="Times New Roman"/>
        </w:rPr>
        <w:t>The bu</w:t>
      </w:r>
      <w:r w:rsidR="0010311B" w:rsidRPr="00AE0B3D">
        <w:rPr>
          <w:rFonts w:cs="Times New Roman"/>
        </w:rPr>
        <w:t xml:space="preserve">siness environment </w:t>
      </w:r>
      <w:r w:rsidR="001642CE" w:rsidRPr="00AE0B3D">
        <w:rPr>
          <w:rFonts w:cs="Times New Roman"/>
        </w:rPr>
        <w:t>has</w:t>
      </w:r>
      <w:r w:rsidR="0010311B" w:rsidRPr="00AE0B3D">
        <w:rPr>
          <w:rFonts w:cs="Times New Roman"/>
        </w:rPr>
        <w:t xml:space="preserve"> changed </w:t>
      </w:r>
      <w:r w:rsidR="001642CE" w:rsidRPr="00AE0B3D">
        <w:rPr>
          <w:rFonts w:cs="Times New Roman"/>
        </w:rPr>
        <w:t xml:space="preserve">due to technological innovation and globalisation which have increased </w:t>
      </w:r>
      <w:r w:rsidR="002E34E9" w:rsidRPr="00AE0B3D">
        <w:rPr>
          <w:rFonts w:cs="Times New Roman"/>
        </w:rPr>
        <w:t xml:space="preserve">the </w:t>
      </w:r>
      <w:r w:rsidR="001642CE" w:rsidRPr="00AE0B3D">
        <w:rPr>
          <w:rFonts w:cs="Times New Roman"/>
        </w:rPr>
        <w:t>number of multinational companies</w:t>
      </w:r>
      <w:r w:rsidR="00D811F3" w:rsidRPr="00AE0B3D">
        <w:rPr>
          <w:rFonts w:cs="Times New Roman"/>
        </w:rPr>
        <w:t xml:space="preserve"> </w:t>
      </w:r>
      <w:r w:rsidR="0079492F" w:rsidRPr="00AE0B3D">
        <w:rPr>
          <w:rFonts w:cs="Times New Roman"/>
        </w:rPr>
        <w:fldChar w:fldCharType="begin" w:fldLock="1"/>
      </w:r>
      <w:r w:rsidR="00955099">
        <w:rPr>
          <w:rFonts w:cs="Times New Roman"/>
        </w:rPr>
        <w:instrText>ADDIN CSL_CITATION {"citationItems":[{"id":"ITEM-1","itemData":{"author":[{"dropping-particle":"","family":"Audretsch","given":"DB","non-dropping-particle":"","parse-names":false,"suffix":""},{"dropping-particle":"","family":"Lehmann","given":"EE","non-dropping-particle":"","parse-names":false,"suffix":""},{"dropping-particle":"","family":"Wright","given":"E","non-dropping-particle":"","parse-names":false,"suffix":""}],"container-title":"The Journal of Technology Transfer","id":"ITEM-1","issue":"3","issued":{"date-parts":[["2014"]]},"page":"301-312","title":"Technology transfer in a global economy","type":"article-journal","volume":"39"},"uris":["http://www.mendeley.com/documents/?uuid=5b3922d9-3518-3b09-974c-3272204c091b"]}],"mendeley":{"formattedCitation":"(Audretsch et al., 2014)","manualFormatting":"(Audretsch et al, 2014)","plainTextFormattedCitation":"(Audretsch et al., 2014)","previouslyFormattedCitation":"(Audretsch et al., 2014)"},"properties":{"noteIndex":0},"schema":"https://github.com/citation-style-language/schema/raw/master/csl-citation.json"}</w:instrText>
      </w:r>
      <w:r w:rsidR="0079492F" w:rsidRPr="00AE0B3D">
        <w:rPr>
          <w:rFonts w:cs="Times New Roman"/>
        </w:rPr>
        <w:fldChar w:fldCharType="separate"/>
      </w:r>
      <w:r w:rsidR="00574AE8">
        <w:rPr>
          <w:rFonts w:cs="Times New Roman"/>
          <w:noProof/>
        </w:rPr>
        <w:t>(Audretsch et al</w:t>
      </w:r>
      <w:r w:rsidR="002E49E5" w:rsidRPr="00AE0B3D">
        <w:rPr>
          <w:rFonts w:cs="Times New Roman"/>
          <w:noProof/>
        </w:rPr>
        <w:t>, 2014)</w:t>
      </w:r>
      <w:r w:rsidR="0079492F" w:rsidRPr="00AE0B3D">
        <w:rPr>
          <w:rFonts w:cs="Times New Roman"/>
        </w:rPr>
        <w:fldChar w:fldCharType="end"/>
      </w:r>
      <w:r w:rsidR="00F33294" w:rsidRPr="00AE0B3D">
        <w:rPr>
          <w:rFonts w:cs="Times New Roman"/>
        </w:rPr>
        <w:t xml:space="preserve">. </w:t>
      </w:r>
      <w:r w:rsidR="000D1E85" w:rsidRPr="00AE0B3D">
        <w:rPr>
          <w:rFonts w:cs="Times New Roman"/>
        </w:rPr>
        <w:t xml:space="preserve">Even so, </w:t>
      </w:r>
      <w:r w:rsidR="00B66418" w:rsidRPr="00AE0B3D">
        <w:rPr>
          <w:rFonts w:cs="Times New Roman"/>
        </w:rPr>
        <w:t>opening</w:t>
      </w:r>
      <w:r w:rsidR="000D1E85" w:rsidRPr="00AE0B3D">
        <w:rPr>
          <w:rFonts w:cs="Times New Roman"/>
        </w:rPr>
        <w:t xml:space="preserve"> of the international markets have also</w:t>
      </w:r>
      <w:r w:rsidR="000B5BC7">
        <w:rPr>
          <w:rFonts w:cs="Times New Roman"/>
        </w:rPr>
        <w:t xml:space="preserve"> </w:t>
      </w:r>
      <w:r w:rsidR="000B5BC7" w:rsidRPr="00AE0B3D">
        <w:rPr>
          <w:rFonts w:cs="Times New Roman"/>
        </w:rPr>
        <w:t xml:space="preserve">opened doors for competition of local market from multinational organizations. </w:t>
      </w:r>
      <w:r w:rsidR="007F7812" w:rsidRPr="00AE0B3D">
        <w:rPr>
          <w:rFonts w:cs="Times New Roman"/>
        </w:rPr>
        <w:t>Recruiting and</w:t>
      </w:r>
      <w:r w:rsidR="007F7812">
        <w:rPr>
          <w:rFonts w:cs="Times New Roman"/>
        </w:rPr>
        <w:t xml:space="preserve"> </w:t>
      </w:r>
      <w:r w:rsidR="007F7812" w:rsidRPr="00AE0B3D">
        <w:rPr>
          <w:rFonts w:cs="Times New Roman"/>
        </w:rPr>
        <w:t>retaining</w:t>
      </w:r>
    </w:p>
    <w:p w14:paraId="573135AA" w14:textId="3455596F" w:rsidR="006C4B57" w:rsidRPr="00AE0B3D" w:rsidRDefault="000B5BC7" w:rsidP="00700489">
      <w:pPr>
        <w:ind w:firstLine="0"/>
        <w:rPr>
          <w:rFonts w:cs="Times New Roman"/>
          <w:noProof/>
        </w:rPr>
      </w:pPr>
      <w:r w:rsidRPr="00AE0B3D">
        <w:rPr>
          <w:rFonts w:cs="Times New Roman"/>
        </w:rPr>
        <w:lastRenderedPageBreak/>
        <w:t>high</w:t>
      </w:r>
      <w:r w:rsidR="001667C5">
        <w:rPr>
          <w:rFonts w:cs="Times New Roman"/>
        </w:rPr>
        <w:t>ly</w:t>
      </w:r>
      <w:r w:rsidRPr="00AE0B3D">
        <w:rPr>
          <w:rFonts w:cs="Times New Roman"/>
        </w:rPr>
        <w:t xml:space="preserve"> qualified personnel </w:t>
      </w:r>
      <w:r w:rsidR="000D1E85" w:rsidRPr="00AE0B3D">
        <w:rPr>
          <w:rFonts w:cs="Times New Roman"/>
        </w:rPr>
        <w:t xml:space="preserve">in </w:t>
      </w:r>
      <w:r w:rsidR="000D1E85" w:rsidRPr="00AE0B3D">
        <w:rPr>
          <w:rFonts w:cs="Times New Roman"/>
          <w:noProof/>
        </w:rPr>
        <w:t>the different</w:t>
      </w:r>
      <w:r w:rsidR="000D1E85" w:rsidRPr="00AE0B3D">
        <w:rPr>
          <w:rFonts w:cs="Times New Roman"/>
        </w:rPr>
        <w:t xml:space="preserve"> organization’s position </w:t>
      </w:r>
      <w:proofErr w:type="gramStart"/>
      <w:r w:rsidR="000D1E85" w:rsidRPr="00AE0B3D">
        <w:rPr>
          <w:rFonts w:cs="Times New Roman"/>
        </w:rPr>
        <w:t>is</w:t>
      </w:r>
      <w:proofErr w:type="gramEnd"/>
      <w:r w:rsidR="000D1E85" w:rsidRPr="00AE0B3D">
        <w:rPr>
          <w:rFonts w:cs="Times New Roman"/>
        </w:rPr>
        <w:t xml:space="preserve"> one of the strategies adopted by </w:t>
      </w:r>
      <w:r w:rsidR="008B3043" w:rsidRPr="00AE0B3D">
        <w:rPr>
          <w:rFonts w:cs="Times New Roman"/>
        </w:rPr>
        <w:t xml:space="preserve">many </w:t>
      </w:r>
      <w:r w:rsidR="000D1E85" w:rsidRPr="00AE0B3D">
        <w:rPr>
          <w:rFonts w:cs="Times New Roman"/>
        </w:rPr>
        <w:t>organizations</w:t>
      </w:r>
      <w:r w:rsidR="000A47C6" w:rsidRPr="00AE0B3D">
        <w:rPr>
          <w:rFonts w:cs="Times New Roman"/>
        </w:rPr>
        <w:t xml:space="preserve"> in remaining competitive</w:t>
      </w:r>
      <w:r w:rsidR="00D811F3" w:rsidRPr="00AE0B3D">
        <w:rPr>
          <w:rFonts w:cs="Times New Roman"/>
        </w:rPr>
        <w:t xml:space="preserve"> in the market</w:t>
      </w:r>
      <w:r w:rsidR="000D1E85" w:rsidRPr="00AE0B3D">
        <w:rPr>
          <w:rFonts w:cs="Times New Roman"/>
        </w:rPr>
        <w:t>. The human resource management ensures that the organization maximizes the potential of human resource</w:t>
      </w:r>
      <w:r w:rsidR="008B3043" w:rsidRPr="00AE0B3D">
        <w:rPr>
          <w:rFonts w:cs="Times New Roman"/>
        </w:rPr>
        <w:t xml:space="preserve"> that</w:t>
      </w:r>
      <w:r w:rsidR="000D1E85" w:rsidRPr="00AE0B3D">
        <w:rPr>
          <w:rFonts w:cs="Times New Roman"/>
        </w:rPr>
        <w:t xml:space="preserve"> it has and </w:t>
      </w:r>
      <w:r w:rsidR="000D1E85" w:rsidRPr="00AE0B3D">
        <w:rPr>
          <w:rFonts w:cs="Times New Roman"/>
          <w:noProof/>
        </w:rPr>
        <w:t>lower</w:t>
      </w:r>
      <w:r w:rsidR="008B3043" w:rsidRPr="00AE0B3D">
        <w:rPr>
          <w:rFonts w:cs="Times New Roman"/>
          <w:noProof/>
        </w:rPr>
        <w:t>s</w:t>
      </w:r>
      <w:r w:rsidR="000D1E85" w:rsidRPr="00AE0B3D">
        <w:rPr>
          <w:rFonts w:cs="Times New Roman"/>
        </w:rPr>
        <w:t xml:space="preserve"> the overall cost of services deliver</w:t>
      </w:r>
      <w:r w:rsidR="00D811F3" w:rsidRPr="00AE0B3D">
        <w:rPr>
          <w:rFonts w:cs="Times New Roman"/>
        </w:rPr>
        <w:t>y</w:t>
      </w:r>
      <w:r w:rsidR="000D1E85" w:rsidRPr="00AE0B3D">
        <w:rPr>
          <w:rFonts w:cs="Times New Roman"/>
        </w:rPr>
        <w:t xml:space="preserve"> as well as ensure improve</w:t>
      </w:r>
      <w:r w:rsidR="00CC1DBA" w:rsidRPr="00AE0B3D">
        <w:rPr>
          <w:rFonts w:cs="Times New Roman"/>
        </w:rPr>
        <w:t>ment of the</w:t>
      </w:r>
      <w:r w:rsidR="000D1E85" w:rsidRPr="00AE0B3D">
        <w:rPr>
          <w:rFonts w:cs="Times New Roman"/>
        </w:rPr>
        <w:t xml:space="preserve"> performance of the </w:t>
      </w:r>
      <w:r w:rsidR="00E53BF2" w:rsidRPr="00AE0B3D">
        <w:rPr>
          <w:rFonts w:cs="Times New Roman"/>
        </w:rPr>
        <w:t>organization</w:t>
      </w:r>
      <w:r w:rsidR="00430E84" w:rsidRPr="00AE0B3D">
        <w:rPr>
          <w:rFonts w:cs="Times New Roman"/>
        </w:rPr>
        <w:t xml:space="preserve"> </w:t>
      </w:r>
      <w:r w:rsidR="00430E84" w:rsidRPr="00AE0B3D">
        <w:rPr>
          <w:rFonts w:cs="Times New Roman"/>
        </w:rPr>
        <w:fldChar w:fldCharType="begin" w:fldLock="1"/>
      </w:r>
      <w:r w:rsidR="00955099">
        <w:rPr>
          <w:rFonts w:cs="Times New Roman"/>
        </w:rPr>
        <w:instrText>ADDIN CSL_CITATION {"citationItems":[{"id":"ITEM-1","itemData":{"DOI":"10.1007/s10551-013-1732-0","ISBN":"01674544","ISSN":"15730697","PMID":"21451395","abstract":"This field study investigated the relationship between strategic human resource management, internal environmental concern, organizational citizenship behavior for the environment, and environmental performance. The originality of the present research was to link human resource management and environmental management in the Chinese context. Data consisted of 151 matched questionnaires from top management team members, chief executive officers, and frontline workers. The main results indicate that organizational citizenship behavior for the environment fully mediates the relationship between strategic human resource management and environmental performance, and that internal environmental concern moderates the effect of strategic human resource management on organizational citizenship behavior for the environment. © 2013 Springer Science+Business Media Dordrecht.","author":[{"dropping-particle":"","family":"Paillé","given":"Pascal","non-dropping-particle":"","parse-names":false,"suffix":""},{"dropping-particle":"","family":"Chen","given":"Yang","non-dropping-particle":"","parse-names":false,"suffix":""},{"dropping-particle":"","family":"Boiral","given":"Olivier","non-dropping-particle":"","parse-names":false,"suffix":""},{"dropping-particle":"","family":"Jin","given":"Jiafei","non-dropping-particle":"","parse-names":false,"suffix":""}],"container-title":"Journal of Business Ethics","id":"ITEM-1","issue":"3","issued":{"date-parts":[["2014"]]},"page":"451-466","title":"The Impact of Human Resource Management on Environmental Performance: An Employee-Level Study","type":"article-journal","volume":"121"},"uris":["http://www.mendeley.com/documents/?uuid=0b00dab4-b8b0-4ca1-ae63-7bde1dc7df98"]},{"id":"ITEM-2","itemData":{"author":[{"dropping-particle":"","family":"Rothenberg","given":"Sandra","non-dropping-particle":"","parse-names":false,"suffix":""},{"dropping-particle":"","family":"Hull","given":"Clyde Eiríkur","non-dropping-particle":"","parse-names":false,"suffix":""},{"dropping-particle":"","family":"Tang","given":"Zhi","non-dropping-particle":"","parse-names":false,"suffix":""}],"container-title":"Business &amp; Society","id":"ITEM-2","issue":"3","issued":{"date-parts":[["2017"]]},"page":"391-418","title":"The impact of human resource management on corporate social performance strengths and concerns","type":"article-journal","volume":"56"},"uris":["http://www.mendeley.com/documents/?uuid=d120e3ad-92ac-4159-90e1-00320ed70b34"]}],"mendeley":{"formattedCitation":"(Paillé et al., 2014; Rothenberg et al., 2017)","manualFormatting":"(Paillé et al., 2014; Rothenberg et al., 2017)","plainTextFormattedCitation":"(Paillé et al., 2014; Rothenberg et al., 2017)","previouslyFormattedCitation":"(Paillé et al., 2014; Rothenberg et al., 2017)"},"properties":{"noteIndex":0},"schema":"https://github.com/citation-style-language/schema/raw/master/csl-citation.json"}</w:instrText>
      </w:r>
      <w:r w:rsidR="00430E84" w:rsidRPr="00AE0B3D">
        <w:rPr>
          <w:rFonts w:cs="Times New Roman"/>
        </w:rPr>
        <w:fldChar w:fldCharType="separate"/>
      </w:r>
      <w:r w:rsidR="00090C19">
        <w:rPr>
          <w:rFonts w:cs="Times New Roman"/>
          <w:noProof/>
        </w:rPr>
        <w:t>(Paillé</w:t>
      </w:r>
      <w:r w:rsidR="006B3E1F">
        <w:rPr>
          <w:rFonts w:cs="Times New Roman"/>
          <w:noProof/>
        </w:rPr>
        <w:t xml:space="preserve"> </w:t>
      </w:r>
      <w:r w:rsidR="006B3E1F" w:rsidRPr="006B3E1F">
        <w:rPr>
          <w:rFonts w:cs="Times New Roman"/>
          <w:noProof/>
        </w:rPr>
        <w:t>et al.,</w:t>
      </w:r>
      <w:r w:rsidR="00090C19">
        <w:rPr>
          <w:rFonts w:cs="Times New Roman"/>
          <w:noProof/>
        </w:rPr>
        <w:t xml:space="preserve"> 2014; Rothenberg </w:t>
      </w:r>
      <w:r w:rsidR="006B3E1F" w:rsidRPr="006B3E1F">
        <w:rPr>
          <w:rFonts w:cs="Times New Roman"/>
          <w:noProof/>
        </w:rPr>
        <w:t>et al.</w:t>
      </w:r>
      <w:r w:rsidR="00430E84" w:rsidRPr="00AE0B3D">
        <w:rPr>
          <w:rFonts w:cs="Times New Roman"/>
          <w:noProof/>
        </w:rPr>
        <w:t>, 2017)</w:t>
      </w:r>
      <w:r w:rsidR="00430E84" w:rsidRPr="00AE0B3D">
        <w:rPr>
          <w:rFonts w:cs="Times New Roman"/>
        </w:rPr>
        <w:fldChar w:fldCharType="end"/>
      </w:r>
      <w:r w:rsidR="00A84ABA" w:rsidRPr="00AE0B3D">
        <w:rPr>
          <w:rFonts w:cs="Times New Roman"/>
          <w:noProof/>
        </w:rPr>
        <w:t xml:space="preserve">. </w:t>
      </w:r>
      <w:r w:rsidR="000D1E85" w:rsidRPr="00AE0B3D">
        <w:rPr>
          <w:rFonts w:cs="Times New Roman"/>
        </w:rPr>
        <w:t>High work performance practices within the organization such as compensation, training, and knowledge management play a crucial role in the overall organization performance and success</w:t>
      </w:r>
      <w:r w:rsidR="000D1E85" w:rsidRPr="00AE0B3D">
        <w:rPr>
          <w:rFonts w:cs="Times New Roman"/>
          <w:noProof/>
        </w:rPr>
        <w:t xml:space="preserve"> </w:t>
      </w:r>
      <w:r w:rsidR="00267522" w:rsidRPr="00AE0B3D">
        <w:rPr>
          <w:rFonts w:cs="Times New Roman"/>
          <w:noProof/>
        </w:rPr>
        <w:fldChar w:fldCharType="begin" w:fldLock="1"/>
      </w:r>
      <w:r w:rsidR="00955099">
        <w:rPr>
          <w:rFonts w:cs="Times New Roman"/>
          <w:noProof/>
        </w:rPr>
        <w:instrText>ADDIN CSL_CITATION {"citationItems":[{"id":"ITEM-1","itemData":{"DOI":"10.1080/14783363.2014.1002762","ISSN":"1478-3363","author":[{"dropping-particle":"","family":"Masum","given":"Abdul Kadar Muhammad","non-dropping-particle":"","parse-names":false,"suffix":""},{"dropping-particle":"","family":"Azad","given":"Md. Abul Kalam","non-dropping-particle":"","parse-names":false,"suffix":""},{"dropping-particle":"","family":"Beh","given":"Loo-See","non-dropping-particle":"","parse-names":false,"suffix":""}],"container-title":"Total Quality Management &amp; Business Excellence","id":"ITEM-1","issue":"3-4","issued":{"date-parts":[["2016","3","3"]]},"page":"382-397","title":"The role of human resource management practices in bank performance","type":"article-journal","volume":"27"},"uris":["http://www.mendeley.com/documents/?uuid=2bfb3bb2-fcfa-3ddb-99c8-8f00c9bf0ae7"]},{"id":"ITEM-2","itemData":{"author":[{"dropping-particle":"","family":"Latorre","given":"F","non-dropping-particle":"","parse-names":false,"suffix":""},{"dropping-particle":"","family":"Guest","given":"D","non-dropping-particle":"","parse-names":false,"suffix":""},{"dropping-particle":"","family":"Ramos","given":"J","non-dropping-particle":"","parse-names":false,"suffix":""},{"dropping-particle":"","family":"Gracia","given":"FJ","non-dropping-particle":"","parse-names":false,"suffix":""}],"container-title":"European Management Journal","id":"ITEM-2","issue":"4","issued":{"date-parts":[["2016"]]},"page":"328-337","title":"High commitment HR practices, the employment relationship and job performance: A test of a mediation model","type":"article-journal","volume":"34"},"uris":["http://www.mendeley.com/documents/?uuid=bd500562-d65d-37d1-8950-246cda2aafb6"]},{"id":"ITEM-3","itemData":{"DOI":"10.1111/1748-8583.12062","ISSN":"09545395","author":[{"dropping-particle":"","family":"Voorde","given":"Karina","non-dropping-particle":"Van De","parse-names":false,"suffix":""},{"dropping-particle":"","family":"Beijer","given":"Susanne","non-dropping-particle":"","parse-names":false,"suffix":""}],"container-title":"Human Resource Management Journal","id":"ITEM-3","issue":"1","issued":{"date-parts":[["2015","1"]]},"page":"62-78","title":"The role of employee HR attributions in the relationship between high-performance work systems and employee outcomes","type":"article-journal","volume":"25"},"uris":["http://www.mendeley.com/documents/?uuid=1f9a98d5-e698-3460-87c1-e01537a0a392"]}],"mendeley":{"formattedCitation":"(Latorre et al., 2016; Masum et al., 2016; Van De Voorde &amp; Beijer, 2015)","manualFormatting":"(Latorre et al., 2016; Masum et al., 2016; Van De et al., 2015)","plainTextFormattedCitation":"(Latorre et al., 2016; Masum et al., 2016; Van De Voorde &amp; Beijer, 2015)","previouslyFormattedCitation":"(Latorre et al., 2016; Masum et al., 2016; Van De Voorde &amp; Beijer, 2015)"},"properties":{"noteIndex":0},"schema":"https://github.com/citation-style-language/schema/raw/master/csl-citation.json"}</w:instrText>
      </w:r>
      <w:r w:rsidR="00267522" w:rsidRPr="00AE0B3D">
        <w:rPr>
          <w:rFonts w:cs="Times New Roman"/>
          <w:noProof/>
        </w:rPr>
        <w:fldChar w:fldCharType="separate"/>
      </w:r>
      <w:r w:rsidR="00090C19">
        <w:rPr>
          <w:rFonts w:cs="Times New Roman"/>
          <w:noProof/>
        </w:rPr>
        <w:t>(Latorre</w:t>
      </w:r>
      <w:r w:rsidR="00D85D09" w:rsidRPr="00AE0B3D">
        <w:rPr>
          <w:rFonts w:cs="Times New Roman"/>
          <w:noProof/>
        </w:rPr>
        <w:t xml:space="preserve"> </w:t>
      </w:r>
      <w:r w:rsidR="006B3E1F" w:rsidRPr="006B3E1F">
        <w:rPr>
          <w:rFonts w:cs="Times New Roman"/>
          <w:noProof/>
        </w:rPr>
        <w:t>et al.</w:t>
      </w:r>
      <w:r w:rsidR="00090C19">
        <w:rPr>
          <w:rFonts w:cs="Times New Roman"/>
          <w:noProof/>
        </w:rPr>
        <w:t>, 2016; Masum</w:t>
      </w:r>
      <w:r w:rsidR="00D85D09" w:rsidRPr="00AE0B3D">
        <w:rPr>
          <w:rFonts w:cs="Times New Roman"/>
          <w:noProof/>
        </w:rPr>
        <w:t xml:space="preserve"> </w:t>
      </w:r>
      <w:r w:rsidR="006B3E1F" w:rsidRPr="006B3E1F">
        <w:rPr>
          <w:rFonts w:cs="Times New Roman"/>
          <w:noProof/>
        </w:rPr>
        <w:t>et al.</w:t>
      </w:r>
      <w:r w:rsidR="00D85D09" w:rsidRPr="00AE0B3D">
        <w:rPr>
          <w:rFonts w:cs="Times New Roman"/>
          <w:noProof/>
        </w:rPr>
        <w:t xml:space="preserve">, 2016; Van De </w:t>
      </w:r>
      <w:r w:rsidR="006B3E1F" w:rsidRPr="006B3E1F">
        <w:rPr>
          <w:rFonts w:cs="Times New Roman"/>
          <w:noProof/>
        </w:rPr>
        <w:t>et al.</w:t>
      </w:r>
      <w:r w:rsidR="00D85D09" w:rsidRPr="00AE0B3D">
        <w:rPr>
          <w:rFonts w:cs="Times New Roman"/>
          <w:noProof/>
        </w:rPr>
        <w:t>, 2015)</w:t>
      </w:r>
      <w:r w:rsidR="00267522" w:rsidRPr="00AE0B3D">
        <w:rPr>
          <w:rFonts w:cs="Times New Roman"/>
          <w:noProof/>
        </w:rPr>
        <w:fldChar w:fldCharType="end"/>
      </w:r>
      <w:r w:rsidR="006B2912" w:rsidRPr="00AE0B3D">
        <w:rPr>
          <w:rFonts w:cs="Times New Roman"/>
          <w:noProof/>
        </w:rPr>
        <w:t>.</w:t>
      </w:r>
    </w:p>
    <w:p w14:paraId="4DE54E62" w14:textId="21AD6801" w:rsidR="00945805" w:rsidRPr="00AE0B3D" w:rsidRDefault="00945805" w:rsidP="00945805">
      <w:pPr>
        <w:ind w:firstLine="0"/>
        <w:rPr>
          <w:rFonts w:cs="Times New Roman"/>
        </w:rPr>
      </w:pPr>
      <w:r w:rsidRPr="00AE0B3D">
        <w:rPr>
          <w:rFonts w:cs="Times New Roman"/>
        </w:rPr>
        <w:t>This study aim</w:t>
      </w:r>
      <w:r w:rsidR="001667C5">
        <w:rPr>
          <w:rFonts w:cs="Times New Roman"/>
        </w:rPr>
        <w:t>ed</w:t>
      </w:r>
      <w:r w:rsidRPr="00AE0B3D">
        <w:rPr>
          <w:rFonts w:cs="Times New Roman"/>
        </w:rPr>
        <w:t xml:space="preserve"> to evaluate the relationship between the management </w:t>
      </w:r>
      <w:r w:rsidRPr="00AE0B3D">
        <w:rPr>
          <w:rFonts w:cs="Times New Roman"/>
          <w:noProof/>
        </w:rPr>
        <w:t>remuneration</w:t>
      </w:r>
      <w:r w:rsidRPr="00AE0B3D">
        <w:rPr>
          <w:rFonts w:cs="Times New Roman"/>
        </w:rPr>
        <w:t xml:space="preserve"> and financial performance of public listed </w:t>
      </w:r>
      <w:r w:rsidRPr="00AE0B3D">
        <w:rPr>
          <w:rFonts w:cs="Times New Roman"/>
          <w:noProof/>
        </w:rPr>
        <w:t>organizations</w:t>
      </w:r>
      <w:r w:rsidRPr="00AE0B3D">
        <w:rPr>
          <w:rFonts w:cs="Times New Roman"/>
        </w:rPr>
        <w:t xml:space="preserve">. </w:t>
      </w:r>
      <w:bookmarkStart w:id="13" w:name="_Hlk25262413"/>
      <w:r w:rsidRPr="00AE0B3D">
        <w:rPr>
          <w:rFonts w:cs="Times New Roman"/>
        </w:rPr>
        <w:t xml:space="preserve">Financial performance is one of the components used to measure the performance of organizations </w:t>
      </w:r>
      <w:r w:rsidRPr="00AE0B3D">
        <w:rPr>
          <w:rFonts w:cs="Times New Roman"/>
        </w:rPr>
        <w:fldChar w:fldCharType="begin" w:fldLock="1"/>
      </w:r>
      <w:r w:rsidR="00A40B79" w:rsidRPr="00AE0B3D">
        <w:rPr>
          <w:rFonts w:cs="Times New Roman"/>
        </w:rPr>
        <w:instrText>ADDIN CSL_CITATION {"citationItems":[{"id":"ITEM-1","itemData":{"DOI":"10.1109/TSMCC.2010.2053532","abstract":"In this paper we analyse public sector efficiency in the new member states of the EU compared to that in emerging markets. After a conceptual discussion of expenditure efficiency measurement, we compute efficiency scores and rankings by applying a range of measurement techniques. The study finds that expenditure efficiency across new EU member states is rather diverse especially as compared to the group of top performing emerging markets in Asia. Econometric analysis shows that higher income, civil service competence and education levels as well as the security of property rights seem to facilitate the prevention of inefficiencies in the public sector.","author":[{"dropping-particle":"","family":"Upadhaya","given":"Bedanand","non-dropping-particle":"","parse-names":false,"suffix":""},{"dropping-particle":"","family":"Munir","given":"Rahat","non-dropping-particle":"","parse-names":false,"suffix":""},{"dropping-particle":"","family":"Blount","given":"Yvette","non-dropping-particle":"","parse-names":false,"suffix":""}],"container-title":"International Journal of Operations &amp; Production Management","id":"ITEM-1","issue":"7","issued":{"date-parts":[["2014"]]},"page":"853-875","title":"Association between performance measurement systems and organisational effectiveness","type":"article-journal","volume":"34"},"uris":["http://www.mendeley.com/documents/?uuid=66d5c554-d15d-4d4c-8c2e-0e1ebdec6451"]}],"mendeley":{"formattedCitation":"(Upadhaya et al., 2014)","plainTextFormattedCitation":"(Upadhaya et al., 2014)","previouslyFormattedCitation":"(Upadhaya et al., 2014)"},"properties":{"noteIndex":0},"schema":"https://github.com/citation-style-language/schema/raw/master/csl-citation.json"}</w:instrText>
      </w:r>
      <w:r w:rsidRPr="00AE0B3D">
        <w:rPr>
          <w:rFonts w:cs="Times New Roman"/>
        </w:rPr>
        <w:fldChar w:fldCharType="separate"/>
      </w:r>
      <w:r w:rsidR="00347ED3" w:rsidRPr="00AE0B3D">
        <w:rPr>
          <w:rFonts w:cs="Times New Roman"/>
          <w:noProof/>
        </w:rPr>
        <w:t>(Upadhaya et al., 2014)</w:t>
      </w:r>
      <w:r w:rsidRPr="00AE0B3D">
        <w:rPr>
          <w:rFonts w:cs="Times New Roman"/>
        </w:rPr>
        <w:fldChar w:fldCharType="end"/>
      </w:r>
      <w:r w:rsidRPr="00AE0B3D">
        <w:rPr>
          <w:rFonts w:cs="Times New Roman"/>
        </w:rPr>
        <w:t xml:space="preserve">. The financial performance measures include sales growth, return on assets, return on investment, return on equity, annual income, profitability, market share, share prices among other variables </w:t>
      </w:r>
      <w:r w:rsidRPr="00AE0B3D">
        <w:rPr>
          <w:rFonts w:cs="Times New Roman"/>
        </w:rPr>
        <w:fldChar w:fldCharType="begin" w:fldLock="1"/>
      </w:r>
      <w:r w:rsidR="00690F1D">
        <w:rPr>
          <w:rFonts w:cs="Times New Roman"/>
        </w:rPr>
        <w:instrText>ADDIN CSL_CITATION {"citationItems":[{"id":"ITEM-1","itemData":{"DOI":"10.15520/jbme.2015.vol3.iss11.158.pp33-40","ISBN":"2146-4138","ISSN":"2146-4138","author":[{"dropping-particle":"","family":"Ongore","given":"Vincent Okoth;","non-dropping-particle":"","parse-names":false,"suffix":""},{"dropping-particle":"","family":"Kusa","given":"Gemechu Berhanu","non-dropping-particle":"","parse-names":false,"suffix":""}],"container-title":"International journal of economics and financial","id":"ITEM-1","issue":"1","issued":{"date-parts":[["2013"]]},"page":"237-252","title":"Determinants of financial performance of commercial banks in Kenya","type":"article-journal","volume":"3"},"uris":["http://www.mendeley.com/documents/?uuid=1ac903a5-40e3-4abb-aa43-5228c90fc504"]},{"id":"ITEM-2","itemData":{"DOI":"10.1016/j.ribaf.2017.07.009","ISSN":"02755319","abstract":"This study uses both a functionalist paradigm of social theory and agency theory assumptions to examine whether CEO remuneration is performance sensitive and, vice versa, whether companies that pay their CEOs more perform better. Our analysis is based on the sample of 330 large European firms for the period from 2009 to 2013. The findings of panel data analysis confirm that CEO compensation is positively associated with corporate performance, and vice versa. The simultaneous estimation, in which we treat both compensation and firm performance as endogenous using a two-stage least squares method, shows that companies tie bonuses to accounting-based measures and this incentive pay enhances corporate internal performance. However, compensation linked to market-based measures does not improve firm performance.","author":[{"dropping-particle":"","family":"Smirnova","given":"Aleksandra S.","non-dropping-particle":"","parse-names":false,"suffix":""},{"dropping-particle":"","family":"Zavertiaeva","given":"Marina A.","non-dropping-particle":"","parse-names":false,"suffix":""}],"container-title":"Research in International Business and Finance","id":"ITEM-2","issued":{"date-parts":[["2017"]]},"page":"658-673","publisher":"Elsevier B.V.","title":"Which came first, CEO compensation or firm performance? The causality dilemma in European companies","type":"article-journal","volume":"42"},"uris":["http://www.mendeley.com/documents/?uuid=5d35397b-3b03-4d69-a07e-6a7e9fd745fd"]}],"mendeley":{"formattedCitation":"(Vincent Okoth; Ongore &amp; Kusa, 2013; Smirnova &amp; Zavertiaeva, 2017)","manualFormatting":"( Ongore &amp; Kusa, 2013; Smirnova &amp; Zavertiaeva, 2017)","plainTextFormattedCitation":"(Vincent Okoth; Ongore &amp; Kusa, 2013; Smirnova &amp; Zavertiaeva, 2017)","previouslyFormattedCitation":"(Vincent Okoth; Ongore &amp; Kusa, 2013; Smirnova &amp; Zavertiaeva, 2017)"},"properties":{"noteIndex":0},"schema":"https://github.com/citation-style-language/schema/raw/master/csl-citation.json"}</w:instrText>
      </w:r>
      <w:r w:rsidRPr="00AE0B3D">
        <w:rPr>
          <w:rFonts w:cs="Times New Roman"/>
        </w:rPr>
        <w:fldChar w:fldCharType="separate"/>
      </w:r>
      <w:r w:rsidRPr="00AE0B3D">
        <w:rPr>
          <w:rFonts w:cs="Times New Roman"/>
          <w:noProof/>
        </w:rPr>
        <w:t>( Ongore &amp; Kusa, 2013; Smirnova &amp; Zavertiaeva, 2017)</w:t>
      </w:r>
      <w:r w:rsidRPr="00AE0B3D">
        <w:rPr>
          <w:rFonts w:cs="Times New Roman"/>
        </w:rPr>
        <w:fldChar w:fldCharType="end"/>
      </w:r>
      <w:r w:rsidRPr="00AE0B3D">
        <w:rPr>
          <w:rFonts w:cs="Times New Roman"/>
        </w:rPr>
        <w:t xml:space="preserve">. </w:t>
      </w:r>
      <w:bookmarkEnd w:id="13"/>
      <w:r w:rsidRPr="00AE0B3D">
        <w:rPr>
          <w:rFonts w:cs="Times New Roman"/>
        </w:rPr>
        <w:t xml:space="preserve">The market share identifies the size of markets that are controlled by products of the organisation. Sales growth is associated by higher number of products or services being bought and can lead to increased income and profitability of the company </w:t>
      </w:r>
      <w:r w:rsidRPr="00AE0B3D">
        <w:rPr>
          <w:rFonts w:cs="Times New Roman"/>
        </w:rPr>
        <w:fldChar w:fldCharType="begin" w:fldLock="1"/>
      </w:r>
      <w:r w:rsidRPr="00AE0B3D">
        <w:rPr>
          <w:rFonts w:cs="Times New Roman"/>
        </w:rPr>
        <w:instrText>ADDIN CSL_CITATION {"citationItems":[{"id":"ITEM-1","itemData":{"DOI":"10.2139/ssrn.2016420","abstract":"This study investigated the relationship between capital structure, equity ownership and firm performance using a sample of 438 BSE-Listed Indian companies over the period of five years (2005-2010). The study constructs efficiency through data envelopment analysis (DEA). Using panel data analysis to examine the effect of efficiency on leverage and the empirical validity of the two competing hypotheses such as efficient risk hypothesis and franchise value hypothesis. The study results were consistent with the Jensen and Meckling (1975) agency cost model and we didn't found any significant impact of efficiency on leverage. There is evidence towards nonlinearities in the relationship between ownership type with capital structure and firms performance. During the study time period the efficiency and the number of efficient companies had been decreasing due to the recession that broke out at mid-2008. During the study time period the efficiency and the number of efficient companies had been decreasing due to the recession that broke out at mid-2008.","author":[{"dropping-particle":"","family":"Margaritis","given":"Dimitris","non-dropping-particle":"","parse-names":false,"suffix":""},{"dropping-particle":"","family":"Psillaki","given":"Maria","non-dropping-particle":"","parse-names":false,"suffix":""}],"container-title":"Journal of banking &amp; finance","id":"ITEM-1","issue":"3","issued":{"date-parts":[["2010"]]},"page":"621-632","title":"Capital structure, equity ownership and firm performance","type":"article-journal","volume":"34"},"uris":["http://www.mendeley.com/documents/?uuid=596b2a3d-ffbc-45dd-94a2-96ca6b34a1a5"]}],"mendeley":{"formattedCitation":"(Margaritis &amp; Psillaki, 2010)","plainTextFormattedCitation":"(Margaritis &amp; Psillaki, 2010)","previouslyFormattedCitation":"(Margaritis &amp; Psillaki, 2010)"},"properties":{"noteIndex":0},"schema":"https://github.com/citation-style-language/schema/raw/master/csl-citation.json"}</w:instrText>
      </w:r>
      <w:r w:rsidRPr="00AE0B3D">
        <w:rPr>
          <w:rFonts w:cs="Times New Roman"/>
        </w:rPr>
        <w:fldChar w:fldCharType="separate"/>
      </w:r>
      <w:r w:rsidRPr="00AE0B3D">
        <w:rPr>
          <w:rFonts w:cs="Times New Roman"/>
          <w:noProof/>
        </w:rPr>
        <w:t>(Margaritis &amp; Psillaki, 2010)</w:t>
      </w:r>
      <w:r w:rsidRPr="00AE0B3D">
        <w:rPr>
          <w:rFonts w:cs="Times New Roman"/>
        </w:rPr>
        <w:fldChar w:fldCharType="end"/>
      </w:r>
      <w:r w:rsidRPr="00AE0B3D">
        <w:rPr>
          <w:rFonts w:cs="Times New Roman"/>
        </w:rPr>
        <w:t xml:space="preserve">. The share prices also determine the performance of the organisation for the public listed companies. Companies that perform better </w:t>
      </w:r>
      <w:r w:rsidR="00D00D2F">
        <w:rPr>
          <w:rFonts w:cs="Times New Roman"/>
        </w:rPr>
        <w:t xml:space="preserve">with </w:t>
      </w:r>
      <w:r w:rsidRPr="00AE0B3D">
        <w:rPr>
          <w:rFonts w:cs="Times New Roman"/>
        </w:rPr>
        <w:t>higher returns records increase in share prices. Share prices can be used to measure the financial performance of the organisation. Return on asset assesses the earning of the company relative to the assets that it owns. It assesses efficiency of the organisation in utilising assets hence an important financial performance measure</w:t>
      </w:r>
      <w:r w:rsidRPr="00AE0B3D">
        <w:rPr>
          <w:rFonts w:cs="Times New Roman"/>
          <w:noProof/>
        </w:rPr>
        <w:t xml:space="preserve"> </w:t>
      </w:r>
      <w:r w:rsidRPr="00AE0B3D">
        <w:rPr>
          <w:rFonts w:cs="Times New Roman"/>
          <w:noProof/>
        </w:rPr>
        <w:fldChar w:fldCharType="begin" w:fldLock="1"/>
      </w:r>
      <w:r w:rsidR="00955099">
        <w:rPr>
          <w:rFonts w:cs="Times New Roman"/>
          <w:noProof/>
        </w:rPr>
        <w:instrText>ADDIN CSL_CITATION {"citationItems":[{"id":"ITEM-1","itemData":{"DOI":"10.1038/nmeth.3869.DADA2","ISBN":"0860913872","ISSN":"03186431","abstract":"Objetivo: determinar la influencia de la alimentación complementaria y el aporte de micronutrientes en niños. Diseño: estudio prospectivo longitudinal correlacional y descriptivo. Lugar: se incluyeron ocho áreas urbanas y peri urbanas de la ciudad de La Paz. Material y métodos: muestreo no probabilístico de acuerdo a criterios de inclusión y exclusión considerándose una muestra 305 lactantes y pre-escolares, con un nivel de signifi cancia de 0.95. Se consideraron como variables de respuesta la modifi cación de los índices antropométricos (Z peso/talla, Z talla/edad, Z peso/edad). La información recabada fue analizada en base de datos. Se efectuó un análisis descriptivo mediante media y desviación estándar (DE), para las variables continuas y número de pacientes y porcentaje. Resultados: La desnutrición global tuvo una ligera mejoría, la desnutrición aguda y crónica se normalizaron en forma importante. Hubo ligera predominancia en el sexo femenino para desnutrición crónica y en las otras categorías, se apreció mayor incidencia en varones. Tomando como referencia aquellos niños comprendidos en -1DE y -3DE la relación por edades mostró que la talla baja para la edad predomina en niños entre los 3 a 12 años y el grupo etario con mayor riesgo de sufrir desnutrición crónica son los lactantes mayores Por otro lado en niños mayores de 6 años a menores de 12 años, el IMC fue muy similar para el peso normal y el bajo peso (44.5% vs. 49%), solamente se encontró 4% con sobrepeso y 2,3 % con obesidad. Conclusión: nuestro estudio demostró al fi nalizar el estudio, una mejoría de la desnutrición global del 45% al 52%. La mejoría más notoria fue con la desnutrición crónica y la aguda. El sexo femenino fue más proclive a la desnutrición crónica. Es importante la educación nutricional de la familia Palabras claves: Rev Soc Bol Ped 2006; 45 (1): 11-7: desnutrición, micro nutrientes, nutrición. Abstract Objectives: to fi nd out the effect of complementary feeding and micronutrients in nursing babies and children.","author":[{"dropping-particle":"","family":"Tian","given":"A. W.","non-dropping-particle":"","parse-names":false,"suffix":""},{"dropping-particle":"","family":"Cordery","given":"J.","non-dropping-particle":"","parse-names":false,"suffix":""},{"dropping-particle":"","family":"Gamble","given":"J.","non-dropping-particle":"","parse-names":false,"suffix":""}],"container-title":"Personnel Review","id":"ITEM-1","issue":"5","issued":{"date-parts":[["2016"]]},"page":"947-968","title":"Staying and performing: How human resource management practices increase job embeddedness and performance","type":"article-journal","volume":"45"},"uris":["http://www.mendeley.com/documents/?uuid=0cc09d2c-e356-4100-8853-4de8bd747d6c"]}],"mendeley":{"formattedCitation":"(Tian et al., 2016)","manualFormatting":"(Tian et al., 2016)","plainTextFormattedCitation":"(Tian et al., 2016)","previouslyFormattedCitation":"(Tian et al., 2016)"},"properties":{"noteIndex":0},"schema":"https://github.com/citation-style-language/schema/raw/master/csl-citation.json"}</w:instrText>
      </w:r>
      <w:r w:rsidRPr="00AE0B3D">
        <w:rPr>
          <w:rFonts w:cs="Times New Roman"/>
          <w:noProof/>
        </w:rPr>
        <w:fldChar w:fldCharType="separate"/>
      </w:r>
      <w:r w:rsidR="0080776E">
        <w:rPr>
          <w:rFonts w:cs="Times New Roman"/>
          <w:noProof/>
        </w:rPr>
        <w:t>(Tian</w:t>
      </w:r>
      <w:r w:rsidR="00347ED3" w:rsidRPr="00AE0B3D">
        <w:rPr>
          <w:rFonts w:cs="Times New Roman"/>
          <w:noProof/>
        </w:rPr>
        <w:t xml:space="preserve"> </w:t>
      </w:r>
      <w:r w:rsidR="00455621" w:rsidRPr="006B3E1F">
        <w:rPr>
          <w:rFonts w:cs="Times New Roman"/>
          <w:noProof/>
        </w:rPr>
        <w:t>et al.</w:t>
      </w:r>
      <w:r w:rsidR="00347ED3" w:rsidRPr="00AE0B3D">
        <w:rPr>
          <w:rFonts w:cs="Times New Roman"/>
          <w:noProof/>
        </w:rPr>
        <w:t>, 2016)</w:t>
      </w:r>
      <w:r w:rsidRPr="00AE0B3D">
        <w:rPr>
          <w:rFonts w:cs="Times New Roman"/>
          <w:noProof/>
        </w:rPr>
        <w:fldChar w:fldCharType="end"/>
      </w:r>
      <w:r w:rsidRPr="00AE0B3D">
        <w:rPr>
          <w:rFonts w:cs="Times New Roman"/>
          <w:noProof/>
        </w:rPr>
        <w:t xml:space="preserve">. </w:t>
      </w:r>
      <w:r w:rsidRPr="00AE0B3D">
        <w:rPr>
          <w:rFonts w:cs="Times New Roman"/>
        </w:rPr>
        <w:t xml:space="preserve">Return on investment refers to the ratio </w:t>
      </w:r>
      <w:r w:rsidRPr="00AE0B3D">
        <w:rPr>
          <w:rFonts w:cs="Times New Roman"/>
        </w:rPr>
        <w:lastRenderedPageBreak/>
        <w:t xml:space="preserve">between profit and cost of investment. The higher the ratio the higher the performance hence important in measuring organisation financial performance </w:t>
      </w:r>
      <w:r w:rsidRPr="00AE0B3D">
        <w:rPr>
          <w:rFonts w:cs="Times New Roman"/>
        </w:rPr>
        <w:fldChar w:fldCharType="begin" w:fldLock="1"/>
      </w:r>
      <w:r w:rsidRPr="00AE0B3D">
        <w:rPr>
          <w:rFonts w:cs="Times New Roman"/>
        </w:rPr>
        <w:instrText>ADDIN CSL_CITATION {"citationItems":[{"id":"ITEM-1","itemData":{"DOI":"10.1007/s10551-011-1063-y","ISBN":"0167-4544","ISSN":"01674544","PMID":"12658535","abstract":"Sustainability is concerned with the impact of present actions on the ecosystems, societies, and environ-ments of the future. Such concerns should be reflected in the strategic planning of sustainable corporations. Strategic intentions of this nature are operationalized through the adoption of a long-term focus and a more inclusive set of responsibilities focusing on ethical practices, employees, environment, and customers. A central hypothesis, that we test in this paper is that companies which attend to this set of responsibilities under the term superior sustainable practices, have higher financial performance compared to those that do not engage in such practices. The target population of this study consists of the top 100 sustainable global companies in 2008 which have been selected from a universe of 3,000 firms from the developed countries and emerging markets. We find significant higher mean sales growth, return on assets, profit before taxation, and cash flows from operations in some activity sectors of the sample companies compared to the control companies over the period of 2006–2010. Furthermore, our findings show that the higher financial performance of sustainable com-panies has increased and been sustained over the sample. Notwithstanding sample limitation, causal evidence reported in this paper suggests that, there is bi-directional relationship between corporate social responsibilities practices and corporate financial performance.","author":[{"dropping-particle":"","family":"Ameer","given":"Rashid","non-dropping-particle":"","parse-names":false,"suffix":""},{"dropping-particle":"","family":"Othman","given":"Radiah","non-dropping-particle":"","parse-names":false,"suffix":""}],"container-title":"Journal of Business Ethics","id":"ITEM-1","issue":"1","issued":{"date-parts":[["2012"]]},"page":"61-79","title":"Sustainability practices and corporate financial performance: A study based on the top global corporations","type":"article-journal","volume":"108"},"uris":["http://www.mendeley.com/documents/?uuid=fa4319b9-ea84-471e-866f-b08c86fcadf3"]}],"mendeley":{"formattedCitation":"(Ameer &amp; Othman, 2012)","plainTextFormattedCitation":"(Ameer &amp; Othman, 2012)","previouslyFormattedCitation":"(Ameer &amp; Othman, 2012)"},"properties":{"noteIndex":0},"schema":"https://github.com/citation-style-language/schema/raw/master/csl-citation.json"}</w:instrText>
      </w:r>
      <w:r w:rsidRPr="00AE0B3D">
        <w:rPr>
          <w:rFonts w:cs="Times New Roman"/>
        </w:rPr>
        <w:fldChar w:fldCharType="separate"/>
      </w:r>
      <w:r w:rsidRPr="00AE0B3D">
        <w:rPr>
          <w:rFonts w:cs="Times New Roman"/>
          <w:noProof/>
        </w:rPr>
        <w:t>(Ameer &amp; Othman, 2012)</w:t>
      </w:r>
      <w:r w:rsidRPr="00AE0B3D">
        <w:rPr>
          <w:rFonts w:cs="Times New Roman"/>
        </w:rPr>
        <w:fldChar w:fldCharType="end"/>
      </w:r>
      <w:r w:rsidRPr="00AE0B3D">
        <w:rPr>
          <w:rFonts w:cs="Times New Roman"/>
        </w:rPr>
        <w:t xml:space="preserve">. </w:t>
      </w:r>
    </w:p>
    <w:p w14:paraId="6CC008C1" w14:textId="2A2DC485" w:rsidR="00E06D4B" w:rsidRPr="00AE0B3D" w:rsidRDefault="00FB069A" w:rsidP="000D1E85">
      <w:pPr>
        <w:rPr>
          <w:rFonts w:cs="Times New Roman"/>
        </w:rPr>
      </w:pPr>
      <w:bookmarkStart w:id="14" w:name="_Hlk25261646"/>
      <w:r w:rsidRPr="00AE0B3D">
        <w:rPr>
          <w:rFonts w:cs="Times New Roman"/>
        </w:rPr>
        <w:t>Management r</w:t>
      </w:r>
      <w:r w:rsidR="000D1E85" w:rsidRPr="00AE0B3D">
        <w:rPr>
          <w:rFonts w:cs="Times New Roman"/>
        </w:rPr>
        <w:t>emuneration</w:t>
      </w:r>
      <w:r w:rsidR="00632E25" w:rsidRPr="00AE0B3D">
        <w:rPr>
          <w:rFonts w:cs="Times New Roman"/>
        </w:rPr>
        <w:t xml:space="preserve"> </w:t>
      </w:r>
      <w:r w:rsidR="000D1E85" w:rsidRPr="00AE0B3D">
        <w:rPr>
          <w:rFonts w:cs="Times New Roman"/>
        </w:rPr>
        <w:t xml:space="preserve">is one way of providing </w:t>
      </w:r>
      <w:r w:rsidR="000D1E85" w:rsidRPr="00AE0B3D">
        <w:rPr>
          <w:rFonts w:cs="Times New Roman"/>
          <w:noProof/>
        </w:rPr>
        <w:t>incentive</w:t>
      </w:r>
      <w:r w:rsidR="000D1E85" w:rsidRPr="00AE0B3D">
        <w:rPr>
          <w:rFonts w:cs="Times New Roman"/>
        </w:rPr>
        <w:t xml:space="preserve"> to the employees to work</w:t>
      </w:r>
      <w:r w:rsidR="00201FE0" w:rsidRPr="00AE0B3D">
        <w:rPr>
          <w:rFonts w:cs="Times New Roman"/>
        </w:rPr>
        <w:t xml:space="preserve"> objectively</w:t>
      </w:r>
      <w:r w:rsidR="00AC7F1C" w:rsidRPr="00AE0B3D">
        <w:rPr>
          <w:rFonts w:cs="Times New Roman"/>
        </w:rPr>
        <w:t xml:space="preserve"> towards the overall goal of the organisation</w:t>
      </w:r>
      <w:bookmarkEnd w:id="14"/>
      <w:r w:rsidR="000D1E85" w:rsidRPr="00AE0B3D">
        <w:rPr>
          <w:rFonts w:cs="Times New Roman"/>
        </w:rPr>
        <w:t>. Remuneration refers to the way through which the organization rewards employees for their contribution to the organization and facilitat</w:t>
      </w:r>
      <w:r w:rsidR="00201FE0" w:rsidRPr="00AE0B3D">
        <w:rPr>
          <w:rFonts w:cs="Times New Roman"/>
        </w:rPr>
        <w:t>e</w:t>
      </w:r>
      <w:r w:rsidR="000D1E85" w:rsidRPr="00AE0B3D">
        <w:rPr>
          <w:rFonts w:cs="Times New Roman"/>
        </w:rPr>
        <w:t xml:space="preserve"> </w:t>
      </w:r>
      <w:r w:rsidR="000D1E85" w:rsidRPr="00AE0B3D">
        <w:rPr>
          <w:rFonts w:cs="Times New Roman"/>
          <w:noProof/>
        </w:rPr>
        <w:t>meeting</w:t>
      </w:r>
      <w:r w:rsidR="000D1E85" w:rsidRPr="00AE0B3D">
        <w:rPr>
          <w:rFonts w:cs="Times New Roman"/>
        </w:rPr>
        <w:t xml:space="preserve"> of organization</w:t>
      </w:r>
      <w:r w:rsidR="00370478" w:rsidRPr="00AE0B3D">
        <w:rPr>
          <w:rFonts w:cs="Times New Roman"/>
        </w:rPr>
        <w:t>’s</w:t>
      </w:r>
      <w:r w:rsidR="000D1E85" w:rsidRPr="00AE0B3D">
        <w:rPr>
          <w:rFonts w:cs="Times New Roman"/>
        </w:rPr>
        <w:t xml:space="preserve"> goals</w:t>
      </w:r>
      <w:r w:rsidR="005659CD" w:rsidRPr="00AE0B3D">
        <w:rPr>
          <w:rFonts w:cs="Times New Roman"/>
        </w:rPr>
        <w:t xml:space="preserve"> </w:t>
      </w:r>
      <w:bookmarkStart w:id="15" w:name="_Hlk25261661"/>
      <w:r w:rsidR="00A76603" w:rsidRPr="00AE0B3D">
        <w:rPr>
          <w:rFonts w:cs="Times New Roman"/>
        </w:rPr>
        <w:fldChar w:fldCharType="begin" w:fldLock="1"/>
      </w:r>
      <w:r w:rsidR="00BA1944" w:rsidRPr="00AE0B3D">
        <w:rPr>
          <w:rFonts w:cs="Times New Roman"/>
        </w:rPr>
        <w:instrText>ADDIN CSL_CITATION {"citationItems":[{"id":"ITEM-1","itemData":{"author":[{"dropping-particle":"","family":"Bach","given":"S","non-dropping-particle":"","parse-names":false,"suffix":""}],"id":"ITEM-1","issued":{"date-parts":[["2009"]]},"title":"Managing human resources: personnel management in transition","type":"book"},"uris":["http://www.mendeley.com/documents/?uuid=12fc6f55-ac76-310a-bca5-086eaae3f1da"]}],"mendeley":{"formattedCitation":"(Bach, 2009)","plainTextFormattedCitation":"(Bach, 2009)","previouslyFormattedCitation":"(Bach, 2009)"},"properties":{"noteIndex":0},"schema":"https://github.com/citation-style-language/schema/raw/master/csl-citation.json"}</w:instrText>
      </w:r>
      <w:r w:rsidR="00A76603" w:rsidRPr="00AE0B3D">
        <w:rPr>
          <w:rFonts w:cs="Times New Roman"/>
        </w:rPr>
        <w:fldChar w:fldCharType="separate"/>
      </w:r>
      <w:r w:rsidR="00A42E2A" w:rsidRPr="00AE0B3D">
        <w:rPr>
          <w:rFonts w:cs="Times New Roman"/>
          <w:noProof/>
        </w:rPr>
        <w:t xml:space="preserve">(Bach, </w:t>
      </w:r>
      <w:r w:rsidR="00A76603" w:rsidRPr="00AE0B3D">
        <w:rPr>
          <w:rFonts w:cs="Times New Roman"/>
          <w:noProof/>
        </w:rPr>
        <w:t>2009)</w:t>
      </w:r>
      <w:r w:rsidR="00A76603" w:rsidRPr="00AE0B3D">
        <w:rPr>
          <w:rFonts w:cs="Times New Roman"/>
        </w:rPr>
        <w:fldChar w:fldCharType="end"/>
      </w:r>
      <w:bookmarkEnd w:id="15"/>
      <w:r w:rsidR="00A76603" w:rsidRPr="00AE0B3D">
        <w:rPr>
          <w:rFonts w:cs="Times New Roman"/>
        </w:rPr>
        <w:t xml:space="preserve">. </w:t>
      </w:r>
      <w:r w:rsidRPr="00AE0B3D">
        <w:rPr>
          <w:rFonts w:cs="Times New Roman"/>
        </w:rPr>
        <w:t>Management r</w:t>
      </w:r>
      <w:r w:rsidR="000D1E85" w:rsidRPr="00AE0B3D">
        <w:rPr>
          <w:rFonts w:cs="Times New Roman"/>
        </w:rPr>
        <w:t xml:space="preserve">emuneration encompasses salary, </w:t>
      </w:r>
      <w:r w:rsidR="00B66418" w:rsidRPr="00AE0B3D">
        <w:rPr>
          <w:rFonts w:cs="Times New Roman"/>
        </w:rPr>
        <w:t>benefits,</w:t>
      </w:r>
      <w:r w:rsidR="000D1E85" w:rsidRPr="00AE0B3D">
        <w:rPr>
          <w:rFonts w:cs="Times New Roman"/>
        </w:rPr>
        <w:t xml:space="preserve"> and rewards that the</w:t>
      </w:r>
      <w:r w:rsidR="00E776E8" w:rsidRPr="00AE0B3D">
        <w:rPr>
          <w:rFonts w:cs="Times New Roman"/>
        </w:rPr>
        <w:t xml:space="preserve"> </w:t>
      </w:r>
      <w:r w:rsidR="00CC31BF" w:rsidRPr="00AE0B3D">
        <w:rPr>
          <w:rFonts w:cs="Times New Roman"/>
        </w:rPr>
        <w:t>top management</w:t>
      </w:r>
      <w:r w:rsidR="000D1E85" w:rsidRPr="00AE0B3D">
        <w:rPr>
          <w:rFonts w:cs="Times New Roman"/>
        </w:rPr>
        <w:t xml:space="preserve"> employees receive due to the work that they undertake in the organization. It can also include benefits that </w:t>
      </w:r>
      <w:r w:rsidR="00E06D4B" w:rsidRPr="00AE0B3D">
        <w:rPr>
          <w:rFonts w:cs="Times New Roman"/>
        </w:rPr>
        <w:t>famil</w:t>
      </w:r>
      <w:r w:rsidR="008079DC" w:rsidRPr="00AE0B3D">
        <w:rPr>
          <w:rFonts w:cs="Times New Roman"/>
        </w:rPr>
        <w:t>ies</w:t>
      </w:r>
      <w:r w:rsidR="000D1E85" w:rsidRPr="00AE0B3D">
        <w:rPr>
          <w:rFonts w:cs="Times New Roman"/>
        </w:rPr>
        <w:t xml:space="preserve"> of</w:t>
      </w:r>
      <w:r w:rsidR="00BA1944" w:rsidRPr="00AE0B3D">
        <w:rPr>
          <w:rFonts w:cs="Times New Roman"/>
        </w:rPr>
        <w:t xml:space="preserve"> the</w:t>
      </w:r>
      <w:r w:rsidR="000D1E85" w:rsidRPr="00AE0B3D">
        <w:rPr>
          <w:rFonts w:cs="Times New Roman"/>
        </w:rPr>
        <w:t xml:space="preserve"> employees receive from the organization</w:t>
      </w:r>
      <w:r w:rsidR="00BA1944" w:rsidRPr="00AE0B3D">
        <w:rPr>
          <w:rFonts w:cs="Times New Roman"/>
        </w:rPr>
        <w:t xml:space="preserve"> </w:t>
      </w:r>
      <w:r w:rsidR="00BA1944" w:rsidRPr="00AE0B3D">
        <w:rPr>
          <w:rFonts w:cs="Times New Roman"/>
        </w:rPr>
        <w:fldChar w:fldCharType="begin" w:fldLock="1"/>
      </w:r>
      <w:r w:rsidR="00955099">
        <w:rPr>
          <w:rFonts w:cs="Times New Roman"/>
        </w:rPr>
        <w:instrText>ADDIN CSL_CITATION {"citationItems":[{"id":"ITEM-1","itemData":{"ISSN":"1838-3955","abstract":"This study examines the relationship between director remuneration and performance in Malaysia family firms. The proxies of director remuneration include fees, salary, bonuses, and benefits of kin. The proxy for family firm is a dummy variable that is one (1) if the firm is a family firm and zero (0) is a non-family firm. The dependent variable (performance) is measured by ROA and ROE. A panel analysis of 537 firms from 2007 and 2009 finds that the relationship between director remuneration and performance is significantly positive. This suggests that the remuneration driven board motivation to enhance performance. Furthermore, this study does not find evidence the family firm manipulated a power and control for personal wealth.","author":[{"dropping-particle":"","family":"Jaafar","given":"SB","non-dropping-particle":"","parse-names":false,"suffix":""},{"dropping-particle":"","family":"Wahab","given":"EAA","non-dropping-particle":"","parse-names":false,"suffix":""},{"dropping-particle":"","family":"James","given":"Kieran","non-dropping-particle":"","parse-names":false,"suffix":""}],"container-title":"World Review of Business …","id":"ITEM-1","issue":"4","issued":{"date-parts":[["2012"]]},"page":"204-222","title":"Director remuneration and performance in Malaysia family firms: an expropriation matter?","type":"article-journal","volume":"2"},"uris":["http://www.mendeley.com/documents/?uuid=91a6c770-6f79-4cc7-878a-e413a1f41169"]}],"mendeley":{"formattedCitation":"(Jaafar et al., 2012)","manualFormatting":"(Jaafar et al., 2012)","plainTextFormattedCitation":"(Jaafar et al., 2012)","previouslyFormattedCitation":"(Jaafar et al., 2012)"},"properties":{"noteIndex":0},"schema":"https://github.com/citation-style-language/schema/raw/master/csl-citation.json"}</w:instrText>
      </w:r>
      <w:r w:rsidR="00BA1944" w:rsidRPr="00AE0B3D">
        <w:rPr>
          <w:rFonts w:cs="Times New Roman"/>
        </w:rPr>
        <w:fldChar w:fldCharType="separate"/>
      </w:r>
      <w:r w:rsidR="0092591C">
        <w:rPr>
          <w:rFonts w:cs="Times New Roman"/>
          <w:noProof/>
        </w:rPr>
        <w:t xml:space="preserve">(Jaafar </w:t>
      </w:r>
      <w:r w:rsidR="0092591C" w:rsidRPr="006B3E1F">
        <w:rPr>
          <w:rFonts w:cs="Times New Roman"/>
          <w:noProof/>
        </w:rPr>
        <w:t>et al.</w:t>
      </w:r>
      <w:r w:rsidR="00BA1944" w:rsidRPr="00AE0B3D">
        <w:rPr>
          <w:rFonts w:cs="Times New Roman"/>
          <w:noProof/>
        </w:rPr>
        <w:t>, 2012)</w:t>
      </w:r>
      <w:r w:rsidR="00BA1944" w:rsidRPr="00AE0B3D">
        <w:rPr>
          <w:rFonts w:cs="Times New Roman"/>
        </w:rPr>
        <w:fldChar w:fldCharType="end"/>
      </w:r>
      <w:r w:rsidR="00562D4A" w:rsidRPr="00AE0B3D">
        <w:rPr>
          <w:rFonts w:cs="Times New Roman"/>
        </w:rPr>
        <w:t xml:space="preserve">. </w:t>
      </w:r>
      <w:r w:rsidR="009C416B" w:rsidRPr="00AE0B3D">
        <w:rPr>
          <w:rFonts w:cs="Times New Roman"/>
          <w:noProof/>
          <w:lang w:val="en-US"/>
        </w:rPr>
        <w:t>Grissom and Mitani</w:t>
      </w:r>
      <w:r w:rsidR="00144322" w:rsidRPr="00AE0B3D">
        <w:rPr>
          <w:rFonts w:cs="Times New Roman"/>
        </w:rPr>
        <w:t xml:space="preserve"> </w:t>
      </w:r>
      <w:r w:rsidR="00144322" w:rsidRPr="00AE0B3D">
        <w:rPr>
          <w:rFonts w:cs="Times New Roman"/>
        </w:rPr>
        <w:fldChar w:fldCharType="begin" w:fldLock="1"/>
      </w:r>
      <w:r w:rsidR="00753673" w:rsidRPr="00AE0B3D">
        <w:rPr>
          <w:rFonts w:cs="Times New Roman"/>
        </w:rPr>
        <w:instrText>ADDIN CSL_CITATION {"citationItems":[{"id":"ITEM-1","itemData":{"DOI":"10.1177/0013161X15627677","ISSN":"15523519","abstract":"Purpose: Superintendent retention is an important goal for many school districts, yet the factors contributing to superintendent turnover are poorly understood. Most prior quantitative studies of superintendent turnover have relied on small, cross-sectional samples, limiting the evidence base. Utilizing longitudinal administrative records from Missouri, we employ panel methods to investigate factors that predict turnover, including superintendent salary and district performance. Research Methods: We model turnover probability as a function of superintendent and district characteristics. Further investigation differentiates types of turnover, including movement to other superintendent positions and exits from the system. A series of binary and multinomial regression models with district, labor market, and/or characteristics, such as increases in district size and achievement level, with rural districts losing superintendents to urban and suburban districts. Implications: Increasing superintendent salary may be a worthwhile strategy for retaining superintendents, and may be especially important in smaller and rural districts and districts with lower student achievement whose superintendents are more likely to move to higher paying positions in larger, higher performing districts in more urban areas. superintendent fixed effects are estimated. Findings: Like prior cross-sectional work, we find that district characteristics such as size and student race/ethnicity predict superintendent turnover, but only before district fixed effects are included. Districts with lower test scores also have higher rates of turnover, though we also find surprising evidence of nonlinearities, with lower turnover in the lowest performing districts. Superintendent salary is an especially strong turnover predictor; even with district and superintendent fixed effects, higher paid superintendents are substantially more likely to stay, an association that is even stronger in high- performing districts. Moreover, moves to new superintendent positions are associated with substantial salary gains and systematic changes in district","author":[{"dropping-particle":"","family":"Grissom","given":"Jason A.","non-dropping-particle":"","parse-names":false,"suffix":""},{"dropping-particle":"","family":"Mitani","given":"Hajime","non-dropping-particle":"","parse-names":false,"suffix":""}],"container-title":"Educational Administration Quarterly","id":"ITEM-1","issue":"3","issued":{"date-parts":[["2016"]]},"page":"351-391","title":"Salary, Performance, and Superintendent Turnover","type":"article-journal","volume":"52"},"uris":["http://www.mendeley.com/documents/?uuid=b2181daa-3303-406a-a2a4-fdf65a3fb4e1"]}],"mendeley":{"formattedCitation":"(Grissom &amp; Mitani, 2016)","manualFormatting":"( 2016)","plainTextFormattedCitation":"(Grissom &amp; Mitani, 2016)","previouslyFormattedCitation":"(Grissom &amp; Mitani, 2016)"},"properties":{"noteIndex":0},"schema":"https://github.com/citation-style-language/schema/raw/master/csl-citation.json"}</w:instrText>
      </w:r>
      <w:r w:rsidR="00144322" w:rsidRPr="00AE0B3D">
        <w:rPr>
          <w:rFonts w:cs="Times New Roman"/>
        </w:rPr>
        <w:fldChar w:fldCharType="separate"/>
      </w:r>
      <w:r w:rsidR="00144322" w:rsidRPr="00AE0B3D">
        <w:rPr>
          <w:rFonts w:cs="Times New Roman"/>
          <w:noProof/>
        </w:rPr>
        <w:t>( 2016)</w:t>
      </w:r>
      <w:r w:rsidR="00144322" w:rsidRPr="00AE0B3D">
        <w:rPr>
          <w:rFonts w:cs="Times New Roman"/>
        </w:rPr>
        <w:fldChar w:fldCharType="end"/>
      </w:r>
      <w:r w:rsidR="00DF3E0F" w:rsidRPr="00AE0B3D">
        <w:rPr>
          <w:rFonts w:cs="Times New Roman"/>
        </w:rPr>
        <w:t>,</w:t>
      </w:r>
      <w:r w:rsidR="003C32FE" w:rsidRPr="00AE0B3D">
        <w:rPr>
          <w:rFonts w:cs="Times New Roman"/>
        </w:rPr>
        <w:t xml:space="preserve"> and </w:t>
      </w:r>
      <w:r w:rsidR="003C32FE" w:rsidRPr="00AE0B3D">
        <w:rPr>
          <w:rFonts w:cs="Times New Roman"/>
          <w:noProof/>
          <w:lang w:val="en-US"/>
        </w:rPr>
        <w:t>Bussin</w:t>
      </w:r>
      <w:r w:rsidR="00753673" w:rsidRPr="00AE0B3D">
        <w:rPr>
          <w:rFonts w:cs="Times New Roman"/>
        </w:rPr>
        <w:t xml:space="preserve"> </w:t>
      </w:r>
      <w:r w:rsidR="00753673" w:rsidRPr="00AE0B3D">
        <w:rPr>
          <w:rFonts w:cs="Times New Roman"/>
        </w:rPr>
        <w:fldChar w:fldCharType="begin" w:fldLock="1"/>
      </w:r>
      <w:r w:rsidR="00C178A1" w:rsidRPr="00AE0B3D">
        <w:rPr>
          <w:rFonts w:cs="Times New Roman"/>
        </w:rPr>
        <w:instrText>ADDIN CSL_CITATION {"citationItems":[{"id":"ITEM-1","itemData":{"DOI":"10.17159/2222-3436/2015/v18n2a7","ISBN":"2222-3436 UL - http://www.scielo.org.za/scielo.php?script=sci_arttext&amp;pid=S2222-34362015000200007&amp;nrm=iso","ISSN":"10158812","abstract":"The topic of executive pay-performance sensitivity has resulted in mixed research findings. Literature related to executive remuneration constructs; company performance measures and the underlying theories is critically reviewed in this article. The literature is compared to research findings within the South African context pre; during and post the Global Financial Crisis of 2008. The researcher found similar results in the South African context compared to research in other countries and industries. The research challenges the notion that there is one dominant theory driving CEO compensation. The principal-agent theory; supported by the optimal contract theory; are foremost during periods of strong economic performance; while the influence of managerial power and other behavioural theories appear to prevail during periods of weak economic performance. This article proposes some critical considerations in order to manage this tension.","author":[{"dropping-particle":"","family":"Bussin","given":"Mark","non-dropping-particle":"","parse-names":false,"suffix":""}],"container-title":"South African Journal of Economic and Management Sciences","id":"ITEM-1","issue":"2","issued":{"date-parts":[["2015"]]},"page":"232-244","title":"CEO pay-performance sensitivity in the South African context","type":"article-journal","volume":"18"},"uris":["http://www.mendeley.com/documents/?uuid=66584ae6-afb5-4c3b-83ac-ae2566ecb79b"]}],"mendeley":{"formattedCitation":"(Bussin, 2015)","manualFormatting":"( 2015)","plainTextFormattedCitation":"(Bussin, 2015)","previouslyFormattedCitation":"(Bussin, 2015)"},"properties":{"noteIndex":0},"schema":"https://github.com/citation-style-language/schema/raw/master/csl-citation.json"}</w:instrText>
      </w:r>
      <w:r w:rsidR="00753673" w:rsidRPr="00AE0B3D">
        <w:rPr>
          <w:rFonts w:cs="Times New Roman"/>
        </w:rPr>
        <w:fldChar w:fldCharType="separate"/>
      </w:r>
      <w:r w:rsidR="00753673" w:rsidRPr="00AE0B3D">
        <w:rPr>
          <w:rFonts w:cs="Times New Roman"/>
          <w:noProof/>
        </w:rPr>
        <w:t>( 2015)</w:t>
      </w:r>
      <w:r w:rsidR="00753673" w:rsidRPr="00AE0B3D">
        <w:rPr>
          <w:rFonts w:cs="Times New Roman"/>
        </w:rPr>
        <w:fldChar w:fldCharType="end"/>
      </w:r>
      <w:r w:rsidR="003A1DB4" w:rsidRPr="00AE0B3D">
        <w:rPr>
          <w:rFonts w:cs="Times New Roman"/>
        </w:rPr>
        <w:t xml:space="preserve"> </w:t>
      </w:r>
      <w:r w:rsidR="003C32FE" w:rsidRPr="00AE0B3D">
        <w:rPr>
          <w:rFonts w:cs="Times New Roman"/>
        </w:rPr>
        <w:t xml:space="preserve">identified that salary is important in </w:t>
      </w:r>
      <w:r w:rsidR="00C66756" w:rsidRPr="00AE0B3D">
        <w:rPr>
          <w:rFonts w:cs="Times New Roman"/>
        </w:rPr>
        <w:t>employees’</w:t>
      </w:r>
      <w:r w:rsidR="00766C24" w:rsidRPr="00AE0B3D">
        <w:rPr>
          <w:rFonts w:cs="Times New Roman"/>
        </w:rPr>
        <w:t xml:space="preserve"> performance. </w:t>
      </w:r>
      <w:r w:rsidR="00E26F14" w:rsidRPr="00AE0B3D">
        <w:rPr>
          <w:rFonts w:cs="Times New Roman"/>
        </w:rPr>
        <w:t xml:space="preserve">Salary refers to the </w:t>
      </w:r>
      <w:r w:rsidR="00E91115" w:rsidRPr="00AE0B3D">
        <w:rPr>
          <w:rFonts w:cs="Times New Roman"/>
        </w:rPr>
        <w:t xml:space="preserve">regular payment that the employee gets for the services rendered. </w:t>
      </w:r>
      <w:r w:rsidR="00146455" w:rsidRPr="00AE0B3D">
        <w:rPr>
          <w:rFonts w:cs="Times New Roman"/>
        </w:rPr>
        <w:t>Amount of salary paid is stipulated</w:t>
      </w:r>
      <w:r w:rsidR="00A31842" w:rsidRPr="00AE0B3D">
        <w:rPr>
          <w:rFonts w:cs="Times New Roman"/>
        </w:rPr>
        <w:t xml:space="preserve"> on the contract agreement between the employer and employees that is legally binding.</w:t>
      </w:r>
      <w:r w:rsidR="00CC07F1" w:rsidRPr="00AE0B3D">
        <w:rPr>
          <w:rFonts w:cs="Times New Roman"/>
        </w:rPr>
        <w:t xml:space="preserve"> It forms an important part of the </w:t>
      </w:r>
      <w:r w:rsidR="00A6106B" w:rsidRPr="00AE0B3D">
        <w:rPr>
          <w:rFonts w:cs="Times New Roman"/>
        </w:rPr>
        <w:t>remuneration</w:t>
      </w:r>
      <w:r w:rsidR="00CC07F1" w:rsidRPr="00AE0B3D">
        <w:rPr>
          <w:rFonts w:cs="Times New Roman"/>
        </w:rPr>
        <w:t xml:space="preserve"> of the employees thus understanding its contribution to financial performance </w:t>
      </w:r>
      <w:r w:rsidR="00067A95" w:rsidRPr="00AE0B3D">
        <w:rPr>
          <w:rFonts w:cs="Times New Roman"/>
        </w:rPr>
        <w:t>is</w:t>
      </w:r>
      <w:r w:rsidR="00CC07F1" w:rsidRPr="00AE0B3D">
        <w:rPr>
          <w:rFonts w:cs="Times New Roman"/>
        </w:rPr>
        <w:t xml:space="preserve"> crucial. </w:t>
      </w:r>
    </w:p>
    <w:p w14:paraId="2DAA2CF0" w14:textId="44AAD140" w:rsidR="00760776" w:rsidRPr="00AE0B3D" w:rsidRDefault="00E06D4B" w:rsidP="000D1E85">
      <w:pPr>
        <w:rPr>
          <w:lang w:val="en-US"/>
        </w:rPr>
      </w:pPr>
      <w:r w:rsidRPr="00AE0B3D">
        <w:rPr>
          <w:rFonts w:cs="Times New Roman"/>
        </w:rPr>
        <w:t>V</w:t>
      </w:r>
      <w:r w:rsidR="00E56AA2" w:rsidRPr="00AE0B3D">
        <w:rPr>
          <w:rFonts w:cs="Times New Roman"/>
        </w:rPr>
        <w:t>arious studies</w:t>
      </w:r>
      <w:r w:rsidR="00EF05DF" w:rsidRPr="00AE0B3D">
        <w:rPr>
          <w:rFonts w:cs="Times New Roman"/>
        </w:rPr>
        <w:t xml:space="preserve"> </w:t>
      </w:r>
      <w:r w:rsidR="00E56AA2" w:rsidRPr="00AE0B3D">
        <w:rPr>
          <w:rFonts w:cs="Times New Roman"/>
        </w:rPr>
        <w:t xml:space="preserve">have assessed </w:t>
      </w:r>
      <w:r w:rsidR="00C66756" w:rsidRPr="00AE0B3D">
        <w:rPr>
          <w:rFonts w:cs="Times New Roman"/>
        </w:rPr>
        <w:t>the importance</w:t>
      </w:r>
      <w:r w:rsidR="0008673B" w:rsidRPr="00AE0B3D">
        <w:rPr>
          <w:rFonts w:cs="Times New Roman"/>
        </w:rPr>
        <w:t xml:space="preserve"> o</w:t>
      </w:r>
      <w:r w:rsidR="00EB246C" w:rsidRPr="00AE0B3D">
        <w:rPr>
          <w:rFonts w:cs="Times New Roman"/>
        </w:rPr>
        <w:t>f</w:t>
      </w:r>
      <w:r w:rsidR="0008673B" w:rsidRPr="00AE0B3D">
        <w:rPr>
          <w:rFonts w:cs="Times New Roman"/>
        </w:rPr>
        <w:t xml:space="preserve"> </w:t>
      </w:r>
      <w:r w:rsidR="0066044F" w:rsidRPr="00AE0B3D">
        <w:rPr>
          <w:rFonts w:cs="Times New Roman"/>
        </w:rPr>
        <w:t xml:space="preserve">rewards </w:t>
      </w:r>
      <w:r w:rsidR="00EB246C" w:rsidRPr="00AE0B3D">
        <w:rPr>
          <w:rFonts w:cs="Times New Roman"/>
        </w:rPr>
        <w:t>o</w:t>
      </w:r>
      <w:r w:rsidR="00D524F0" w:rsidRPr="00AE0B3D">
        <w:rPr>
          <w:rFonts w:cs="Times New Roman"/>
        </w:rPr>
        <w:t xml:space="preserve">n the </w:t>
      </w:r>
      <w:r w:rsidR="00C66756" w:rsidRPr="00AE0B3D">
        <w:rPr>
          <w:rFonts w:cs="Times New Roman"/>
        </w:rPr>
        <w:t>organisation</w:t>
      </w:r>
      <w:r w:rsidR="00D524F0" w:rsidRPr="00AE0B3D">
        <w:rPr>
          <w:rFonts w:cs="Times New Roman"/>
        </w:rPr>
        <w:t>. They include</w:t>
      </w:r>
      <w:r w:rsidR="00C178A1" w:rsidRPr="00AE0B3D">
        <w:rPr>
          <w:rFonts w:cs="Times New Roman"/>
        </w:rPr>
        <w:t xml:space="preserve"> </w:t>
      </w:r>
      <w:r w:rsidR="00C178A1" w:rsidRPr="00AE0B3D">
        <w:rPr>
          <w:rFonts w:cs="Times New Roman"/>
          <w:noProof/>
        </w:rPr>
        <w:t>Nujjoo and Meyer</w:t>
      </w:r>
      <w:r w:rsidR="00D524F0" w:rsidRPr="00AE0B3D">
        <w:rPr>
          <w:rFonts w:cs="Times New Roman"/>
        </w:rPr>
        <w:t xml:space="preserve"> </w:t>
      </w:r>
      <w:r w:rsidR="00C178A1" w:rsidRPr="00AE0B3D">
        <w:rPr>
          <w:rFonts w:cs="Times New Roman"/>
        </w:rPr>
        <w:fldChar w:fldCharType="begin" w:fldLock="1"/>
      </w:r>
      <w:r w:rsidR="00D12B0E" w:rsidRPr="00AE0B3D">
        <w:rPr>
          <w:rFonts w:cs="Times New Roman"/>
        </w:rPr>
        <w:instrText>ADDIN CSL_CITATION {"citationItems":[{"id":"ITEM-1","itemData":{"DOI":"10.4102/sajhrm.v10i2.442","ISSN":"2071-078X","abstract":"&lt;p&gt;Orientation: Employees’ perceptions of rewards are related to their affective commitment and intrinsic motivation, which have been associated with staff turnover.Research purpose: The study sought to establish the relationship between intrinsic and different extrinsic rewards with intrinsic motivation and affective commitment.Motivation for the study: South African organisations are grappling with employee retention. Literature shows that employees who are more motivated and committed to their organisation are less likely to quit. Rewards management strategies serve to create a motivated and committed workforce. Using the correct types of rewards can thus provide a competitive advantage.Research design, approach and method: A cross-sectional, correlational study was conducted. Questionnaire data of 399 South African employees were analysed using bivariate correlations and multiple regression.Main findings: Three main findings emerged. Firstly, there is a relationship between all types of rewards investigated and the two outcome variables. Secondly, this relationship is stronger for intrinsic than for extrinsic rewards and thirdly, monetary rewards do not account for the variance in intrinsic motivation above that of non-monetary rewards.Practical/managerial implications: Rewards management strategies should focus on job characteristics and designs to increase staff intrinsic rewards and include non-monetary rewards, such as supportive leadership, to encourage employees’ intrinsic motivation and affective commitment.Contribution/value-add: This research demonstrated the important role different rewards, particularly intrinsic non-monetary rewards, play in creating a committed and motivated workforce. The insights gained from this study can promote organisational effectiveness. Suggestions of how to expand on and refine the current study are addressed.&lt;/p&gt;","author":[{"dropping-particle":"","family":"Nujjoo","given":"Aleeshah","non-dropping-particle":"","parse-names":false,"suffix":""},{"dropping-particle":"","family":"Meyer","given":"Ines","non-dropping-particle":"","parse-names":false,"suffix":""}],"container-title":"SA Journal of Human Resource Management","id":"ITEM-1","issue":"2","issued":{"date-parts":[["2012"]]},"page":"1-10","title":"The relative importance of different types of rewards for employee motivation and commitment in South Africa","type":"article-journal","volume":"10"},"uris":["http://www.mendeley.com/documents/?uuid=caff5a71-b9c7-4df5-961d-41ef88849954"]}],"mendeley":{"formattedCitation":"(Nujjoo &amp; Meyer, 2012)","manualFormatting":"(2012)","plainTextFormattedCitation":"(Nujjoo &amp; Meyer, 2012)","previouslyFormattedCitation":"(Nujjoo &amp; Meyer, 2012)"},"properties":{"noteIndex":0},"schema":"https://github.com/citation-style-language/schema/raw/master/csl-citation.json"}</w:instrText>
      </w:r>
      <w:r w:rsidR="00C178A1" w:rsidRPr="00AE0B3D">
        <w:rPr>
          <w:rFonts w:cs="Times New Roman"/>
        </w:rPr>
        <w:fldChar w:fldCharType="separate"/>
      </w:r>
      <w:r w:rsidR="00C178A1" w:rsidRPr="00AE0B3D">
        <w:rPr>
          <w:rFonts w:cs="Times New Roman"/>
          <w:noProof/>
        </w:rPr>
        <w:t>(2012)</w:t>
      </w:r>
      <w:r w:rsidR="00C178A1" w:rsidRPr="00AE0B3D">
        <w:rPr>
          <w:rFonts w:cs="Times New Roman"/>
        </w:rPr>
        <w:fldChar w:fldCharType="end"/>
      </w:r>
      <w:r w:rsidR="00C178A1" w:rsidRPr="00AE0B3D">
        <w:rPr>
          <w:rFonts w:cs="Times New Roman"/>
        </w:rPr>
        <w:t xml:space="preserve">, </w:t>
      </w:r>
      <w:r w:rsidR="00141FAB" w:rsidRPr="00AE0B3D">
        <w:rPr>
          <w:rFonts w:cs="Times New Roman"/>
        </w:rPr>
        <w:t>who evaluated reward importan</w:t>
      </w:r>
      <w:r w:rsidR="007D5EB2" w:rsidRPr="00AE0B3D">
        <w:rPr>
          <w:rFonts w:cs="Times New Roman"/>
        </w:rPr>
        <w:t>ce</w:t>
      </w:r>
      <w:r w:rsidR="00141FAB" w:rsidRPr="00AE0B3D">
        <w:rPr>
          <w:rFonts w:cs="Times New Roman"/>
        </w:rPr>
        <w:t xml:space="preserve"> on South African companies, </w:t>
      </w:r>
      <w:r w:rsidR="008570D9" w:rsidRPr="00AE0B3D">
        <w:rPr>
          <w:rFonts w:cs="Times New Roman"/>
          <w:noProof/>
        </w:rPr>
        <w:t xml:space="preserve">Schlechter, Thompson, and Bussin </w:t>
      </w:r>
      <w:r w:rsidR="00D12B0E" w:rsidRPr="00AE0B3D">
        <w:rPr>
          <w:rFonts w:cs="Times New Roman"/>
        </w:rPr>
        <w:fldChar w:fldCharType="begin" w:fldLock="1"/>
      </w:r>
      <w:r w:rsidR="00955099">
        <w:rPr>
          <w:rFonts w:cs="Times New Roman"/>
        </w:rPr>
        <w:instrText>ADDIN CSL_CITATION {"citationItems":[{"id":"ITEM-1","itemData":{"DOI":"http://dx.doi.org/10.1108/MRR-09-2015-0216","ISBN":"0620140011","ISSN":"0264-0473","PMID":"42012058","author":[{"dropping-particle":"","family":"Schlechter","given":"Anton","non-dropping-particle":"","parse-names":false,"suffix":""},{"dropping-particle":"","family":"Thompson","given":"Nicola Claire","non-dropping-particle":"","parse-names":false,"suffix":""},{"dropping-particle":"","family":"Bussin","given":"Mark","non-dropping-particle":"","parse-names":false,"suffix":""}],"container-title":"Benchmarking: An International Journal","id":"ITEM-1","issue":"3","issued":{"date-parts":[["2015"]]},"page":"274-295","title":"Attractiveness of non-financial rewards for prospective knowledge workers An experimental investigation","type":"article-journal","volume":"37"},"uris":["http://www.mendeley.com/documents/?uuid=d68dfb28-13b3-4a08-bad7-bd142478a76a"]}],"mendeley":{"formattedCitation":"(Schlechter et al., 2015)","manualFormatting":"( 2015)","plainTextFormattedCitation":"(Schlechter et al., 2015)","previouslyFormattedCitation":"(Schlechter et al., 2015)"},"properties":{"noteIndex":0},"schema":"https://github.com/citation-style-language/schema/raw/master/csl-citation.json"}</w:instrText>
      </w:r>
      <w:r w:rsidR="00D12B0E" w:rsidRPr="00AE0B3D">
        <w:rPr>
          <w:rFonts w:cs="Times New Roman"/>
        </w:rPr>
        <w:fldChar w:fldCharType="separate"/>
      </w:r>
      <w:r w:rsidR="00D12B0E" w:rsidRPr="00AE0B3D">
        <w:rPr>
          <w:rFonts w:cs="Times New Roman"/>
          <w:noProof/>
        </w:rPr>
        <w:t>( 2015)</w:t>
      </w:r>
      <w:r w:rsidR="00D12B0E" w:rsidRPr="00AE0B3D">
        <w:rPr>
          <w:rFonts w:cs="Times New Roman"/>
        </w:rPr>
        <w:fldChar w:fldCharType="end"/>
      </w:r>
      <w:r w:rsidR="008570D9" w:rsidRPr="00AE0B3D">
        <w:rPr>
          <w:rFonts w:cs="Times New Roman"/>
        </w:rPr>
        <w:t xml:space="preserve"> who evaluated non-financial reward</w:t>
      </w:r>
      <w:r w:rsidR="007D5EB2" w:rsidRPr="00AE0B3D">
        <w:rPr>
          <w:rFonts w:cs="Times New Roman"/>
        </w:rPr>
        <w:t>s</w:t>
      </w:r>
      <w:r w:rsidR="008570D9" w:rsidRPr="00AE0B3D">
        <w:rPr>
          <w:rFonts w:cs="Times New Roman"/>
        </w:rPr>
        <w:t xml:space="preserve"> of workers from UK, USA, </w:t>
      </w:r>
      <w:r w:rsidR="007075CD" w:rsidRPr="00AE0B3D">
        <w:rPr>
          <w:rFonts w:cs="Times New Roman"/>
        </w:rPr>
        <w:t>Zimbabwe and South Africa</w:t>
      </w:r>
      <w:r w:rsidR="007D5EB2" w:rsidRPr="00AE0B3D">
        <w:rPr>
          <w:rFonts w:cs="Times New Roman"/>
        </w:rPr>
        <w:t>,</w:t>
      </w:r>
      <w:r w:rsidR="009606AC" w:rsidRPr="00AE0B3D">
        <w:rPr>
          <w:rFonts w:cs="Times New Roman"/>
        </w:rPr>
        <w:t xml:space="preserve"> </w:t>
      </w:r>
      <w:r w:rsidR="009606AC" w:rsidRPr="00AE0B3D">
        <w:rPr>
          <w:rFonts w:cs="Times New Roman"/>
          <w:noProof/>
        </w:rPr>
        <w:t xml:space="preserve">Sajuyigbe, Olaoye and Adeyemi </w:t>
      </w:r>
      <w:r w:rsidR="009606AC" w:rsidRPr="00AE0B3D">
        <w:rPr>
          <w:rFonts w:cs="Times New Roman"/>
        </w:rPr>
        <w:fldChar w:fldCharType="begin" w:fldLock="1"/>
      </w:r>
      <w:r w:rsidR="00955099">
        <w:rPr>
          <w:rFonts w:cs="Times New Roman"/>
        </w:rPr>
        <w:instrText>ADDIN CSL_CITATION {"citationItems":[{"id":"ITEM-1","itemData":{"ISSN":"03164004","abstract":"From premium office grades to whitetop to testliner, new formulations and combinations of internal, and surface sizing are helping papermakers improve aethetics, printability, and more, depending upon the grade. At the same time, production headaches, resulting from mill closure and the use of lower quality fibre resources, call for next generation sizing products to perform under harsh conditions.","author":[{"dropping-particle":"","family":"Sajuyigbe","given":"A. S.","non-dropping-particle":"","parse-names":false,"suffix":""},{"dropping-particle":"","family":"Olaoye","given":"Bosede .O","non-dropping-particle":"","parse-names":false,"suffix":""},{"dropping-particle":"","family":"Adeyemi","given":"M.A","non-dropping-particle":"","parse-names":false,"suffix":""}],"container-title":"International Journal of Arts and Commerce","id":"ITEM-1","issue":"2","issued":{"date-parts":[["2013"]]},"title":"Innovations in size coming on strong","type":"article-journal","volume":"2"},"uris":["http://www.mendeley.com/documents/?uuid=2242b9ca-ff53-4f9a-af0f-ac96ad1e9ce7"]}],"mendeley":{"formattedCitation":"(Sajuyigbe et al., 2013)","manualFormatting":"( 2013)","plainTextFormattedCitation":"(Sajuyigbe et al., 2013)","previouslyFormattedCitation":"(Sajuyigbe et al., 2013)"},"properties":{"noteIndex":0},"schema":"https://github.com/citation-style-language/schema/raw/master/csl-citation.json"}</w:instrText>
      </w:r>
      <w:r w:rsidR="009606AC" w:rsidRPr="00AE0B3D">
        <w:rPr>
          <w:rFonts w:cs="Times New Roman"/>
        </w:rPr>
        <w:fldChar w:fldCharType="separate"/>
      </w:r>
      <w:r w:rsidR="009606AC" w:rsidRPr="00AE0B3D">
        <w:rPr>
          <w:rFonts w:cs="Times New Roman"/>
          <w:noProof/>
        </w:rPr>
        <w:t>( 2013)</w:t>
      </w:r>
      <w:r w:rsidR="009606AC" w:rsidRPr="00AE0B3D">
        <w:rPr>
          <w:rFonts w:cs="Times New Roman"/>
        </w:rPr>
        <w:fldChar w:fldCharType="end"/>
      </w:r>
      <w:r w:rsidR="009606AC" w:rsidRPr="00AE0B3D">
        <w:rPr>
          <w:rFonts w:cs="Times New Roman"/>
        </w:rPr>
        <w:t xml:space="preserve"> accessed rewards importance in Nigerian manufacturing companies </w:t>
      </w:r>
      <w:r w:rsidR="007D5EB2" w:rsidRPr="00AE0B3D">
        <w:rPr>
          <w:rFonts w:cs="Times New Roman"/>
        </w:rPr>
        <w:t xml:space="preserve">, </w:t>
      </w:r>
      <w:r w:rsidR="009606AC" w:rsidRPr="00AE0B3D">
        <w:rPr>
          <w:rFonts w:cs="Times New Roman"/>
        </w:rPr>
        <w:t>and</w:t>
      </w:r>
      <w:r w:rsidR="00431EC3" w:rsidRPr="00AE0B3D">
        <w:rPr>
          <w:rFonts w:cs="Times New Roman"/>
        </w:rPr>
        <w:t xml:space="preserve"> Shields et al.</w:t>
      </w:r>
      <w:r w:rsidR="009606AC" w:rsidRPr="00AE0B3D">
        <w:rPr>
          <w:rFonts w:cs="Times New Roman"/>
        </w:rPr>
        <w:t xml:space="preserve"> </w:t>
      </w:r>
      <w:r w:rsidR="00EB250D" w:rsidRPr="00AE0B3D">
        <w:rPr>
          <w:rFonts w:cs="Times New Roman"/>
        </w:rPr>
        <w:fldChar w:fldCharType="begin" w:fldLock="1"/>
      </w:r>
      <w:r w:rsidR="00955099">
        <w:rPr>
          <w:rFonts w:cs="Times New Roman"/>
        </w:rPr>
        <w:instrText>ADDIN CSL_CITATION {"citationItems":[{"id":"ITEM-1","itemData":{"author":[{"dropping-particle":"","family":"Shields","given":"J","non-dropping-particle":"","parse-names":false,"suffix":""},{"dropping-particle":"","family":"Brown","given":"M","non-dropping-particle":"","parse-names":false,"suffix":""},{"dropping-particle":"","family":"Kaine","given":"S","non-dropping-particle":"","parse-names":false,"suffix":""},{"dropping-particle":"","family":"Dolle-Samuel","given":"C","non-dropping-particle":"","parse-names":false,"suffix":""}],"id":"ITEM-1","issued":{"date-parts":[["2015"]]},"title":"Managing employee performance ; reward: Concepts, practices, strategies","type":"book"},"uris":["http://www.mendeley.com/documents/?uuid=18d3c56b-3582-3986-94be-019e571d5a04"]}],"mendeley":{"formattedCitation":"(Shields et al., 2015)","manualFormatting":"(2015)","plainTextFormattedCitation":"(Shields et al., 2015)","previouslyFormattedCitation":"(Shields et al., 2015)"},"properties":{"noteIndex":0},"schema":"https://github.com/citation-style-language/schema/raw/master/csl-citation.json"}</w:instrText>
      </w:r>
      <w:r w:rsidR="00EB250D" w:rsidRPr="00AE0B3D">
        <w:rPr>
          <w:rFonts w:cs="Times New Roman"/>
        </w:rPr>
        <w:fldChar w:fldCharType="separate"/>
      </w:r>
      <w:r w:rsidR="00431EC3" w:rsidRPr="00AE0B3D">
        <w:rPr>
          <w:rFonts w:cs="Times New Roman"/>
          <w:noProof/>
        </w:rPr>
        <w:t>(2015)</w:t>
      </w:r>
      <w:r w:rsidR="00EB250D" w:rsidRPr="00AE0B3D">
        <w:rPr>
          <w:rFonts w:cs="Times New Roman"/>
        </w:rPr>
        <w:fldChar w:fldCharType="end"/>
      </w:r>
      <w:r w:rsidR="00431EC3" w:rsidRPr="00AE0B3D">
        <w:rPr>
          <w:rFonts w:cs="Times New Roman"/>
        </w:rPr>
        <w:t xml:space="preserve"> </w:t>
      </w:r>
      <w:r w:rsidR="009D1685" w:rsidRPr="00AE0B3D">
        <w:rPr>
          <w:lang w:val="en-US"/>
        </w:rPr>
        <w:t>who evaluated the extrinsic and intrinsic re</w:t>
      </w:r>
      <w:r w:rsidR="003E7DAC" w:rsidRPr="00AE0B3D">
        <w:rPr>
          <w:lang w:val="en-US"/>
        </w:rPr>
        <w:t xml:space="preserve">munerations </w:t>
      </w:r>
      <w:r w:rsidR="009D1685" w:rsidRPr="00AE0B3D">
        <w:rPr>
          <w:lang w:val="en-US"/>
        </w:rPr>
        <w:t xml:space="preserve">that are used </w:t>
      </w:r>
      <w:r w:rsidR="00760776" w:rsidRPr="00AE0B3D">
        <w:rPr>
          <w:lang w:val="en-US"/>
        </w:rPr>
        <w:t>to motivate employees</w:t>
      </w:r>
      <w:r w:rsidR="009D1685" w:rsidRPr="00AE0B3D">
        <w:rPr>
          <w:lang w:val="en-US"/>
        </w:rPr>
        <w:t>.</w:t>
      </w:r>
      <w:r w:rsidR="00617386" w:rsidRPr="00AE0B3D">
        <w:rPr>
          <w:lang w:val="en-US"/>
        </w:rPr>
        <w:t xml:space="preserve"> Rewards were found to be crucial in motivating increased </w:t>
      </w:r>
      <w:r w:rsidR="00617386" w:rsidRPr="00AE0B3D">
        <w:rPr>
          <w:lang w:val="en-US"/>
        </w:rPr>
        <w:lastRenderedPageBreak/>
        <w:t xml:space="preserve">performance by the management which </w:t>
      </w:r>
      <w:r w:rsidR="002B1064" w:rsidRPr="00AE0B3D">
        <w:rPr>
          <w:lang w:val="en-US"/>
        </w:rPr>
        <w:t>has</w:t>
      </w:r>
      <w:r w:rsidR="00617386" w:rsidRPr="00AE0B3D">
        <w:rPr>
          <w:lang w:val="en-US"/>
        </w:rPr>
        <w:t xml:space="preserve"> positive impact on the overall performance of the organization. </w:t>
      </w:r>
    </w:p>
    <w:p w14:paraId="6CE61415" w14:textId="147BA118" w:rsidR="00856796" w:rsidRPr="00AE0B3D" w:rsidRDefault="009D1685" w:rsidP="000D1E85">
      <w:pPr>
        <w:rPr>
          <w:rFonts w:cs="Times New Roman"/>
        </w:rPr>
      </w:pPr>
      <w:r w:rsidRPr="00AE0B3D">
        <w:rPr>
          <w:lang w:val="en-US"/>
        </w:rPr>
        <w:t xml:space="preserve"> </w:t>
      </w:r>
      <w:r w:rsidR="00F637B4" w:rsidRPr="00AE0B3D">
        <w:rPr>
          <w:lang w:val="en-US"/>
        </w:rPr>
        <w:t xml:space="preserve">Bonus </w:t>
      </w:r>
      <w:bookmarkStart w:id="16" w:name="_Hlk4936534"/>
      <w:r w:rsidR="00F637B4" w:rsidRPr="00AE0B3D">
        <w:rPr>
          <w:lang w:val="en-US"/>
        </w:rPr>
        <w:t>refers to the rewards that an employee i</w:t>
      </w:r>
      <w:r w:rsidR="00760776" w:rsidRPr="00AE0B3D">
        <w:rPr>
          <w:lang w:val="en-US"/>
        </w:rPr>
        <w:t xml:space="preserve">s </w:t>
      </w:r>
      <w:r w:rsidR="00F637B4" w:rsidRPr="00AE0B3D">
        <w:rPr>
          <w:lang w:val="en-US"/>
        </w:rPr>
        <w:t xml:space="preserve">provided above the normal </w:t>
      </w:r>
      <w:r w:rsidR="00641A87" w:rsidRPr="00AE0B3D">
        <w:rPr>
          <w:lang w:val="en-US"/>
        </w:rPr>
        <w:t xml:space="preserve">salary for an achievement or performance. </w:t>
      </w:r>
      <w:bookmarkEnd w:id="16"/>
      <w:r w:rsidR="00641A87" w:rsidRPr="00AE0B3D">
        <w:rPr>
          <w:lang w:val="en-US"/>
        </w:rPr>
        <w:t xml:space="preserve">Bonus varies with time and depends on which type of bonus the employee </w:t>
      </w:r>
      <w:r w:rsidR="00CF54EE" w:rsidRPr="00AE0B3D">
        <w:rPr>
          <w:lang w:val="en-US"/>
        </w:rPr>
        <w:t>receives</w:t>
      </w:r>
      <w:r w:rsidR="00641A87" w:rsidRPr="00AE0B3D">
        <w:rPr>
          <w:lang w:val="en-US"/>
        </w:rPr>
        <w:t xml:space="preserve">. </w:t>
      </w:r>
      <w:r w:rsidR="00CF54EE" w:rsidRPr="00AE0B3D">
        <w:rPr>
          <w:lang w:val="en-US"/>
        </w:rPr>
        <w:t>Bonus can be an important component for employee motivation and thus assessing its relation with the organization performance is crucial</w:t>
      </w:r>
      <w:r w:rsidR="00166EBF" w:rsidRPr="00AE0B3D">
        <w:rPr>
          <w:lang w:val="en-US"/>
        </w:rPr>
        <w:t xml:space="preserve"> </w:t>
      </w:r>
      <w:r w:rsidR="00166EBF" w:rsidRPr="00AE0B3D">
        <w:rPr>
          <w:lang w:val="en-US"/>
        </w:rPr>
        <w:fldChar w:fldCharType="begin" w:fldLock="1"/>
      </w:r>
      <w:r w:rsidR="003265D2">
        <w:rPr>
          <w:lang w:val="en-US"/>
        </w:rPr>
        <w:instrText>ADDIN CSL_CITATION {"citationItems":[{"id":"ITEM-1","itemData":{"DOI":"10.17485/ijst/2011/v4i12/30326","ISSN":"09745645","abstract":"Employee motivation is one of the important factors that can help the employer to improve employee and organizational performance. Different theories of motivation are discussed. The paper concludes that employee retention can be practiced better by motivating the employees in the following aspects: Open communication, Employee reward program, Career development program, Performance based bonus, Recreation facilities, Gifts at some occasions.","author":[{"dropping-particle":"","family":"Sandhya","given":"K","non-dropping-particle":"","parse-names":false,"suffix":""},{"dropping-particle":"","family":"Kumar","given":"Pradeep D","non-dropping-particle":"","parse-names":false,"suffix":""}],"container-title":"Indian Journal of Science and Technology","id":"ITEM-1","issue":"12","issued":{"date-parts":[["2011"]]},"page":"1778-1782","title":"Employee retention by motivation","type":"article-journal","volume":"4"},"uris":["http://www.mendeley.com/documents/?uuid=d0d0db38-47af-4e27-8413-ffec70a6b78a"]}],"mendeley":{"formattedCitation":"(Sandhya &amp; Kumar, 2011)","manualFormatting":"(Sandhya &amp; Kumar, 2011)","plainTextFormattedCitation":"(Sandhya &amp; Kumar, 2011)","previouslyFormattedCitation":"(Sandhya &amp; Kumar, 2011)"},"properties":{"noteIndex":0},"schema":"https://github.com/citation-style-language/schema/raw/master/csl-citation.json"}</w:instrText>
      </w:r>
      <w:r w:rsidR="00166EBF" w:rsidRPr="00AE0B3D">
        <w:rPr>
          <w:lang w:val="en-US"/>
        </w:rPr>
        <w:fldChar w:fldCharType="separate"/>
      </w:r>
      <w:r w:rsidR="00166EBF" w:rsidRPr="00AE0B3D">
        <w:rPr>
          <w:noProof/>
          <w:lang w:val="en-US"/>
        </w:rPr>
        <w:t>(Sandhya &amp; Kumar, 2011)</w:t>
      </w:r>
      <w:r w:rsidR="00166EBF" w:rsidRPr="00AE0B3D">
        <w:rPr>
          <w:lang w:val="en-US"/>
        </w:rPr>
        <w:fldChar w:fldCharType="end"/>
      </w:r>
      <w:r w:rsidR="00CF54EE" w:rsidRPr="00AE0B3D">
        <w:rPr>
          <w:lang w:val="en-US"/>
        </w:rPr>
        <w:t xml:space="preserve">. </w:t>
      </w:r>
      <w:r w:rsidR="008A6325" w:rsidRPr="00AE0B3D">
        <w:rPr>
          <w:lang w:val="en-US"/>
        </w:rPr>
        <w:t xml:space="preserve">Benefits on the other </w:t>
      </w:r>
      <w:r w:rsidR="001462E9" w:rsidRPr="00AE0B3D">
        <w:rPr>
          <w:lang w:val="en-US"/>
        </w:rPr>
        <w:t>hand</w:t>
      </w:r>
      <w:r w:rsidR="002B1064" w:rsidRPr="00AE0B3D">
        <w:rPr>
          <w:lang w:val="en-US"/>
        </w:rPr>
        <w:t>,</w:t>
      </w:r>
      <w:r w:rsidR="001462E9" w:rsidRPr="00AE0B3D">
        <w:rPr>
          <w:lang w:val="en-US"/>
        </w:rPr>
        <w:t xml:space="preserve"> </w:t>
      </w:r>
      <w:bookmarkStart w:id="17" w:name="_Hlk4936469"/>
      <w:r w:rsidR="008A6325" w:rsidRPr="00AE0B3D">
        <w:rPr>
          <w:lang w:val="en-US"/>
        </w:rPr>
        <w:t xml:space="preserve">refers to the </w:t>
      </w:r>
      <w:r w:rsidR="004E09B6" w:rsidRPr="00AE0B3D">
        <w:rPr>
          <w:lang w:val="en-US"/>
        </w:rPr>
        <w:t xml:space="preserve">payment that people are </w:t>
      </w:r>
      <w:r w:rsidR="005068F3" w:rsidRPr="00AE0B3D">
        <w:rPr>
          <w:lang w:val="en-US"/>
        </w:rPr>
        <w:t>entitle</w:t>
      </w:r>
      <w:r w:rsidR="002B1064" w:rsidRPr="00AE0B3D">
        <w:rPr>
          <w:lang w:val="en-US"/>
        </w:rPr>
        <w:t>d</w:t>
      </w:r>
      <w:r w:rsidR="005068F3" w:rsidRPr="00AE0B3D">
        <w:rPr>
          <w:lang w:val="en-US"/>
        </w:rPr>
        <w:t xml:space="preserve"> to due to advantage or profit gained during their course of work. </w:t>
      </w:r>
      <w:bookmarkEnd w:id="17"/>
      <w:r w:rsidR="005068F3" w:rsidRPr="00AE0B3D">
        <w:rPr>
          <w:lang w:val="en-US"/>
        </w:rPr>
        <w:t xml:space="preserve">The benefits available to employee vary from organization to organization thus forms an important </w:t>
      </w:r>
      <w:r w:rsidR="00C21405" w:rsidRPr="00AE0B3D">
        <w:rPr>
          <w:lang w:val="en-US"/>
        </w:rPr>
        <w:t>part of employee motivation</w:t>
      </w:r>
      <w:r w:rsidR="003C7509" w:rsidRPr="00AE0B3D">
        <w:rPr>
          <w:lang w:val="en-US"/>
        </w:rPr>
        <w:t xml:space="preserve"> </w:t>
      </w:r>
      <w:r w:rsidR="003C7509" w:rsidRPr="00AE0B3D">
        <w:rPr>
          <w:lang w:val="en-US"/>
        </w:rPr>
        <w:fldChar w:fldCharType="begin" w:fldLock="1"/>
      </w:r>
      <w:r w:rsidR="008E44AB" w:rsidRPr="00AE0B3D">
        <w:rPr>
          <w:lang w:val="en-US"/>
        </w:rPr>
        <w:instrText>ADDIN CSL_CITATION {"citationItems":[{"id":"ITEM-1","itemData":{"author":[{"dropping-particle":"","family":"Shields","given":"J","non-dropping-particle":"","parse-names":false,"suffix":""},{"dropping-particle":"","family":"Brown","given":"M","non-dropping-particle":"","parse-names":false,"suffix":""},{"dropping-particle":"","family":"Kaine","given":"S","non-dropping-particle":"","parse-names":false,"suffix":""},{"dropping-particle":"","family":"Dolle-Samuel","given":"C","non-dropping-particle":"","parse-names":false,"suffix":""}],"id":"ITEM-1","issued":{"date-parts":[["2015"]]},"title":"Managing employee performance ; reward: Concepts, practices, strategies","type":"book"},"uris":["http://www.mendeley.com/documents/?uuid=18d3c56b-3582-3986-94be-019e571d5a04"]}],"mendeley":{"formattedCitation":"(Shields et al., 2015)","plainTextFormattedCitation":"(Shields et al., 2015)","previouslyFormattedCitation":"(Shields et al., 2015)"},"properties":{"noteIndex":0},"schema":"https://github.com/citation-style-language/schema/raw/master/csl-citation.json"}</w:instrText>
      </w:r>
      <w:r w:rsidR="003C7509" w:rsidRPr="00AE0B3D">
        <w:rPr>
          <w:lang w:val="en-US"/>
        </w:rPr>
        <w:fldChar w:fldCharType="separate"/>
      </w:r>
      <w:r w:rsidR="003C7509" w:rsidRPr="00AE0B3D">
        <w:rPr>
          <w:noProof/>
          <w:lang w:val="en-US"/>
        </w:rPr>
        <w:t>(Shields et al., 2015)</w:t>
      </w:r>
      <w:r w:rsidR="003C7509" w:rsidRPr="00AE0B3D">
        <w:rPr>
          <w:lang w:val="en-US"/>
        </w:rPr>
        <w:fldChar w:fldCharType="end"/>
      </w:r>
      <w:r w:rsidR="00C21405" w:rsidRPr="00AE0B3D">
        <w:rPr>
          <w:lang w:val="en-US"/>
        </w:rPr>
        <w:t xml:space="preserve">. </w:t>
      </w:r>
      <w:r w:rsidR="00E93583" w:rsidRPr="00AE0B3D">
        <w:rPr>
          <w:lang w:val="en-US"/>
        </w:rPr>
        <w:t xml:space="preserve">Shares is one of the </w:t>
      </w:r>
      <w:r w:rsidR="00A2563A" w:rsidRPr="00AE0B3D">
        <w:rPr>
          <w:lang w:val="en-US"/>
        </w:rPr>
        <w:t>equity-based</w:t>
      </w:r>
      <w:r w:rsidR="00E93583" w:rsidRPr="00AE0B3D">
        <w:rPr>
          <w:lang w:val="en-US"/>
        </w:rPr>
        <w:t xml:space="preserve"> remuneration that </w:t>
      </w:r>
      <w:r w:rsidR="000F4B28" w:rsidRPr="00AE0B3D">
        <w:rPr>
          <w:lang w:val="en-US"/>
        </w:rPr>
        <w:t>employees</w:t>
      </w:r>
      <w:r w:rsidR="002E1347" w:rsidRPr="00AE0B3D">
        <w:rPr>
          <w:lang w:val="en-US"/>
        </w:rPr>
        <w:t xml:space="preserve"> receive in exchange fo</w:t>
      </w:r>
      <w:r w:rsidR="00BE1B6B" w:rsidRPr="00AE0B3D">
        <w:rPr>
          <w:lang w:val="en-US"/>
        </w:rPr>
        <w:t>r the services that they offer</w:t>
      </w:r>
      <w:r w:rsidR="00A0457A" w:rsidRPr="00AE0B3D">
        <w:rPr>
          <w:lang w:val="en-US"/>
        </w:rPr>
        <w:t xml:space="preserve"> to the organization</w:t>
      </w:r>
      <w:r w:rsidR="00445F19" w:rsidRPr="00AE0B3D">
        <w:rPr>
          <w:lang w:val="en-US"/>
        </w:rPr>
        <w:t xml:space="preserve">. </w:t>
      </w:r>
      <w:r w:rsidR="001A3E50" w:rsidRPr="00AE0B3D">
        <w:rPr>
          <w:lang w:val="en-US"/>
        </w:rPr>
        <w:t xml:space="preserve">With its increased use in the corporate world, </w:t>
      </w:r>
      <w:r w:rsidR="00F34FAB" w:rsidRPr="00AE0B3D">
        <w:rPr>
          <w:lang w:val="en-US"/>
        </w:rPr>
        <w:t>shares</w:t>
      </w:r>
      <w:r w:rsidR="001A3E50" w:rsidRPr="00AE0B3D">
        <w:rPr>
          <w:lang w:val="en-US"/>
        </w:rPr>
        <w:t xml:space="preserve"> form an important component of identifying how it influences the financial performance of the organization</w:t>
      </w:r>
      <w:r w:rsidR="008E44AB" w:rsidRPr="00AE0B3D">
        <w:rPr>
          <w:lang w:val="en-US"/>
        </w:rPr>
        <w:t xml:space="preserve"> </w:t>
      </w:r>
      <w:r w:rsidR="008E44AB" w:rsidRPr="00AE0B3D">
        <w:rPr>
          <w:lang w:val="en-US"/>
        </w:rPr>
        <w:fldChar w:fldCharType="begin" w:fldLock="1"/>
      </w:r>
      <w:r w:rsidR="00955099">
        <w:rPr>
          <w:lang w:val="en-US"/>
        </w:rPr>
        <w:instrText>ADDIN CSL_CITATION {"citationItems":[{"id":"ITEM-1","itemData":{"DOI":"10.1108/PR-09-2016-0243","ISBN":"1020150262","ISSN":"00483486","abstract":"Purpose A range of studies have shown that performance is typically higher in organisations with employee share ownership (ESO) schemes in place. Many possible causal mechanisms explaining this relationship have been suggested. These include a reduction in labour turnover, synergies with other forms of productivity-enhancing communication and participation schemes, and synergies with employer-provided training. The paper aims to discuss these issues. Design/methodology/approach This paper empirically assesses these potential linkages using data from the 2004 and 2011 British Workplace Employment Relations Surveys, and provides comparisons with earlier analyses conducted on the 1990 and 1998 versions of the survey. Findings Substantial differences are found between the 2004 and 2011 results: a positive relationship between ESO and workplace productivity and financial performance, observed in 2004, is no longer present in 2011. In both years, ESO is found to have no clear relationship with labour turnover, ...","author":[{"dropping-particle":"","family":"Whitfield","given":"Keith","non-dropping-particle":"","parse-names":false,"suffix":""},{"dropping-particle":"","family":"Pendleton","given":"Andrew","non-dropping-particle":"","parse-names":false,"suffix":""},{"dropping-particle":"","family":"Sengupta","given":"Sukanya","non-dropping-particle":"","parse-names":false,"suffix":""},{"dropping-particle":"","family":"Huxley","given":"Katy","non-dropping-particle":"","parse-names":false,"suffix":""}],"container-title":"Personnel Review","id":"ITEM-1","issue":"7","issued":{"date-parts":[["2017"]]},"page":"1280-1296","title":"Employee share ownership and organisational performance: a tentative opening of the black box","type":"article-journal","volume":"46"},"uris":["http://www.mendeley.com/documents/?uuid=cf2aca95-376c-4eff-aab2-4d57fc7867b2"]}],"mendeley":{"formattedCitation":"(Whitfield et al., 2017)","manualFormatting":"(Whitfield et al., 2017)","plainTextFormattedCitation":"(Whitfield et al., 2017)","previouslyFormattedCitation":"(Whitfield et al., 2017)"},"properties":{"noteIndex":0},"schema":"https://github.com/citation-style-language/schema/raw/master/csl-citation.json"}</w:instrText>
      </w:r>
      <w:r w:rsidR="008E44AB" w:rsidRPr="00AE0B3D">
        <w:rPr>
          <w:lang w:val="en-US"/>
        </w:rPr>
        <w:fldChar w:fldCharType="separate"/>
      </w:r>
      <w:r w:rsidR="00535655">
        <w:rPr>
          <w:noProof/>
          <w:lang w:val="en-US"/>
        </w:rPr>
        <w:t xml:space="preserve">(Whitfield </w:t>
      </w:r>
      <w:r w:rsidR="00535655" w:rsidRPr="006B3E1F">
        <w:rPr>
          <w:rFonts w:cs="Times New Roman"/>
          <w:noProof/>
        </w:rPr>
        <w:t>et al.</w:t>
      </w:r>
      <w:r w:rsidR="008E44AB" w:rsidRPr="00AE0B3D">
        <w:rPr>
          <w:noProof/>
          <w:lang w:val="en-US"/>
        </w:rPr>
        <w:t>, 2017)</w:t>
      </w:r>
      <w:r w:rsidR="008E44AB" w:rsidRPr="00AE0B3D">
        <w:rPr>
          <w:lang w:val="en-US"/>
        </w:rPr>
        <w:fldChar w:fldCharType="end"/>
      </w:r>
      <w:r w:rsidR="001A3E50" w:rsidRPr="00AE0B3D">
        <w:rPr>
          <w:lang w:val="en-US"/>
        </w:rPr>
        <w:t xml:space="preserve">. </w:t>
      </w:r>
    </w:p>
    <w:p w14:paraId="17C2DC5C" w14:textId="19027219" w:rsidR="004C1FF8" w:rsidRPr="00AE0B3D" w:rsidRDefault="00671E0E" w:rsidP="000D1E85">
      <w:pPr>
        <w:rPr>
          <w:rFonts w:cs="Times New Roman"/>
        </w:rPr>
      </w:pPr>
      <w:r w:rsidRPr="00AE0B3D">
        <w:rPr>
          <w:rFonts w:cs="Times New Roman"/>
        </w:rPr>
        <w:t>The different type of re</w:t>
      </w:r>
      <w:r w:rsidR="001714A9" w:rsidRPr="00AE0B3D">
        <w:rPr>
          <w:rFonts w:cs="Times New Roman"/>
        </w:rPr>
        <w:t xml:space="preserve">muneration can have </w:t>
      </w:r>
      <w:r w:rsidR="001714A9" w:rsidRPr="00AE0B3D">
        <w:rPr>
          <w:rFonts w:cs="Times New Roman"/>
          <w:noProof/>
        </w:rPr>
        <w:t>different</w:t>
      </w:r>
      <w:r w:rsidR="001714A9" w:rsidRPr="00AE0B3D">
        <w:rPr>
          <w:rFonts w:cs="Times New Roman"/>
        </w:rPr>
        <w:t xml:space="preserve"> impact</w:t>
      </w:r>
      <w:r w:rsidR="00201FE0" w:rsidRPr="00AE0B3D">
        <w:rPr>
          <w:rFonts w:cs="Times New Roman"/>
        </w:rPr>
        <w:t>s</w:t>
      </w:r>
      <w:r w:rsidR="001714A9" w:rsidRPr="00AE0B3D">
        <w:rPr>
          <w:rFonts w:cs="Times New Roman"/>
        </w:rPr>
        <w:t xml:space="preserve"> on the performance of the organisation.</w:t>
      </w:r>
      <w:r w:rsidR="008814C9" w:rsidRPr="008814C9">
        <w:rPr>
          <w:rFonts w:cs="Times New Roman"/>
        </w:rPr>
        <w:t xml:space="preserve"> </w:t>
      </w:r>
      <w:r w:rsidR="000D1E85" w:rsidRPr="00AE0B3D">
        <w:rPr>
          <w:rFonts w:cs="Times New Roman"/>
        </w:rPr>
        <w:t xml:space="preserve">The remuneration can impact other components of </w:t>
      </w:r>
      <w:r w:rsidR="000D1E85" w:rsidRPr="00AE0B3D">
        <w:rPr>
          <w:rFonts w:cs="Times New Roman"/>
          <w:noProof/>
        </w:rPr>
        <w:t>human</w:t>
      </w:r>
      <w:r w:rsidR="000D1E85" w:rsidRPr="00AE0B3D">
        <w:rPr>
          <w:rFonts w:cs="Times New Roman"/>
        </w:rPr>
        <w:t xml:space="preserve"> resource such as turnover intentions, job satisfaction, organizational stress, conflict resolution, employee wellbeing among other area</w:t>
      </w:r>
      <w:r w:rsidR="00C820A5" w:rsidRPr="00AE0B3D">
        <w:rPr>
          <w:rFonts w:cs="Times New Roman"/>
        </w:rPr>
        <w:t>s</w:t>
      </w:r>
      <w:r w:rsidR="00A16E72" w:rsidRPr="00AE0B3D">
        <w:rPr>
          <w:rFonts w:cs="Times New Roman"/>
        </w:rPr>
        <w:t xml:space="preserve"> </w:t>
      </w:r>
      <w:r w:rsidR="009B79EA" w:rsidRPr="00AE0B3D">
        <w:rPr>
          <w:rFonts w:cs="Times New Roman"/>
        </w:rPr>
        <w:fldChar w:fldCharType="begin" w:fldLock="1"/>
      </w:r>
      <w:r w:rsidR="00955099">
        <w:rPr>
          <w:rFonts w:cs="Times New Roman"/>
        </w:rPr>
        <w:instrText>ADDIN CSL_CITATION {"citationItems":[{"id":"ITEM-1","itemData":{"DOI":"10.5901/mjss.2014.v5n1p481","ISSN":"20399340","abstract":"This study explored the impact of rewards on job satisfaction and employee retention among nurses. The objectives of this study were to determine the impact of rewards on employee retention, to establish whether there is a relationship between rewards and job satisfaction, to establish the relationship between job satisfaction and employee retention and to make recommendations to the policy makers in the organization on possible ways/strategies to improve employee retention based on the research findings. The study utilized a quantitative research design and 180 nurses were randomly selected as research participants. Self-administered questionnaires were administered to participants/respondents. The data was analysed using Statistical Package for the Social Sciences (SPSS), version 20.0. Hypotheses were formulated to test the relationships between the independent variable and the dependent variable. The study revealed that employee rewards lead to employee retention but however, they do not result in job satisfaction.","author":[{"dropping-particle":"","family":"Terera","given":"Sharon Ruvimbo","non-dropping-particle":"","parse-names":false,"suffix":""},{"dropping-particle":"","family":"Ngirande","given":"Hlanganipai","non-dropping-particle":"","parse-names":false,"suffix":""}],"container-title":"Mediterranean Journal of Social Sciences","id":"ITEM-1","issue":"1","issued":{"date-parts":[["2014"]]},"page":"481-488","title":"The Impact of Rewards on Job Satisfaction and Employee Retention","type":"article-journal","volume":"5"},"uris":["http://www.mendeley.com/documents/?uuid=97d43dff-7ce7-4234-b83b-2556178a9797"]},{"id":"ITEM-2","itemData":{"DOI":"10.5539/ijbm.v8n20p62","ISSN":"1833-3850","abstract":"The turnover of core employees is great lost for industrial companies, so that the research of turnover Intention (TI) is critical to enterprise. Recently, the researches discuss the factors that affect turnover invention from different views. Based on the concept of total rewards (TR) we go deep into the influencing factors. In this paper, we used ULR and hierarchical regression analysis to build model with organizational justice (OJ) as moderator variable. Results showed that the five elements of total rewards, salary, rewards, work-life, performance &amp; recognition and development &amp; career are negative to employees' turnover intention. Secondly, distribute justice and interactional justice significantly negative moderate the relationship of TR and TI. However, process justice only has significantly negative moderating effect on work-life balance and development &amp; career to TI, while the negative effect of salary, welfare and performance are not significant. [PUBLICATION ABSTRACT]","author":[{"dropping-particle":"","family":"Cao","given":"Zhoutao","non-dropping-particle":"","parse-names":false,"suffix":""},{"dropping-particle":"","family":"Chen","given":"Jinxi","non-dropping-particle":"","parse-names":false,"suffix":""},{"dropping-particle":"","family":"Song","given":"Yixiao","non-dropping-particle":"","parse-names":false,"suffix":""}],"container-title":"International Journal of Business and Management","id":"ITEM-2","issue":"20","issued":{"date-parts":[["2013"]]},"page":"62-75","title":"Does Total Rewards Reduce the Core Employees’ Turnover Intention?","type":"article-journal","volume":"8"},"uris":["http://www.mendeley.com/documents/?uuid=8d2ce051-74da-4c89-92f4-a31910f0c630"]}],"mendeley":{"formattedCitation":"(Cao et al., 2013; Terera &amp; Ngirande, 2014)","manualFormatting":"(Cao et al., 2013; Terera &amp; Ngirande, 2014)","plainTextFormattedCitation":"(Cao et al., 2013; Terera &amp; Ngirande, 2014)","previouslyFormattedCitation":"(Cao et al., 2013; Terera &amp; Ngirande, 2014)"},"properties":{"noteIndex":0},"schema":"https://github.com/citation-style-language/schema/raw/master/csl-citation.json"}</w:instrText>
      </w:r>
      <w:r w:rsidR="009B79EA" w:rsidRPr="00AE0B3D">
        <w:rPr>
          <w:rFonts w:cs="Times New Roman"/>
        </w:rPr>
        <w:fldChar w:fldCharType="separate"/>
      </w:r>
      <w:r w:rsidR="009B79EA" w:rsidRPr="00AE0B3D">
        <w:rPr>
          <w:rFonts w:cs="Times New Roman"/>
          <w:noProof/>
        </w:rPr>
        <w:t>(Cao</w:t>
      </w:r>
      <w:r w:rsidR="00A16FB8">
        <w:rPr>
          <w:rFonts w:cs="Times New Roman"/>
          <w:noProof/>
        </w:rPr>
        <w:t xml:space="preserve"> </w:t>
      </w:r>
      <w:r w:rsidR="00A16FB8" w:rsidRPr="006B3E1F">
        <w:rPr>
          <w:rFonts w:cs="Times New Roman"/>
          <w:noProof/>
        </w:rPr>
        <w:t>et al.</w:t>
      </w:r>
      <w:r w:rsidR="009B79EA" w:rsidRPr="00AE0B3D">
        <w:rPr>
          <w:rFonts w:cs="Times New Roman"/>
          <w:noProof/>
        </w:rPr>
        <w:t>, 2013; Terera &amp; Ngirande, 2014)</w:t>
      </w:r>
      <w:r w:rsidR="009B79EA" w:rsidRPr="00AE0B3D">
        <w:rPr>
          <w:rFonts w:cs="Times New Roman"/>
        </w:rPr>
        <w:fldChar w:fldCharType="end"/>
      </w:r>
      <w:r w:rsidR="009B79EA" w:rsidRPr="00AE0B3D">
        <w:rPr>
          <w:rFonts w:cs="Times New Roman"/>
        </w:rPr>
        <w:t xml:space="preserve">. </w:t>
      </w:r>
      <w:r w:rsidR="000D1E85" w:rsidRPr="00AE0B3D">
        <w:rPr>
          <w:rFonts w:cs="Times New Roman"/>
        </w:rPr>
        <w:t xml:space="preserve">Motivational oriented human resource management practices may influence the performance of the employees and </w:t>
      </w:r>
      <w:r w:rsidR="008268AE" w:rsidRPr="00AE0B3D">
        <w:rPr>
          <w:rFonts w:cs="Times New Roman"/>
        </w:rPr>
        <w:t xml:space="preserve">the </w:t>
      </w:r>
      <w:r w:rsidR="000D1E85" w:rsidRPr="00AE0B3D">
        <w:rPr>
          <w:rFonts w:cs="Times New Roman"/>
          <w:noProof/>
        </w:rPr>
        <w:t>long-term</w:t>
      </w:r>
      <w:r w:rsidR="000D1E85" w:rsidRPr="00AE0B3D">
        <w:rPr>
          <w:rFonts w:cs="Times New Roman"/>
        </w:rPr>
        <w:t xml:space="preserve"> sustainability of the organizatio</w:t>
      </w:r>
      <w:r w:rsidR="004C1FF8" w:rsidRPr="00AE0B3D">
        <w:rPr>
          <w:rFonts w:cs="Times New Roman"/>
        </w:rPr>
        <w:t xml:space="preserve">n </w:t>
      </w:r>
      <w:r w:rsidR="004C1FF8" w:rsidRPr="00AE0B3D">
        <w:rPr>
          <w:rFonts w:cs="Times New Roman"/>
        </w:rPr>
        <w:fldChar w:fldCharType="begin" w:fldLock="1"/>
      </w:r>
      <w:r w:rsidR="00955099">
        <w:rPr>
          <w:rFonts w:cs="Times New Roman"/>
        </w:rPr>
        <w:instrText>ADDIN CSL_CITATION {"citationItems":[{"id":"ITEM-1","itemData":{"DOI":"10.1002/hrm","ISBN":"9780708713815","ISSN":"00782696","PMID":"21138203","abstract":"Organizations are increasingly required to improve their ability to enhance employees’ support or acceptance for change initiatives. In studies that have examined the conditions in which employees support organizational change, researchers have focused on various attitudinal constructs that rep- resent employees’ attitudes toward organizational change. The constructs, which frequently serve as key variables in these studies, include readiness for change, commitment to change, openness to change, and cynicism about organizational change. These constructs have distinct meanings and empha- ses and therefore they can provide us with different information regarding employees’ evaluation of and concerns about particular change initiatives. In this literature review, the author discusses how the constructs are defi ned in the organizational change literature and synthesizes the antecedents of each construct. Based on the discussion, it is proposed that the constructs are susceptible to situational variables, and may change over time as individuals’ experiences change; therefore, they are better conceptualized as states than as personality traits.","author":[{"dropping-particle":"","family":"Ahammad","given":"Faisal M.","non-dropping-particle":"","parse-names":false,"suffix":""},{"dropping-particle":"","family":"Lee","given":"S. Mook","non-dropping-particle":"","parse-names":false,"suffix":""},{"dropping-particle":"","family":"Malul","given":"M.","non-dropping-particle":"","parse-names":false,"suffix":""},{"dropping-particle":"","family":"Shoham","given":"A","non-dropping-particle":"","parse-names":false,"suffix":""}],"container-title":"Human Resource Management","id":"ITEM-1","issue":"1","issued":{"date-parts":[["2015"]]},"page":"s45-s62","title":"Behavioral ambidexterity: The impact of incentive schemes on productivity, motivation, and performance of employees in commercial banks","type":"article-journal","volume":"54"},"uris":["http://www.mendeley.com/documents/?uuid=46265c8e-307b-4949-9517-4b77072db73c"]}],"mendeley":{"formattedCitation":"(Ahammad et al., 2015)","manualFormatting":"(Ahammad et al., 2015)","plainTextFormattedCitation":"(Ahammad et al., 2015)","previouslyFormattedCitation":"(Ahammad et al., 2015)"},"properties":{"noteIndex":0},"schema":"https://github.com/citation-style-language/schema/raw/master/csl-citation.json"}</w:instrText>
      </w:r>
      <w:r w:rsidR="004C1FF8" w:rsidRPr="00AE0B3D">
        <w:rPr>
          <w:rFonts w:cs="Times New Roman"/>
        </w:rPr>
        <w:fldChar w:fldCharType="separate"/>
      </w:r>
      <w:r w:rsidR="006A1620" w:rsidRPr="00AE0B3D">
        <w:rPr>
          <w:rFonts w:cs="Times New Roman"/>
          <w:noProof/>
        </w:rPr>
        <w:t>(Ahammad</w:t>
      </w:r>
      <w:r w:rsidR="00A16FB8" w:rsidRPr="00A16FB8">
        <w:rPr>
          <w:rFonts w:cs="Times New Roman"/>
          <w:noProof/>
        </w:rPr>
        <w:t xml:space="preserve"> </w:t>
      </w:r>
      <w:r w:rsidR="00A16FB8" w:rsidRPr="006B3E1F">
        <w:rPr>
          <w:rFonts w:cs="Times New Roman"/>
          <w:noProof/>
        </w:rPr>
        <w:t>et al.</w:t>
      </w:r>
      <w:r w:rsidR="006A1620" w:rsidRPr="00AE0B3D">
        <w:rPr>
          <w:rFonts w:cs="Times New Roman"/>
          <w:noProof/>
        </w:rPr>
        <w:t>, 2015)</w:t>
      </w:r>
      <w:r w:rsidR="004C1FF8" w:rsidRPr="00AE0B3D">
        <w:rPr>
          <w:rFonts w:cs="Times New Roman"/>
        </w:rPr>
        <w:fldChar w:fldCharType="end"/>
      </w:r>
      <w:r w:rsidR="006A1620" w:rsidRPr="00AE0B3D">
        <w:rPr>
          <w:rFonts w:cs="Times New Roman"/>
        </w:rPr>
        <w:t xml:space="preserve">. </w:t>
      </w:r>
    </w:p>
    <w:p w14:paraId="1AB35303" w14:textId="0DDFECBF" w:rsidR="00D54892" w:rsidRPr="00AE0B3D" w:rsidRDefault="000D1E85" w:rsidP="000D1E85">
      <w:pPr>
        <w:rPr>
          <w:rFonts w:cs="Times New Roman"/>
        </w:rPr>
      </w:pPr>
      <w:r w:rsidRPr="00AE0B3D">
        <w:rPr>
          <w:rFonts w:cs="Times New Roman"/>
          <w:noProof/>
        </w:rPr>
        <w:t xml:space="preserve"> </w:t>
      </w:r>
      <w:r w:rsidR="006B7030" w:rsidRPr="00AE0B3D">
        <w:rPr>
          <w:rFonts w:cs="Times New Roman"/>
          <w:noProof/>
        </w:rPr>
        <w:t xml:space="preserve">There are various policies </w:t>
      </w:r>
      <w:r w:rsidR="00F06370" w:rsidRPr="00AE0B3D">
        <w:rPr>
          <w:rFonts w:cs="Times New Roman"/>
          <w:noProof/>
        </w:rPr>
        <w:t xml:space="preserve">set at country level and organisation level that relates to </w:t>
      </w:r>
      <w:r w:rsidR="00D316FE" w:rsidRPr="00AE0B3D">
        <w:rPr>
          <w:rFonts w:cs="Times New Roman"/>
          <w:noProof/>
        </w:rPr>
        <w:t xml:space="preserve">management </w:t>
      </w:r>
      <w:r w:rsidR="00F06370" w:rsidRPr="00AE0B3D">
        <w:rPr>
          <w:rFonts w:cs="Times New Roman"/>
          <w:noProof/>
        </w:rPr>
        <w:t>remuneration</w:t>
      </w:r>
      <w:r w:rsidR="00EB6634" w:rsidRPr="00AE0B3D">
        <w:rPr>
          <w:rFonts w:cs="Times New Roman"/>
          <w:noProof/>
        </w:rPr>
        <w:t>. Even so, the development of an effective</w:t>
      </w:r>
      <w:r w:rsidR="00D316FE" w:rsidRPr="00AE0B3D">
        <w:rPr>
          <w:rFonts w:cs="Times New Roman"/>
          <w:noProof/>
        </w:rPr>
        <w:t xml:space="preserve"> management</w:t>
      </w:r>
      <w:r w:rsidR="00EB6634" w:rsidRPr="00AE0B3D">
        <w:rPr>
          <w:rFonts w:cs="Times New Roman"/>
          <w:noProof/>
        </w:rPr>
        <w:t xml:space="preserve"> </w:t>
      </w:r>
      <w:r w:rsidR="00EB6634" w:rsidRPr="00AE0B3D">
        <w:rPr>
          <w:rFonts w:cs="Times New Roman"/>
          <w:noProof/>
        </w:rPr>
        <w:lastRenderedPageBreak/>
        <w:t xml:space="preserve">remuneration system </w:t>
      </w:r>
      <w:r w:rsidR="003F5344" w:rsidRPr="00AE0B3D">
        <w:rPr>
          <w:rFonts w:cs="Times New Roman"/>
          <w:noProof/>
        </w:rPr>
        <w:t>has been a point of contention due to different perspective of the different organisation</w:t>
      </w:r>
      <w:r w:rsidR="00F56554" w:rsidRPr="00AE0B3D">
        <w:rPr>
          <w:rFonts w:cs="Times New Roman"/>
          <w:noProof/>
        </w:rPr>
        <w:t>s</w:t>
      </w:r>
      <w:r w:rsidR="00DE6097" w:rsidRPr="00AE0B3D">
        <w:rPr>
          <w:rFonts w:cs="Times New Roman"/>
          <w:noProof/>
        </w:rPr>
        <w:t>’</w:t>
      </w:r>
      <w:r w:rsidR="003F5344" w:rsidRPr="00AE0B3D">
        <w:rPr>
          <w:rFonts w:cs="Times New Roman"/>
          <w:noProof/>
        </w:rPr>
        <w:t xml:space="preserve"> stakeholders</w:t>
      </w:r>
      <w:r w:rsidR="0045265B" w:rsidRPr="00AE0B3D">
        <w:rPr>
          <w:rFonts w:cs="Times New Roman"/>
          <w:noProof/>
        </w:rPr>
        <w:t xml:space="preserve"> </w:t>
      </w:r>
      <w:r w:rsidR="00020732" w:rsidRPr="00AE0B3D">
        <w:rPr>
          <w:rFonts w:cs="Times New Roman"/>
          <w:noProof/>
        </w:rPr>
        <w:fldChar w:fldCharType="begin" w:fldLock="1"/>
      </w:r>
      <w:r w:rsidR="00A40B79" w:rsidRPr="00AE0B3D">
        <w:rPr>
          <w:rFonts w:cs="Times New Roman"/>
          <w:noProof/>
        </w:rPr>
        <w:instrText>ADDIN CSL_CITATION {"citationItems":[{"id":"ITEM-1","itemData":{"DOI":"10.1038/nmeth.3869.DADA2","ISBN":"0860913872","ISSN":"03186431","abstract":"Objetivo: determinar la influencia de la alimentación complementaria y el aporte de micronutrientes en niños. Diseño: estudio prospectivo longitudinal correlacional y descriptivo. Lugar: se incluyeron ocho áreas urbanas y peri urbanas de la ciudad de La Paz. Material y métodos: muestreo no probabilístico de acuerdo a criterios de inclusión y exclusión considerándose una muestra 305 lactantes y pre-escolares, con un nivel de signifi cancia de 0.95. Se consideraron como variables de respuesta la modifi cación de los índices antropométricos (Z peso/talla, Z talla/edad, Z peso/edad). La información recabada fue analizada en base de datos. Se efectuó un análisis descriptivo mediante media y desviación estándar (DE), para las variables continuas y número de pacientes y porcentaje. Resultados: La desnutrición global tuvo una ligera mejoría, la desnutrición aguda y crónica se normalizaron en forma importante. Hubo ligera predominancia en el sexo femenino para desnutrición crónica y en las otras categorías, se apreció mayor incidencia en varones. Tomando como referencia aquellos niños comprendidos en -1DE y -3DE la relación por edades mostró que la talla baja para la edad predomina en niños entre los 3 a 12 años y el grupo etario con mayor riesgo de sufrir desnutrición crónica son los lactantes mayores Por otro lado en niños mayores de 6 años a menores de 12 años, el IMC fue muy similar para el peso normal y el bajo peso (44.5% vs. 49%), solamente se encontró 4% con sobrepeso y 2,3 % con obesidad. Conclusión: nuestro estudio demostró al fi nalizar el estudio, una mejoría de la desnutrición global del 45% al 52%. La mejoría más notoria fue con la desnutrición crónica y la aguda. El sexo femenino fue más proclive a la desnutrición crónica. Es importante la educación nutricional de la familia Palabras claves: Rev Soc Bol Ped 2006; 45 (1): 11-7: desnutrición, micro nutrientes, nutrición. Abstract Objectives: to fi nd out the effect of complementary feeding and micronutrients in nursing babies and children.","author":[{"dropping-particle":"","family":"Tian","given":"A. W.","non-dropping-particle":"","parse-names":false,"suffix":""},{"dropping-particle":"","family":"Cordery","given":"J.","non-dropping-particle":"","parse-names":false,"suffix":""},{"dropping-particle":"","family":"Gamble","given":"J.","non-dropping-particle":"","parse-names":false,"suffix":""}],"container-title":"Personnel Review","id":"ITEM-1","issue":"5","issued":{"date-parts":[["2016"]]},"page":"947-968","title":"Staying and performing: How human resource management practices increase job embeddedness and performance","type":"article-journal","volume":"45"},"uris":["http://www.mendeley.com/documents/?uuid=0cc09d2c-e356-4100-8853-4de8bd747d6c"]}],"mendeley":{"formattedCitation":"(Tian et al., 2016)","plainTextFormattedCitation":"(Tian et al., 2016)","previouslyFormattedCitation":"(Tian et al., 2016)"},"properties":{"noteIndex":0},"schema":"https://github.com/citation-style-language/schema/raw/master/csl-citation.json"}</w:instrText>
      </w:r>
      <w:r w:rsidR="00020732" w:rsidRPr="00AE0B3D">
        <w:rPr>
          <w:rFonts w:cs="Times New Roman"/>
          <w:noProof/>
        </w:rPr>
        <w:fldChar w:fldCharType="separate"/>
      </w:r>
      <w:r w:rsidR="00347ED3" w:rsidRPr="00AE0B3D">
        <w:rPr>
          <w:rFonts w:cs="Times New Roman"/>
          <w:noProof/>
        </w:rPr>
        <w:t>(Tian et al., 2016)</w:t>
      </w:r>
      <w:r w:rsidR="00020732" w:rsidRPr="00AE0B3D">
        <w:rPr>
          <w:rFonts w:cs="Times New Roman"/>
          <w:noProof/>
        </w:rPr>
        <w:fldChar w:fldCharType="end"/>
      </w:r>
      <w:r w:rsidR="003F5344" w:rsidRPr="00AE0B3D">
        <w:rPr>
          <w:rFonts w:cs="Times New Roman"/>
          <w:noProof/>
        </w:rPr>
        <w:t xml:space="preserve">. </w:t>
      </w:r>
      <w:r w:rsidR="00951AB3" w:rsidRPr="00AE0B3D">
        <w:rPr>
          <w:rFonts w:cs="Times New Roman"/>
        </w:rPr>
        <w:t>Sh</w:t>
      </w:r>
      <w:r w:rsidR="009D2596" w:rsidRPr="00AE0B3D">
        <w:rPr>
          <w:rFonts w:cs="Times New Roman"/>
        </w:rPr>
        <w:t>are</w:t>
      </w:r>
      <w:r w:rsidRPr="00AE0B3D">
        <w:rPr>
          <w:rFonts w:cs="Times New Roman"/>
        </w:rPr>
        <w:t xml:space="preserve">holders wish to have </w:t>
      </w:r>
      <w:r w:rsidRPr="00AE0B3D">
        <w:rPr>
          <w:rFonts w:cs="Times New Roman"/>
          <w:noProof/>
        </w:rPr>
        <w:t>high</w:t>
      </w:r>
      <w:r w:rsidRPr="00AE0B3D">
        <w:rPr>
          <w:rFonts w:cs="Times New Roman"/>
        </w:rPr>
        <w:t xml:space="preserve"> return</w:t>
      </w:r>
      <w:r w:rsidR="008268AE" w:rsidRPr="00AE0B3D">
        <w:rPr>
          <w:rFonts w:cs="Times New Roman"/>
        </w:rPr>
        <w:t>s</w:t>
      </w:r>
      <w:r w:rsidRPr="00AE0B3D">
        <w:rPr>
          <w:rFonts w:cs="Times New Roman"/>
        </w:rPr>
        <w:t xml:space="preserve"> on investment and seek to have a compensation </w:t>
      </w:r>
      <w:r w:rsidR="00E63E7E" w:rsidRPr="00AE0B3D">
        <w:rPr>
          <w:rFonts w:cs="Times New Roman"/>
        </w:rPr>
        <w:t>management</w:t>
      </w:r>
      <w:r w:rsidR="000F38D5" w:rsidRPr="00AE0B3D">
        <w:rPr>
          <w:rFonts w:cs="Times New Roman"/>
        </w:rPr>
        <w:t xml:space="preserve"> plan</w:t>
      </w:r>
      <w:r w:rsidRPr="00AE0B3D">
        <w:rPr>
          <w:rFonts w:cs="Times New Roman"/>
        </w:rPr>
        <w:t xml:space="preserve"> that </w:t>
      </w:r>
      <w:r w:rsidR="00E63E7E" w:rsidRPr="00AE0B3D">
        <w:rPr>
          <w:rFonts w:cs="Times New Roman"/>
        </w:rPr>
        <w:t>maximize their returns</w:t>
      </w:r>
      <w:r w:rsidR="00923560" w:rsidRPr="00AE0B3D">
        <w:rPr>
          <w:rFonts w:cs="Times New Roman"/>
        </w:rPr>
        <w:t xml:space="preserve"> </w:t>
      </w:r>
      <w:r w:rsidR="00923560" w:rsidRPr="00AE0B3D">
        <w:rPr>
          <w:rFonts w:cs="Times New Roman"/>
        </w:rPr>
        <w:fldChar w:fldCharType="begin" w:fldLock="1"/>
      </w:r>
      <w:r w:rsidR="00955099">
        <w:rPr>
          <w:rFonts w:cs="Times New Roman"/>
        </w:rPr>
        <w:instrText>ADDIN CSL_CITATION {"citationItems":[{"id":"ITEM-1","itemData":{"DOI":"10.1111/acfi.12176/abstract.","abstract":"</w:instrText>
      </w:r>
      <w:r w:rsidR="00955099">
        <w:rPr>
          <w:rFonts w:ascii="MS Gothic" w:hAnsi="MS Gothic" w:cs="MS Gothic"/>
        </w:rPr>
        <w:instrText>Ｗｉｔｈｉｏｄｉｎｅａｄｓｏｒｐｔｉｏｎｖａｌｕｅ，ｍｅｔｈｙｌｅｎｅｂｌｕｅａｄｓｏｒｐｔｉｏｎｖａｌｕｅ，ａｎｄｙｉｅｌｄａｓａｎａｌｙｚｉｎｇｉｎｄｅｘｅｓｏｆａｃｔｉｖａｔｅｄｃａｒｂｏｎ</w:instrText>
      </w:r>
      <w:r w:rsidR="00955099">
        <w:rPr>
          <w:rFonts w:cs="Times New Roman"/>
        </w:rPr>
        <w:instrText xml:space="preserve"> </w:instrText>
      </w:r>
      <w:r w:rsidR="00955099">
        <w:rPr>
          <w:rFonts w:ascii="MS Gothic" w:hAnsi="MS Gothic" w:cs="MS Gothic"/>
        </w:rPr>
        <w:instrText>ｐｒｅｐａｒｅｄｆｒｏｍ</w:instrText>
      </w:r>
      <w:r w:rsidR="00955099">
        <w:rPr>
          <w:rFonts w:cs="Times New Roman"/>
        </w:rPr>
        <w:instrText xml:space="preserve"> </w:instrText>
      </w:r>
      <w:r w:rsidR="00955099">
        <w:rPr>
          <w:rFonts w:ascii="MS Gothic" w:hAnsi="MS Gothic" w:cs="MS Gothic"/>
        </w:rPr>
        <w:instrText>ｆｕｒｆｕｒａｌｒｅｓｉｄｕｅ</w:instrText>
      </w:r>
      <w:r w:rsidR="00955099">
        <w:rPr>
          <w:rFonts w:cs="Times New Roman"/>
        </w:rPr>
        <w:instrText xml:space="preserve"> </w:instrText>
      </w:r>
      <w:r w:rsidR="00955099">
        <w:rPr>
          <w:rFonts w:ascii="MS Gothic" w:hAnsi="MS Gothic" w:cs="MS Gothic"/>
        </w:rPr>
        <w:instrText>，ｆｏｕｒｆａｃｔｏｒｓｈａｄｂｅｅｎｃｈｏｓｅｎｔｏｐｅｒｆｏｒｍ</w:instrText>
      </w:r>
      <w:r w:rsidR="00955099">
        <w:rPr>
          <w:rFonts w:cs="Times New Roman"/>
        </w:rPr>
        <w:instrText xml:space="preserve"> </w:instrText>
      </w:r>
      <w:r w:rsidR="00955099">
        <w:rPr>
          <w:rFonts w:ascii="MS Gothic" w:hAnsi="MS Gothic" w:cs="MS Gothic"/>
        </w:rPr>
        <w:instrText>Ｌ</w:instrText>
      </w:r>
      <w:r w:rsidR="00955099">
        <w:rPr>
          <w:rFonts w:cs="Times New Roman"/>
        </w:rPr>
        <w:instrText xml:space="preserve"> </w:instrText>
      </w:r>
      <w:r w:rsidR="00955099">
        <w:rPr>
          <w:rFonts w:ascii="MS Gothic" w:hAnsi="MS Gothic" w:cs="MS Gothic"/>
        </w:rPr>
        <w:instrText>１６</w:instrText>
      </w:r>
      <w:r w:rsidR="00955099">
        <w:rPr>
          <w:rFonts w:cs="Times New Roman"/>
        </w:rPr>
        <w:instrText xml:space="preserve"> </w:instrText>
      </w:r>
      <w:r w:rsidR="00955099">
        <w:rPr>
          <w:rFonts w:ascii="MS Gothic" w:hAnsi="MS Gothic" w:cs="MS Gothic"/>
        </w:rPr>
        <w:instrText>（４</w:instrText>
      </w:r>
      <w:r w:rsidR="00955099">
        <w:rPr>
          <w:rFonts w:cs="Times New Roman"/>
        </w:rPr>
        <w:instrText xml:space="preserve"> </w:instrText>
      </w:r>
      <w:r w:rsidR="00955099">
        <w:rPr>
          <w:rFonts w:ascii="MS Gothic" w:hAnsi="MS Gothic" w:cs="MS Gothic"/>
        </w:rPr>
        <w:instrText>）ｏｒｔｈｏｇｏｎａｌｅｘｐｅｒｉｍｅｎｔｉｎｃｌｕｄｉｎｇｉｍｐｒｅｇｎａｔｉｏｎ</w:instrText>
      </w:r>
      <w:r w:rsidR="00955099">
        <w:rPr>
          <w:rFonts w:cs="Times New Roman"/>
        </w:rPr>
        <w:instrText xml:space="preserve"> </w:instrText>
      </w:r>
      <w:r w:rsidR="00955099">
        <w:rPr>
          <w:rFonts w:ascii="MS Gothic" w:hAnsi="MS Gothic" w:cs="MS Gothic"/>
        </w:rPr>
        <w:instrText>ｒａｔｉｏ，ｐｈｏｓｐｈｏｒｉｃａｃｉｄｃｏｎｃｅｎｔｒａｔｉｏｎ，ａｃｔｉｖａｔｉｏｎｔｅｍｐｅｒａｔｕｒｅａｎｄｈｏｌｄｉｎｇｔｉｍｅｔｏｏｐｔｉｍｉｚｅｔｈｅｐｒｅｐａｒａｔｉｏｎｃｏｎｄｉｔｉｏｎｓｏｆｐｈｏｓｐｈｏｒｉｃ</w:instrText>
      </w:r>
      <w:r w:rsidR="00955099">
        <w:rPr>
          <w:rFonts w:cs="Times New Roman"/>
        </w:rPr>
        <w:instrText xml:space="preserve"> </w:instrText>
      </w:r>
      <w:r w:rsidR="00955099">
        <w:rPr>
          <w:rFonts w:ascii="MS Gothic" w:hAnsi="MS Gothic" w:cs="MS Gothic"/>
        </w:rPr>
        <w:instrText>ａｃｉｄａｃｔｉｖａｔｉｏｎ．Ｔｈｅｃｏｎｃｌｕｓｉｏｎｃｏｕｌｄｂｅｄｒａｗｎｆｒｏｍ</w:instrText>
      </w:r>
      <w:r w:rsidR="00955099">
        <w:rPr>
          <w:rFonts w:cs="Times New Roman"/>
        </w:rPr>
        <w:instrText xml:space="preserve"> </w:instrText>
      </w:r>
      <w:r w:rsidR="00955099">
        <w:rPr>
          <w:rFonts w:ascii="MS Gothic" w:hAnsi="MS Gothic" w:cs="MS Gothic"/>
        </w:rPr>
        <w:instrText>ｔｈｅｏｒｔｈｏｇｏｎａｌｅｘｐｅｒｉｍｅｎｔｔｈａｔｔｈｅｏｐｔｉｍａｌｔｅｃｈｎｏｌｏｇｉｃａｌｃｏｎｄｉｔｉｏｎｓｗｅｒｅ</w:instrText>
      </w:r>
      <w:r w:rsidR="00955099">
        <w:rPr>
          <w:rFonts w:cs="Times New Roman"/>
        </w:rPr>
        <w:instrText xml:space="preserve"> </w:instrText>
      </w:r>
      <w:r w:rsidR="00955099">
        <w:rPr>
          <w:rFonts w:ascii="MS Gothic" w:hAnsi="MS Gothic" w:cs="MS Gothic"/>
        </w:rPr>
        <w:instrText>ｐｈｏｓｐｈｏｒｉｃａｃｉｄｃｏｎｃｅｎｔｒａｔｉｏｎ６０％</w:instrText>
      </w:r>
      <w:r w:rsidR="00955099">
        <w:rPr>
          <w:rFonts w:cs="Times New Roman"/>
        </w:rPr>
        <w:instrText xml:space="preserve"> </w:instrText>
      </w:r>
      <w:r w:rsidR="00955099">
        <w:rPr>
          <w:rFonts w:ascii="MS Gothic" w:hAnsi="MS Gothic" w:cs="MS Gothic"/>
        </w:rPr>
        <w:instrText>，ｉｍｐｒｅｇｎａｔｉｏｎｒａｔｉｏ２．５</w:instrText>
      </w:r>
      <w:r w:rsidR="00955099">
        <w:rPr>
          <w:rFonts w:ascii="Cambria Math" w:hAnsi="Cambria Math" w:cs="Cambria Math"/>
        </w:rPr>
        <w:instrText>∶</w:instrText>
      </w:r>
      <w:r w:rsidR="00955099">
        <w:rPr>
          <w:rFonts w:ascii="MS Gothic" w:hAnsi="MS Gothic" w:cs="MS Gothic"/>
        </w:rPr>
        <w:instrText>１，ａｃｔｉｖａｔｉｏｎｔｅｍｐｅｒａｔｕｒｅ５５０</w:instrText>
      </w:r>
      <w:r w:rsidR="00955099">
        <w:rPr>
          <w:rFonts w:cs="Times New Roman"/>
        </w:rPr>
        <w:instrText>℃</w:instrText>
      </w:r>
      <w:r w:rsidR="00955099">
        <w:rPr>
          <w:rFonts w:ascii="MS Gothic" w:hAnsi="MS Gothic" w:cs="MS Gothic"/>
        </w:rPr>
        <w:instrText>，ａｎｄｈｏｌｄｉｎｇｔｉｍｅ１．５ｈ．Ｕｎｄｅｒｔｈｅｓｅ</w:instrText>
      </w:r>
      <w:r w:rsidR="00955099">
        <w:rPr>
          <w:rFonts w:cs="Times New Roman"/>
        </w:rPr>
        <w:instrText xml:space="preserve"> </w:instrText>
      </w:r>
      <w:r w:rsidR="00955099">
        <w:rPr>
          <w:rFonts w:ascii="MS Gothic" w:hAnsi="MS Gothic" w:cs="MS Gothic"/>
        </w:rPr>
        <w:instrText>５</w:instrText>
      </w:r>
      <w:r w:rsidR="00955099">
        <w:rPr>
          <w:rFonts w:cs="Times New Roman"/>
        </w:rPr>
        <w:instrText xml:space="preserve"> </w:instrText>
      </w:r>
      <w:r w:rsidR="00955099">
        <w:rPr>
          <w:rFonts w:ascii="MS Gothic" w:hAnsi="MS Gothic" w:cs="MS Gothic"/>
        </w:rPr>
        <w:instrText>ｃｏｎｄｉｔｉｏｎｓ</w:instrText>
      </w:r>
      <w:r w:rsidR="00955099">
        <w:rPr>
          <w:rFonts w:cs="Times New Roman"/>
        </w:rPr>
        <w:instrText xml:space="preserve"> </w:instrText>
      </w:r>
      <w:r w:rsidR="00955099">
        <w:rPr>
          <w:rFonts w:ascii="MS Gothic" w:hAnsi="MS Gothic" w:cs="MS Gothic"/>
        </w:rPr>
        <w:instrText>，ｔｈｅｉｏｄｉｎｅａｄｓｏｒｐｔｉｏｎｖａｌｕｅｏｆｔｈｅｏｂｔａｉｎｅｄａｃｔｉｖａｔｅｄｃａｒｂｏｎｗａｓ８３９．６ｍｇ／ｇ，ｔｈｅｍｅｔｈｙｌｅｎｅｂｌｕｅａｄｓｏｒｐｔｉｏｎｖａｌｕｅｗａｓ</w:instrText>
      </w:r>
      <w:r w:rsidR="00955099">
        <w:rPr>
          <w:rFonts w:cs="Times New Roman"/>
        </w:rPr>
        <w:instrText xml:space="preserve"> </w:instrText>
      </w:r>
      <w:r w:rsidR="00955099">
        <w:rPr>
          <w:rFonts w:ascii="MS Gothic" w:hAnsi="MS Gothic" w:cs="MS Gothic"/>
        </w:rPr>
        <w:instrText>２６０．３ｍｇ／ｇ，ｔｈｅｙｉｅｌｄｗａｓ４６．８％，ａｎｄｔｈｅｓｐｅｃｉｆｉｃｓｕｒｆａｃｅａｒｅａｗａｓ８３０．２０ｍ</w:instrText>
      </w:r>
      <w:r w:rsidR="00955099">
        <w:rPr>
          <w:rFonts w:cs="Times New Roman"/>
        </w:rPr>
        <w:instrText xml:space="preserve"> </w:instrText>
      </w:r>
      <w:r w:rsidR="00955099">
        <w:rPr>
          <w:rFonts w:ascii="MS Gothic" w:hAnsi="MS Gothic" w:cs="MS Gothic"/>
        </w:rPr>
        <w:instrText>／ｇ．</w:instrText>
      </w:r>
      <w:r w:rsidR="00955099">
        <w:rPr>
          <w:rFonts w:cs="Times New Roman"/>
        </w:rPr>
        <w:instrText>","author":[{"dropping-particle":"","family":"Grosse","given":"M.","non-dropping-particle":"","parse-names":false,"suffix":""},{"dropping-particle":"","family":"Kean","given":"S.","non-dropping-particle":"","parse-names":false,"suffix":""},{"dropping-particle":"","family":"Scott","given":"T.","non-dropping-particle":"","parse-names":false,"suffix":""}],"container-title":"Accounting &amp; Finance","id":"ITEM-1","issue":"3","issued":{"date-parts":[["2017"]]},"page":"701-725","title":"Shareholder say on pay and CEO compensation: three strikes and the board is out. Accounting &amp; Finance, 57(3), pp.","type":"article-journal","volume":"57"},"uris":["http://www.mendeley.com/documents/?uuid=6774d468-4e93-4080-9a46-232da25487fb"]}],"mendeley":{"formattedCitation":"(Grosse et al., 2017)","manualFormatting":"(Grosse et al., 2017)","plainTextFormattedCitation":"(Grosse et al., 2017)","previouslyFormattedCitation":"(Grosse et al., 2017)"},"properties":{"noteIndex":0},"schema":"https://github.com/citation-style-language/schema/raw/master/csl-citation.json"}</w:instrText>
      </w:r>
      <w:r w:rsidR="00923560" w:rsidRPr="00AE0B3D">
        <w:rPr>
          <w:rFonts w:cs="Times New Roman"/>
        </w:rPr>
        <w:fldChar w:fldCharType="separate"/>
      </w:r>
      <w:r w:rsidR="00A16FB8">
        <w:rPr>
          <w:rFonts w:cs="Times New Roman"/>
          <w:noProof/>
        </w:rPr>
        <w:t xml:space="preserve">(Grosse </w:t>
      </w:r>
      <w:r w:rsidR="00A16FB8" w:rsidRPr="006B3E1F">
        <w:rPr>
          <w:rFonts w:cs="Times New Roman"/>
          <w:noProof/>
        </w:rPr>
        <w:t>et al.</w:t>
      </w:r>
      <w:r w:rsidR="00923560" w:rsidRPr="00AE0B3D">
        <w:rPr>
          <w:rFonts w:cs="Times New Roman"/>
          <w:noProof/>
        </w:rPr>
        <w:t>, 2017)</w:t>
      </w:r>
      <w:r w:rsidR="00923560" w:rsidRPr="00AE0B3D">
        <w:rPr>
          <w:rFonts w:cs="Times New Roman"/>
        </w:rPr>
        <w:fldChar w:fldCharType="end"/>
      </w:r>
      <w:r w:rsidR="00E63E7E" w:rsidRPr="00AE0B3D">
        <w:rPr>
          <w:rFonts w:cs="Times New Roman"/>
        </w:rPr>
        <w:t xml:space="preserve">. </w:t>
      </w:r>
      <w:r w:rsidRPr="00AE0B3D">
        <w:rPr>
          <w:rFonts w:cs="Times New Roman"/>
        </w:rPr>
        <w:t xml:space="preserve">The management, </w:t>
      </w:r>
      <w:r w:rsidRPr="00AE0B3D">
        <w:rPr>
          <w:rFonts w:cs="Times New Roman"/>
          <w:noProof/>
        </w:rPr>
        <w:t>however</w:t>
      </w:r>
      <w:r w:rsidRPr="00AE0B3D">
        <w:rPr>
          <w:rFonts w:cs="Times New Roman"/>
        </w:rPr>
        <w:t>, would wish to maximize on their utility without considering</w:t>
      </w:r>
      <w:r w:rsidR="00284E78" w:rsidRPr="00AE0B3D">
        <w:rPr>
          <w:rFonts w:cs="Times New Roman"/>
        </w:rPr>
        <w:t xml:space="preserve"> shareholders’</w:t>
      </w:r>
      <w:r w:rsidRPr="00AE0B3D">
        <w:rPr>
          <w:rFonts w:cs="Times New Roman"/>
        </w:rPr>
        <w:t xml:space="preserve"> returns unless a disciplinary measure that </w:t>
      </w:r>
      <w:r w:rsidRPr="00AE0B3D">
        <w:rPr>
          <w:rFonts w:cs="Times New Roman"/>
          <w:noProof/>
        </w:rPr>
        <w:t>facilitates</w:t>
      </w:r>
      <w:r w:rsidRPr="00AE0B3D">
        <w:rPr>
          <w:rFonts w:cs="Times New Roman"/>
        </w:rPr>
        <w:t xml:space="preserve"> maximizing of shareholders return exists. Adopting efficient </w:t>
      </w:r>
      <w:r w:rsidR="0043645C" w:rsidRPr="00AE0B3D">
        <w:rPr>
          <w:rFonts w:cs="Times New Roman"/>
        </w:rPr>
        <w:t>man</w:t>
      </w:r>
      <w:r w:rsidR="001F41E9" w:rsidRPr="00AE0B3D">
        <w:rPr>
          <w:rFonts w:cs="Times New Roman"/>
        </w:rPr>
        <w:t xml:space="preserve">agement </w:t>
      </w:r>
      <w:r w:rsidRPr="00AE0B3D">
        <w:rPr>
          <w:rFonts w:cs="Times New Roman"/>
        </w:rPr>
        <w:t xml:space="preserve">remuneration thus play an important role in improving the overall performance of the organization. </w:t>
      </w:r>
      <w:r w:rsidR="0030103A" w:rsidRPr="00AE0B3D">
        <w:rPr>
          <w:rFonts w:cs="Times New Roman"/>
        </w:rPr>
        <w:t xml:space="preserve">To achieve this, the different remuneration offered by the organisation have to be evaluated and their effect on the </w:t>
      </w:r>
      <w:r w:rsidR="00C95619" w:rsidRPr="00AE0B3D">
        <w:rPr>
          <w:rFonts w:cs="Times New Roman"/>
        </w:rPr>
        <w:t xml:space="preserve">financial </w:t>
      </w:r>
      <w:r w:rsidR="0030103A" w:rsidRPr="00AE0B3D">
        <w:rPr>
          <w:rFonts w:cs="Times New Roman"/>
        </w:rPr>
        <w:t>performance of the organisation assessed</w:t>
      </w:r>
      <w:r w:rsidR="00B55CFD" w:rsidRPr="00AE0B3D">
        <w:rPr>
          <w:rFonts w:cs="Times New Roman"/>
        </w:rPr>
        <w:t xml:space="preserve"> </w:t>
      </w:r>
      <w:r w:rsidR="00B55CFD" w:rsidRPr="00AE0B3D">
        <w:rPr>
          <w:rFonts w:cs="Times New Roman"/>
        </w:rPr>
        <w:fldChar w:fldCharType="begin" w:fldLock="1"/>
      </w:r>
      <w:r w:rsidR="000311C7" w:rsidRPr="00AE0B3D">
        <w:rPr>
          <w:rFonts w:cs="Times New Roman"/>
        </w:rPr>
        <w:instrText>ADDIN CSL_CITATION {"citationItems":[{"id":"ITEM-1","itemData":{"ISSN":"1838-3955","abstract":"This study examines the relationship between director remuneration and performance in Malaysia family firms. The proxies of director remuneration include fees, salary, bonuses, and benefits of kin. The proxy for family firm is a dummy variable that is one (1) if the firm is a family firm and zero (0) is a non-family firm. The dependent variable (performance) is measured by ROA and ROE. A panel analysis of 537 firms from 2007 and 2009 finds that the relationship between director remuneration and performance is significantly positive. This suggests that the remuneration driven board motivation to enhance performance. Furthermore, this study does not find evidence the family firm manipulated a power and control for personal wealth.","author":[{"dropping-particle":"","family":"Jaafar","given":"SB","non-dropping-particle":"","parse-names":false,"suffix":""},{"dropping-particle":"","family":"Wahab","given":"EAA","non-dropping-particle":"","parse-names":false,"suffix":""},{"dropping-particle":"","family":"James","given":"Kieran","non-dropping-particle":"","parse-names":false,"suffix":""}],"container-title":"World Review of Business …","id":"ITEM-1","issue":"4","issued":{"date-parts":[["2012"]]},"page":"204-222","title":"Director remuneration and performance in Malaysia family firms: an expropriation matter?","type":"article-journal","volume":"2"},"uris":["http://www.mendeley.com/documents/?uuid=91a6c770-6f79-4cc7-878a-e413a1f41169"]},{"id":"ITEM-2","itemData":{"DOI":"http://dx.doi.org/10.1108/MRR-09-2015-0216","ISBN":"1750614111","ISSN":"0264-0473","PMID":"42012058","author":[{"dropping-particle":"","family":"Lee","given":"Siew Peng","non-dropping-particle":"","parse-names":false,"suffix":""},{"dropping-particle":"","family":"Isa","given":"Mansor","non-dropping-particle":"","parse-names":false,"suffix":""}],"container-title":"Managerial Finance","id":"ITEM-2","issue":"1","issued":{"date-parts":[["2014"]]},"page":"26-44","title":"Directors’ remuneration, governance and performance: The case of Malaysian banks","type":"article-journal","volume":"41"},"uris":["http://www.mendeley.com/documents/?uuid=e9182083-cfd3-4b38-9713-e85a7b820c70"]}],"mendeley":{"formattedCitation":"(Jaafar et al., 2012; Lee &amp; Isa, 2014)","plainTextFormattedCitation":"(Jaafar et al., 2012; Lee &amp; Isa, 2014)","previouslyFormattedCitation":"(Jaafar et al., 2012; Lee &amp; Isa, 2014)"},"properties":{"noteIndex":0},"schema":"https://github.com/citation-style-language/schema/raw/master/csl-citation.json"}</w:instrText>
      </w:r>
      <w:r w:rsidR="00B55CFD" w:rsidRPr="00AE0B3D">
        <w:rPr>
          <w:rFonts w:cs="Times New Roman"/>
        </w:rPr>
        <w:fldChar w:fldCharType="separate"/>
      </w:r>
      <w:r w:rsidR="001304DC" w:rsidRPr="00AE0B3D">
        <w:rPr>
          <w:rFonts w:cs="Times New Roman"/>
          <w:noProof/>
        </w:rPr>
        <w:t>(Jaafar et al., 2012; Lee &amp; Isa, 2014)</w:t>
      </w:r>
      <w:r w:rsidR="00B55CFD" w:rsidRPr="00AE0B3D">
        <w:rPr>
          <w:rFonts w:cs="Times New Roman"/>
        </w:rPr>
        <w:fldChar w:fldCharType="end"/>
      </w:r>
      <w:r w:rsidR="001304DC" w:rsidRPr="00AE0B3D">
        <w:rPr>
          <w:rFonts w:cs="Times New Roman"/>
        </w:rPr>
        <w:t xml:space="preserve">. </w:t>
      </w:r>
    </w:p>
    <w:p w14:paraId="0DCCBD48" w14:textId="10D1F8BA" w:rsidR="008E469B" w:rsidRPr="00AE0B3D" w:rsidRDefault="008E469B" w:rsidP="008E469B">
      <w:pPr>
        <w:rPr>
          <w:noProof/>
        </w:rPr>
      </w:pPr>
      <w:r w:rsidRPr="00AE0B3D">
        <w:t xml:space="preserve">The research is supported agency theory that evaluates the influence of management remuneration on the performance of the organisation. Agency theory assumes that the interests of employees and employer are different. The theory aim to identify the difference  of interest and ways through which they can be harmonized </w:t>
      </w:r>
      <w:r w:rsidRPr="00AE0B3D">
        <w:fldChar w:fldCharType="begin" w:fldLock="1"/>
      </w:r>
      <w:r w:rsidRPr="00AE0B3D">
        <w:instrText>ADDIN CSL_CITATION {"citationItems":[{"id":"ITEM-1","itemData":{"DOI":"10.1016/j.hrmr.2004.06.003","ISSN":"10534822","abstract":"Agency theory assumes that employees and employers have different goals, act in a self-interested manner, and are willing to assume varying degrees of risk. In this paper, we argue that cultural differences may attenuate those assumptions and thereby temper agency theory predictions. Culture may align goals between employers and employees, change a company's preference for behavior- versus outcome-based pay, require higher incentives before employees will accept outcome-based pay, and lower the moral hazard concerns associated with outcome-based pay. Based on those arguments, we develop propositions that can be tested empirically. © 2004 Elsevier Inc. All rights reserved.","author":[{"dropping-particle":"","family":"Johnson","given":"Nancy Brown","non-dropping-particle":"","parse-names":false,"suffix":""},{"dropping-particle":"","family":"Droege","given":"Scott","non-dropping-particle":"","parse-names":false,"suffix":""}],"container-title":"Human Resource Management Review","id":"ITEM-1","issue":"3","issued":{"date-parts":[["2004"]]},"page":"325-335","title":"Reflections on the generalization of agency theory: Cross-cultural considerations","type":"article-journal","volume":"14"},"uris":["http://www.mendeley.com/documents/?uuid=f741cebb-3848-4616-a1b7-ad001e95026f"]}],"mendeley":{"formattedCitation":"(Johnson &amp; Droege, 2004)","plainTextFormattedCitation":"(Johnson &amp; Droege, 2004)","previouslyFormattedCitation":"(Johnson &amp; Droege, 2004)"},"properties":{"noteIndex":0},"schema":"https://github.com/citation-style-language/schema/raw/master/csl-citation.json"}</w:instrText>
      </w:r>
      <w:r w:rsidRPr="00AE0B3D">
        <w:fldChar w:fldCharType="separate"/>
      </w:r>
      <w:r w:rsidRPr="00AE0B3D">
        <w:rPr>
          <w:noProof/>
        </w:rPr>
        <w:t>(Johnson &amp; Droege, 2004)</w:t>
      </w:r>
      <w:r w:rsidRPr="00AE0B3D">
        <w:fldChar w:fldCharType="end"/>
      </w:r>
      <w:r w:rsidRPr="00AE0B3D">
        <w:t xml:space="preserve">. </w:t>
      </w:r>
      <w:r w:rsidRPr="00AE0B3D">
        <w:rPr>
          <w:noProof/>
        </w:rPr>
        <w:t xml:space="preserve">Principal and agent interests aligning is considered to be more effective when utilising incentive compared to other methods such as monitoring </w:t>
      </w:r>
      <w:r w:rsidRPr="00AE0B3D">
        <w:rPr>
          <w:noProof/>
        </w:rPr>
        <w:fldChar w:fldCharType="begin" w:fldLock="1"/>
      </w:r>
      <w:r w:rsidRPr="00AE0B3D">
        <w:rPr>
          <w:noProof/>
        </w:rPr>
        <w:instrText>ADDIN CSL_CITATION {"citationItems":[{"id":"ITEM-1","itemData":{"DOI":"10.1177/0149206306298658","ISSN":"01492063","abstract":"The authors examine the moderating effects of conscientiousness on the relationships between agency controls and effort and agency controls and task performance. Results show that less conscientious individuals appear to increase effort through incentive alignment and monitoring, whereas conscientious individuals do not shirk with or without agency controls. Furthermore, results show that less conscientious individuals increase task performance through incentive alignment, but not through monitoring. The study confirms that motivation to act opportunistically differs between individuals unlike what is assumed by agency theory. Also, incentive alignment may be more effective than monitoring when attempting to align principal and agent interests. © 2007 Sage Publications.","author":[{"dropping-particle":"","family":"Fong","given":"Eric A.","non-dropping-particle":"","parse-names":false,"suffix":""},{"dropping-particle":"","family":"Tosi","given":"Henry L.","non-dropping-particle":"","parse-names":false,"suffix":""}],"container-title":"Journal of Management","id":"ITEM-1","issue":"2","issued":{"date-parts":[["2007"]]},"page":"161-179","title":"Effort, performance, and conscientiousness: An agency theory perspective","type":"article-journal","volume":"33"},"uris":["http://www.mendeley.com/documents/?uuid=289dc733-b7ff-4bf8-a54a-faf51e300b39"]}],"mendeley":{"formattedCitation":"(Fong &amp; Tosi, 2007)","plainTextFormattedCitation":"(Fong &amp; Tosi, 2007)","previouslyFormattedCitation":"(Fong &amp; Tosi, 2007)"},"properties":{"noteIndex":0},"schema":"https://github.com/citation-style-language/schema/raw/master/csl-citation.json"}</w:instrText>
      </w:r>
      <w:r w:rsidRPr="00AE0B3D">
        <w:rPr>
          <w:noProof/>
        </w:rPr>
        <w:fldChar w:fldCharType="separate"/>
      </w:r>
      <w:r w:rsidRPr="00AE0B3D">
        <w:rPr>
          <w:noProof/>
        </w:rPr>
        <w:t>(Fong &amp; Tosi, 2007)</w:t>
      </w:r>
      <w:r w:rsidRPr="00AE0B3D">
        <w:rPr>
          <w:noProof/>
        </w:rPr>
        <w:fldChar w:fldCharType="end"/>
      </w:r>
      <w:r w:rsidRPr="00AE0B3D">
        <w:rPr>
          <w:noProof/>
        </w:rPr>
        <w:t xml:space="preserve">. Donaldson and Davis </w:t>
      </w:r>
      <w:r w:rsidRPr="00AE0B3D">
        <w:fldChar w:fldCharType="begin" w:fldLock="1"/>
      </w:r>
      <w:r w:rsidRPr="00AE0B3D">
        <w:instrText>ADDIN CSL_CITATION {"citationItems":[{"id":"ITEM-1","itemData":{"author":[{"dropping-particle":"","family":"Donaldson","given":"Lex","non-dropping-particle":"","parse-names":false,"suffix":""},{"dropping-particle":"","family":"Davis","given":"James H","non-dropping-particle":"","parse-names":false,"suffix":""}],"container-title":"Australian Journal of Management","id":"ITEM-1","issue":"1","issued":{"date-parts":[["1991"]]},"page":"49-66","title":"Stewardship Theory or Agency Theory: CEO Governance and Shareholder Returns","type":"article-journal","volume":"16"},"uris":["http://www.mendeley.com/documents/?uuid=955480da-4e56-4547-b735-9a83a442a610"]}],"mendeley":{"formattedCitation":"(Donaldson &amp; Davis, 1991)","manualFormatting":"(1991)","plainTextFormattedCitation":"(Donaldson &amp; Davis, 1991)","previouslyFormattedCitation":"(Donaldson &amp; Davis, 1991)"},"properties":{"noteIndex":0},"schema":"https://github.com/citation-style-language/schema/raw/master/csl-citation.json"}</w:instrText>
      </w:r>
      <w:r w:rsidRPr="00AE0B3D">
        <w:fldChar w:fldCharType="separate"/>
      </w:r>
      <w:r w:rsidRPr="00AE0B3D">
        <w:rPr>
          <w:noProof/>
        </w:rPr>
        <w:t>(1991)</w:t>
      </w:r>
      <w:r w:rsidRPr="00AE0B3D">
        <w:fldChar w:fldCharType="end"/>
      </w:r>
      <w:r w:rsidRPr="00AE0B3D">
        <w:t xml:space="preserve"> </w:t>
      </w:r>
      <w:r w:rsidRPr="00AE0B3D">
        <w:rPr>
          <w:noProof/>
        </w:rPr>
        <w:t xml:space="preserve">using agency theory identified that the remuneration influence aligning CEO interest with that of shareholders and leads to better perfomance of the orgnaisation. The agency theory can provide an important framework of management remuneration for an orgnaisation </w:t>
      </w:r>
      <w:r w:rsidRPr="00AE0B3D">
        <w:rPr>
          <w:noProof/>
        </w:rPr>
        <w:fldChar w:fldCharType="begin" w:fldLock="1"/>
      </w:r>
      <w:r w:rsidR="00955099">
        <w:rPr>
          <w:noProof/>
        </w:rPr>
        <w:instrText>ADDIN CSL_CITATION {"citationItems":[{"id":"ITEM-1","itemData":{"DOI":"10.1177/0149206312461054","ISSN":"15571211","abstract":"This article describes new micro-foundations for theorizing about executive compensation, drawing on the behavioral economics literature and based on a more realistic set of behavioral assumptions than those that have typically been made by agency theorists. We call these micro-foundations “behavioral agency theory.” In contrast to the standard agency framework, which focuses on monitoring costs and incentive alignment, behavioral agency theory places agent performance at the center of the agency model, arguing that the interests of shareholders and their agents are most likely to be aligned if executives are motivated to perform to the best of their abilities. We develop a line of argument first advanced by Wiseman and Gomez-Mejia and put the case for a more general reassessment of the behavioral assumptions underpinning agency theory. A model of economic man predicated on bounded rationality is proposed, adopting Wiseman and Gomez-Mejia’s assumptions about risk preferences, but incorporating new assumptions about time discounting, inequity aversion, and the trade-off between intrinsic and extrinsic motivation. We argue that behavioral agency theory provides a better framework for theorizing about executive compensation, an enhanced theory of agent behavior, and an improved platform for making recommendations about the design of executive compensation plans.","author":[{"dropping-particle":"","family":"Pepper","given":"Alexander","non-dropping-particle":"","parse-names":false,"suffix":""},{"dropping-particle":"","family":"Gore","given":"Julie","non-dropping-particle":"","parse-names":false,"suffix":""}],"container-title":"Journal of Management","id":"ITEM-1","issue":"4","issued":{"date-parts":[["2015"]]},"page":"1045-1068","title":"Behavioral Agency Theory: New Foundations for Theorizing About Executive Compensation","type":"article-journal","volume":"41"},"uris":["http://www.mendeley.com/documents/?uuid=70a03881-1516-440a-9c7f-c48ff8f3ccca"]},{"id":"ITEM-2","itemData":{"DOI":"10.2307/20159811","ISSN":"00014273","PMID":"22798177","abstract":"Agency theory suggests that the interests of opportunistic, self-interested agents conflict with those of principals. Stewardship theory suggests instead that executives' interests are aligned with company interests and that executives are thus more intrinsically motivated than agency theory implies. This study develops hypotheses regarding the psychological and situational factors that affect the applicability of each theory to executive compensation. I tested hypotheses using a unique data set of 1,238 executives from 528 private companies. Results suggest significant differences between founder-stewards and nonfounder agents that diminish with company growth, and significant effects of equity ownership and outside rounds of financing.","author":[{"dropping-particle":"","family":"Wasserman","given":"Noam","non-dropping-particle":"","parse-names":false,"suffix":""}],"container-title":"Academy of Management Journal","id":"ITEM-2","issue":"5","issued":{"date-parts":[["2006"]]},"page":"960-976","title":"Stewards, agents, and the founder d iscount","type":"article-journal","volume":"49"},"uris":["http://www.mendeley.com/documents/?uuid=4ae1aab2-5c9f-4810-a053-022b6a84f3b1"]},{"id":"ITEM-3","itemData":{"DOI":"10.1086/500671","ISSN":"00219398","author":[{"dropping-particle":"","family":"Kang","given":"Sok Hyon","non-dropping-particle":"","parse-names":false,"suffix":""},{"dropping-particle":"","family":"Kumar","given":"Praveen","non-dropping-particle":"","parse-names":false,"suffix":""},{"dropping-particle":"","family":"Lee","given":"Hyunkoo","non-dropping-particle":"","parse-names":false,"suffix":""}],"container-title":"Journal of Business","id":"ITEM-3","issue":"3","issued":{"date-parts":[["2006"]]},"page":"1127-1147","title":"Agency and corporate investment: The role of executive compensation and corporate governance","type":"article-journal","volume":"79"},"uris":["http://www.mendeley.com/documents/?uuid=bca3aa7d-237c-469b-b449-082098851089"]}],"mendeley":{"formattedCitation":"(Kang et al., 2006; Pepper &amp; Gore, 2015; Wasserman, 2006)","manualFormatting":"(Kang et al., 2006; Pepper &amp; Gore, 2015; Wasserman, 2006)","plainTextFormattedCitation":"(Kang et al., 2006; Pepper &amp; Gore, 2015; Wasserman, 2006)","previouslyFormattedCitation":"(Kang et al., 2006; Pepper &amp; Gore, 2015; Wasserman, 2006)"},"properties":{"noteIndex":0},"schema":"https://github.com/citation-style-language/schema/raw/master/csl-citation.json"}</w:instrText>
      </w:r>
      <w:r w:rsidRPr="00AE0B3D">
        <w:rPr>
          <w:noProof/>
        </w:rPr>
        <w:fldChar w:fldCharType="separate"/>
      </w:r>
      <w:r w:rsidR="00A16FB8">
        <w:rPr>
          <w:noProof/>
        </w:rPr>
        <w:t xml:space="preserve">(Kang </w:t>
      </w:r>
      <w:r w:rsidR="00A16FB8" w:rsidRPr="006B3E1F">
        <w:rPr>
          <w:rFonts w:cs="Times New Roman"/>
          <w:noProof/>
        </w:rPr>
        <w:t>et al.</w:t>
      </w:r>
      <w:r w:rsidRPr="00AE0B3D">
        <w:rPr>
          <w:noProof/>
        </w:rPr>
        <w:t>, 2006; Pepper &amp; Gore, 2015; Wasserman, 2006)</w:t>
      </w:r>
      <w:r w:rsidRPr="00AE0B3D">
        <w:rPr>
          <w:noProof/>
        </w:rPr>
        <w:fldChar w:fldCharType="end"/>
      </w:r>
      <w:r w:rsidRPr="00AE0B3D">
        <w:rPr>
          <w:noProof/>
        </w:rPr>
        <w:t xml:space="preserve">. The theory can thus facilitae evaluating how the management remuneration package is associated with the financial perfomance of the organisation. </w:t>
      </w:r>
    </w:p>
    <w:p w14:paraId="31D4EE5F" w14:textId="3FFB832E" w:rsidR="00845D51" w:rsidRDefault="000D1E85" w:rsidP="00845D51">
      <w:pPr>
        <w:rPr>
          <w:noProof/>
        </w:rPr>
      </w:pPr>
      <w:r w:rsidRPr="00AE0B3D">
        <w:rPr>
          <w:rFonts w:cs="Times New Roman"/>
        </w:rPr>
        <w:lastRenderedPageBreak/>
        <w:t>There are various factors that are considered to impact the financial performance of the organization</w:t>
      </w:r>
      <w:r w:rsidR="008814C9">
        <w:rPr>
          <w:rFonts w:cs="Times New Roman"/>
        </w:rPr>
        <w:t xml:space="preserve"> when considering the global business environment.</w:t>
      </w:r>
      <w:r w:rsidR="008814C9" w:rsidRPr="00AE0B3D">
        <w:rPr>
          <w:rFonts w:cs="Times New Roman"/>
        </w:rPr>
        <w:t xml:space="preserve"> </w:t>
      </w:r>
      <w:r w:rsidRPr="00AE0B3D">
        <w:rPr>
          <w:rFonts w:cs="Times New Roman"/>
        </w:rPr>
        <w:t xml:space="preserve">Remuneration of the employees is considered one of the factors that </w:t>
      </w:r>
      <w:r w:rsidR="00B21E43" w:rsidRPr="00AE0B3D">
        <w:rPr>
          <w:rFonts w:cs="Times New Roman"/>
          <w:noProof/>
        </w:rPr>
        <w:t>influence</w:t>
      </w:r>
      <w:r w:rsidRPr="00AE0B3D">
        <w:rPr>
          <w:rFonts w:cs="Times New Roman"/>
        </w:rPr>
        <w:t xml:space="preserve"> the financial performance of the organization</w:t>
      </w:r>
      <w:r w:rsidR="00124C1B" w:rsidRPr="00AE0B3D">
        <w:rPr>
          <w:rFonts w:cs="Times New Roman"/>
        </w:rPr>
        <w:t xml:space="preserve"> </w:t>
      </w:r>
      <w:r w:rsidR="00124C1B" w:rsidRPr="00AE0B3D">
        <w:rPr>
          <w:rStyle w:val="fontstyle01"/>
          <w:rFonts w:ascii="Times New Roman" w:hAnsi="Times New Roman" w:cs="Times New Roman"/>
          <w:noProof/>
          <w:color w:val="auto"/>
        </w:rPr>
        <w:fldChar w:fldCharType="begin" w:fldLock="1"/>
      </w:r>
      <w:r w:rsidR="00955099">
        <w:rPr>
          <w:rStyle w:val="fontstyle01"/>
          <w:rFonts w:ascii="Times New Roman" w:hAnsi="Times New Roman" w:cs="Times New Roman"/>
          <w:noProof/>
          <w:color w:val="auto"/>
        </w:rPr>
        <w:instrText>ADDIN CSL_CITATION {"citationItems":[{"id":"ITEM-1","itemData":{"DOI":"10.1108/14637150810903084","ISSN":"14637154","abstract":"Abstract Purpose – Extensive literature on business process management suggests that organizations could enhance their overall performance by adopting a process view of business. However, there is a lack of empirical research in this field. The purpose of this paper is to investigate the understanding of the process view and process maturity levels in a transition economy and to test the impact of process orientation maturity level on organizational performance. Design/methodology/approach – Empirical investigation combined an exploratory-confirmatory approach using factor analysis and structural equation modeling. Findings – The investigation confirms the impact of business process orientation on organizational performance in a transition economy. The link is even stronger than in the original investigation. The results show that business process orientation leads to better non-financial performance and indirectly to better financial performance. Practical implications – The research confirms that business process orientation is advantageous for companies since it has a positive influence on organizational performance. The finding that the impact on financial performance is indirect through non-financial performance suggests that the companies have to take that view of performance into consideration as well. Originality/value – The paper is valuable for academics and practitioners because the impact of business process orientation on organizational performance has been confirmed for a transitional economy. Its originality is in the measurement of organizational performance, for which a more detailed specification of organizational performance based on the balanced scorecard concept that includes non-financial performance measures has been used.","author":[{"dropping-particle":"","family":"Škrinjar","given":"Rok","non-dropping-particle":"","parse-names":false,"suffix":""},{"dropping-particle":"","family":"Bosilj-Vukšić","given":"Vesna","non-dropping-particle":"","parse-names":false,"suffix":""},{"dropping-particle":"","family":"Indihar-Štemberger","given":"Mojca","non-dropping-particle":"","parse-names":false,"suffix":""}],"container-title":"Business Process Management Journal","id":"ITEM-1","issue":"5","issued":{"date-parts":[["2008"]]},"page":"738-754","title":"The impact of business process orientation on financial and non-financial performance","type":"article-journal","volume":"14"},"uris":["http://www.mendeley.com/documents/?uuid=07f10bf4-a6ab-474c-af25-b35869fed1fb"]},{"id":"ITEM-2","itemData":{"DOI":"10.1016/j.jbusres.2014.06.024","ISBN":"01482963","ISSN":"01482963","PMID":"99792656","abstract":"Direct relationship between corporate social responsibility (CSR) and firm performance has been examined by many scholars, but this direct test seems to be spurious and imprecise. This is because many factors indirectly influence this relation. Therefore, this study considers sustainable competitive advantage, reputation, and customer satisfaction as three probable mediators in the relationship between CSR and firm performance. The findings from 205 Iranian manufacturing and consumer product firms reveal that the link between CSR and firm performance is a fully mediated relationship. The positive effect of CSR on firm performance is due to the positive effect CSR has on competitive advantage, reputation, and customer satisfaction. The final findings show that only reputation and competitive advantage mediate the relationship between CSR and firm performance. Taken together, these findings suggest a role for CSR in indirectly promoting firm performance through enhancing reputation and competitive advantage while improving the level of customer satisfaction.","author":[{"dropping-particle":"","family":"Saeidi","given":"Sayedeh Parastoo","non-dropping-particle":"","parse-names":false,"suffix":""},{"dropping-particle":"","family":"Sofian","given":"Saudah","non-dropping-particle":"","parse-names":false,"suffix":""},{"dropping-particle":"","family":"Saeidi","given":"Parvaneh","non-dropping-particle":"","parse-names":false,"suffix":""},{"dropping-particle":"","family":"Saeidi","given":"Sayyedeh Parisa","non-dropping-particle":"","parse-names":false,"suffix":""},{"dropping-particle":"","family":"Saaeidi","given":"Seyyed Alireza","non-dropping-particle":"","parse-names":false,"suffix":""}],"container-title":"Journal of Business Research","id":"ITEM-2","issue":"2","issued":{"date-parts":[["2015"]]},"page":"341-350","title":"How does corporate social responsibility contribute to firm financial performance? The mediating role of competitive advantage, reputation, and customer satisfaction","type":"article-journal","volume":"68"},"uris":["http://www.mendeley.com/documents/?uuid=ac5bbf34-f3cf-4f42-9010-b85d8398632c"]}],"mendeley":{"formattedCitation":"(Saeidi et al., 2015; Škrinjar et al., 2008)","manualFormatting":"(Saeidi et al. 2015)","plainTextFormattedCitation":"(Saeidi et al., 2015; Škrinjar et al., 2008)","previouslyFormattedCitation":"(Saeidi et al., 2015; Škrinjar et al., 2008)"},"properties":{"noteIndex":0},"schema":"https://github.com/citation-style-language/schema/raw/master/csl-citation.json"}</w:instrText>
      </w:r>
      <w:r w:rsidR="00124C1B" w:rsidRPr="00AE0B3D">
        <w:rPr>
          <w:rStyle w:val="fontstyle01"/>
          <w:rFonts w:ascii="Times New Roman" w:hAnsi="Times New Roman" w:cs="Times New Roman"/>
          <w:noProof/>
          <w:color w:val="auto"/>
        </w:rPr>
        <w:fldChar w:fldCharType="separate"/>
      </w:r>
      <w:r w:rsidR="00A16FB8">
        <w:rPr>
          <w:rStyle w:val="fontstyle01"/>
          <w:rFonts w:ascii="Times New Roman" w:hAnsi="Times New Roman" w:cs="Times New Roman"/>
          <w:noProof/>
          <w:color w:val="auto"/>
        </w:rPr>
        <w:t xml:space="preserve">(Saeidi </w:t>
      </w:r>
      <w:r w:rsidR="00A16FB8" w:rsidRPr="006B3E1F">
        <w:rPr>
          <w:rFonts w:cs="Times New Roman"/>
          <w:noProof/>
        </w:rPr>
        <w:t>et al.</w:t>
      </w:r>
      <w:r w:rsidR="00124C1B" w:rsidRPr="00AE0B3D">
        <w:rPr>
          <w:rStyle w:val="fontstyle01"/>
          <w:rFonts w:ascii="Times New Roman" w:hAnsi="Times New Roman" w:cs="Times New Roman"/>
          <w:noProof/>
          <w:color w:val="auto"/>
        </w:rPr>
        <w:t xml:space="preserve"> 2015)</w:t>
      </w:r>
      <w:r w:rsidR="00124C1B" w:rsidRPr="00AE0B3D">
        <w:rPr>
          <w:rStyle w:val="fontstyle01"/>
          <w:rFonts w:ascii="Times New Roman" w:hAnsi="Times New Roman" w:cs="Times New Roman"/>
          <w:noProof/>
          <w:color w:val="auto"/>
        </w:rPr>
        <w:fldChar w:fldCharType="end"/>
      </w:r>
      <w:r w:rsidRPr="00AE0B3D">
        <w:rPr>
          <w:rFonts w:cs="Times New Roman"/>
        </w:rPr>
        <w:t xml:space="preserve">. </w:t>
      </w:r>
      <w:r w:rsidR="00FF75F0" w:rsidRPr="00AE0B3D">
        <w:rPr>
          <w:rStyle w:val="fontstyle01"/>
          <w:rFonts w:ascii="Times New Roman" w:hAnsi="Times New Roman" w:cs="Times New Roman"/>
          <w:color w:val="auto"/>
        </w:rPr>
        <w:t xml:space="preserve">The research aims to ascertain if </w:t>
      </w:r>
      <w:r w:rsidR="00C95619" w:rsidRPr="00AE0B3D">
        <w:rPr>
          <w:rStyle w:val="fontstyle01"/>
          <w:rFonts w:ascii="Times New Roman" w:hAnsi="Times New Roman" w:cs="Times New Roman"/>
          <w:color w:val="auto"/>
        </w:rPr>
        <w:t xml:space="preserve">management </w:t>
      </w:r>
      <w:r w:rsidR="00FF75F0" w:rsidRPr="00AE0B3D">
        <w:rPr>
          <w:rStyle w:val="fontstyle01"/>
          <w:rFonts w:ascii="Times New Roman" w:hAnsi="Times New Roman" w:cs="Times New Roman"/>
          <w:color w:val="auto"/>
        </w:rPr>
        <w:t>remuneration</w:t>
      </w:r>
      <w:r w:rsidR="00961CAA" w:rsidRPr="00AE0B3D">
        <w:rPr>
          <w:rStyle w:val="fontstyle01"/>
          <w:rFonts w:ascii="Times New Roman" w:hAnsi="Times New Roman" w:cs="Times New Roman"/>
          <w:color w:val="auto"/>
        </w:rPr>
        <w:t xml:space="preserve"> </w:t>
      </w:r>
      <w:r w:rsidR="00FF75F0" w:rsidRPr="00AE0B3D">
        <w:rPr>
          <w:rStyle w:val="fontstyle01"/>
          <w:rFonts w:ascii="Times New Roman" w:hAnsi="Times New Roman" w:cs="Times New Roman"/>
          <w:color w:val="auto"/>
        </w:rPr>
        <w:t xml:space="preserve">is a motivational factor for </w:t>
      </w:r>
      <w:r w:rsidR="00BD1C47" w:rsidRPr="00AE0B3D">
        <w:rPr>
          <w:rStyle w:val="fontstyle01"/>
          <w:rFonts w:ascii="Times New Roman" w:hAnsi="Times New Roman" w:cs="Times New Roman"/>
          <w:color w:val="auto"/>
        </w:rPr>
        <w:t xml:space="preserve">the </w:t>
      </w:r>
      <w:r w:rsidR="00FF75F0" w:rsidRPr="00AE0B3D">
        <w:rPr>
          <w:rStyle w:val="fontstyle01"/>
          <w:rFonts w:ascii="Times New Roman" w:hAnsi="Times New Roman" w:cs="Times New Roman"/>
          <w:noProof/>
          <w:color w:val="auto"/>
        </w:rPr>
        <w:t>improvement</w:t>
      </w:r>
      <w:r w:rsidR="00FF75F0" w:rsidRPr="00AE0B3D">
        <w:rPr>
          <w:rStyle w:val="fontstyle01"/>
          <w:rFonts w:ascii="Times New Roman" w:hAnsi="Times New Roman" w:cs="Times New Roman"/>
          <w:color w:val="auto"/>
        </w:rPr>
        <w:t xml:space="preserve"> of the </w:t>
      </w:r>
      <w:r w:rsidR="00945CC1" w:rsidRPr="00AE0B3D">
        <w:rPr>
          <w:rStyle w:val="fontstyle01"/>
          <w:rFonts w:ascii="Times New Roman" w:hAnsi="Times New Roman" w:cs="Times New Roman"/>
          <w:color w:val="auto"/>
        </w:rPr>
        <w:t>financial performance of an organisation</w:t>
      </w:r>
      <w:r w:rsidR="0062785F">
        <w:rPr>
          <w:rStyle w:val="fontstyle01"/>
          <w:rFonts w:ascii="Times New Roman" w:hAnsi="Times New Roman" w:cs="Times New Roman"/>
          <w:color w:val="auto"/>
        </w:rPr>
        <w:t xml:space="preserve"> in the Iranian manufacturing and consumer products sectors</w:t>
      </w:r>
      <w:r w:rsidR="00CE2F74" w:rsidRPr="00AE0B3D">
        <w:rPr>
          <w:rStyle w:val="fontstyle01"/>
          <w:rFonts w:ascii="Times New Roman" w:hAnsi="Times New Roman" w:cs="Times New Roman"/>
          <w:noProof/>
          <w:color w:val="auto"/>
        </w:rPr>
        <w:t xml:space="preserve">. </w:t>
      </w:r>
      <w:r w:rsidRPr="00AE0B3D">
        <w:rPr>
          <w:rFonts w:cs="Times New Roman"/>
        </w:rPr>
        <w:t xml:space="preserve">Previous studies have shown </w:t>
      </w:r>
      <w:r w:rsidR="00BD1C47" w:rsidRPr="00AE0B3D">
        <w:rPr>
          <w:rFonts w:cs="Times New Roman"/>
        </w:rPr>
        <w:t xml:space="preserve">a </w:t>
      </w:r>
      <w:r w:rsidRPr="00AE0B3D">
        <w:rPr>
          <w:rFonts w:cs="Times New Roman"/>
          <w:noProof/>
        </w:rPr>
        <w:t>positive</w:t>
      </w:r>
      <w:r w:rsidRPr="00AE0B3D">
        <w:rPr>
          <w:rFonts w:cs="Times New Roman"/>
        </w:rPr>
        <w:t xml:space="preserve"> correlation between the </w:t>
      </w:r>
      <w:r w:rsidR="00C95619" w:rsidRPr="00AE0B3D">
        <w:rPr>
          <w:rFonts w:cs="Times New Roman"/>
        </w:rPr>
        <w:t xml:space="preserve">management </w:t>
      </w:r>
      <w:r w:rsidRPr="00AE0B3D">
        <w:rPr>
          <w:rFonts w:cs="Times New Roman"/>
        </w:rPr>
        <w:t>remuneration and financial performance of the organization</w:t>
      </w:r>
      <w:r w:rsidR="00E00F01" w:rsidRPr="00AE0B3D">
        <w:rPr>
          <w:rFonts w:cs="Times New Roman"/>
        </w:rPr>
        <w:t xml:space="preserve"> </w:t>
      </w:r>
      <w:r w:rsidR="00E00F01" w:rsidRPr="00AE0B3D">
        <w:rPr>
          <w:rFonts w:cs="Times New Roman"/>
        </w:rPr>
        <w:fldChar w:fldCharType="begin" w:fldLock="1"/>
      </w:r>
      <w:r w:rsidR="00BD7F46">
        <w:rPr>
          <w:rFonts w:cs="Times New Roman"/>
        </w:rPr>
        <w:instrText>ADDIN CSL_CITATION {"citationItems":[{"id":"ITEM-1","itemData":{"DOI":"10.6007/ijarafms/v4-i1/630","ISSN":"2225-8329","abstract":"Motivation plays an important role in all public and private organizations. Without motivating their employees organizations can't run and can't achieve their goals. Purpose of present study is to explore the impact of motivation on employee's performance of beverage industry in Pakistan. The data for present study has been collected from five major cities of Pakistan using structured questionnaire. Results from present study explores that motivation plays a vital role toward the performance of employees in beverage industry of Pakistan.","author":[{"dropping-particle":"","family":"Zameer","given":"Hashim","non-dropping-particle":"","parse-names":false,"suffix":""},{"dropping-particle":"","family":"Alireza","given":"Shehzad","non-dropping-particle":"","parse-names":false,"suffix":""},{"dropping-particle":"","family":"Nisar","given":"Waqar","non-dropping-particle":"","parse-names":false,"suffix":""},{"dropping-particle":"","family":"Amir","given":"Muhammad","non-dropping-particle":"","parse-names":false,"suffix":""}],"container-title":"International Journal of Academic Research in Accounting, Finance and Management Sciences","id":"ITEM-1","issue":"1","issued":{"date-parts":[["2014"]]},"page":"293-298","title":"The Impact of the Motivation on the Employeeâ™s Performance in Beverage Industry of Pakistan","type":"article-journal","volume":"4"},"uris":["http://www.mendeley.com/documents/?uuid=76654b53-1b0c-4f7a-be65-9d76183624eb"]},{"id":"ITEM-2","itemData":{"author":[{"dropping-particle":"","family":"Shields","given":"J","non-dropping-particle":"","parse-names":false,"suffix":""},{"dropping-particle":"","family":"Brown","given":"M","non-dropping-particle":"","parse-names":false,"suffix":""},{"dropping-particle":"","family":"Kaine","given":"S","non-dropping-particle":"","parse-names":false,"suffix":""},{"dropping-particle":"","family":"Dolle-Samuel","given":"C","non-dropping-particle":"","parse-names":false,"suffix":""}],"id":"ITEM-2","issued":{"date-parts":[["2015"]]},"title":"Managing employee performance ; reward: Concepts, practices, strategies","type":"book"},"uris":["http://www.mendeley.com/documents/?uuid=18d3c56b-3582-3986-94be-019e571d5a04"]},{"id":"ITEM-3","itemData":{"DOI":"10.1002/hrm","ISBN":"9780708713815","ISSN":"00782696","PMID":"21138203","abstract":"Organizations are increasingly required to improve their ability to enhance employees’ support or acceptance for change initiatives. In studies that have examined the conditions in which employees support organizational change, researchers have focused on various attitudinal constructs that rep- resent employees’ attitudes toward organizational change. The constructs, which frequently serve as key variables in these studies, include readiness for change, commitment to change, openness to change, and cynicism about organizational change. These constructs have distinct meanings and empha- ses and therefore they can provide us with different information regarding employees’ evaluation of and concerns about particular change initiatives. In this literature review, the author discusses how the constructs are defi ned in the organizational change literature and synthesizes the antecedents of each construct. Based on the discussion, it is proposed that the constructs are susceptible to situational variables, and may change over time as individuals’ experiences change; therefore, they are better conceptualized as states than as personality traits.","author":[{"dropping-particle":"","family":"Ahammad","given":"Faisal M.","non-dropping-particle":"","parse-names":false,"suffix":""},{"dropping-particle":"","family":"Lee","given":"S. Mook","non-dropping-particle":"","parse-names":false,"suffix":""},{"dropping-particle":"","family":"Malul","given":"M.","non-dropping-particle":"","parse-names":false,"suffix":""},{"dropping-particle":"","family":"Shoham","given":"A","non-dropping-particle":"","parse-names":false,"suffix":""}],"container-title":"Human Resource Management","id":"ITEM-3","issue":"1","issued":{"date-parts":[["2015"]]},"page":"s45-s62","title":"Behavioral ambidexterity: The impact of incentive schemes on productivity, motivation, and performance of employees in commercial banks","type":"article-journal","volume":"54"},"uris":["http://www.mendeley.com/documents/?uuid=46265c8e-307b-4949-9517-4b77072db73c"]},{"id":"ITEM-4","itemData":{"abstract":"A B S T R A C T It is often believed that it is the role of the executive directors of a company to create value and profits for the company. The question arises: should directors then receive an increase and performance-related remuneration if value is not created? This article examines the relationship between short-term executive compensation and company performance for a sample of companies listed on the Alternative Exchange (AltX) in South Africa between 2003 and 2010. Evidence is provided that there is a strong relationship between executive remuneration and some company performance variables, such as total assets, turnover and share price. The corporate governance measures and disclosure requirements applicable to executive remuneration are also examined.","author":[{"dropping-particle":"","family":"Scholtz","given":"H E","non-dropping-particle":"","parse-names":false,"suffix":""},{"dropping-particle":"","family":"Smit","given":"A","non-dropping-particle":"","parse-names":false,"suffix":""}],"container-title":"Southern African Business Review","id":"ITEM-4","issue":"1","issued":{"date-parts":[["2012"]]},"page":"22-38","title":"Executive remuneration and company performance for South African companies listed on the Alternative Exchange (AltX)","type":"article-journal","volume":"16"},"uris":["http://www.mendeley.com/documents/?uuid=48395c31-094d-4e28-9935-da5d093dd287"]}],"mendeley":{"formattedCitation":"(Ahammad et al., 2015; Scholtz &amp; Smit, 2012; Shields et al., 2015; Zameer et al., 2014)","manualFormatting":"(Ahammad et al., 2015; Scholtz &amp; Smit, 2012; Shields et al., 2015; Zameer et al., 2014)","plainTextFormattedCitation":"(Ahammad et al., 2015; Scholtz &amp; Smit, 2012; Shields et al., 2015; Zameer et al., 2014)","previouslyFormattedCitation":"(Ahammad et al., 2015; Scholtz &amp; Smit, 2012; Shields et al., 2015; Zameer et al., 2014)"},"properties":{"noteIndex":0},"schema":"https://github.com/citation-style-language/schema/raw/master/csl-citation.json"}</w:instrText>
      </w:r>
      <w:r w:rsidR="00E00F01" w:rsidRPr="00AE0B3D">
        <w:rPr>
          <w:rFonts w:cs="Times New Roman"/>
        </w:rPr>
        <w:fldChar w:fldCharType="separate"/>
      </w:r>
      <w:r w:rsidR="00A40B79" w:rsidRPr="00AE0B3D">
        <w:rPr>
          <w:rFonts w:cs="Times New Roman"/>
          <w:noProof/>
        </w:rPr>
        <w:t>(Ahammad et al., 2015; Scholtz &amp; Smit, 201</w:t>
      </w:r>
      <w:r w:rsidR="00A16FB8">
        <w:rPr>
          <w:rFonts w:cs="Times New Roman"/>
          <w:noProof/>
        </w:rPr>
        <w:t>2; Shields et al., 2015; Zameer</w:t>
      </w:r>
      <w:r w:rsidR="00A40B79" w:rsidRPr="00AE0B3D">
        <w:rPr>
          <w:rFonts w:cs="Times New Roman"/>
          <w:noProof/>
        </w:rPr>
        <w:t xml:space="preserve"> </w:t>
      </w:r>
      <w:r w:rsidR="00A16FB8" w:rsidRPr="006B3E1F">
        <w:rPr>
          <w:rFonts w:cs="Times New Roman"/>
          <w:noProof/>
        </w:rPr>
        <w:t>et al.</w:t>
      </w:r>
      <w:r w:rsidR="00A40B79" w:rsidRPr="00AE0B3D">
        <w:rPr>
          <w:rFonts w:cs="Times New Roman"/>
          <w:noProof/>
        </w:rPr>
        <w:t>, 2014)</w:t>
      </w:r>
      <w:r w:rsidR="00E00F01" w:rsidRPr="00AE0B3D">
        <w:rPr>
          <w:rFonts w:cs="Times New Roman"/>
        </w:rPr>
        <w:fldChar w:fldCharType="end"/>
      </w:r>
      <w:r w:rsidRPr="00AE0B3D">
        <w:rPr>
          <w:rFonts w:cs="Times New Roman"/>
        </w:rPr>
        <w:t>.</w:t>
      </w:r>
      <w:r w:rsidR="00A27F59">
        <w:rPr>
          <w:rFonts w:cs="Times New Roman"/>
        </w:rPr>
        <w:t xml:space="preserve"> </w:t>
      </w:r>
      <w:r w:rsidR="00173D2B">
        <w:rPr>
          <w:rFonts w:cs="Times New Roman"/>
          <w:noProof/>
        </w:rPr>
        <w:t>Scholtz and Smit (</w:t>
      </w:r>
      <w:r w:rsidR="00173D2B" w:rsidRPr="00AE0B3D">
        <w:rPr>
          <w:rFonts w:cs="Times New Roman"/>
          <w:noProof/>
        </w:rPr>
        <w:t>201</w:t>
      </w:r>
      <w:r w:rsidR="00173D2B">
        <w:rPr>
          <w:rFonts w:cs="Times New Roman"/>
          <w:noProof/>
        </w:rPr>
        <w:t>2) evaluated the asscoiation between short term</w:t>
      </w:r>
      <w:r w:rsidR="00294C41">
        <w:rPr>
          <w:rFonts w:cs="Times New Roman"/>
          <w:noProof/>
        </w:rPr>
        <w:t xml:space="preserve"> executive compensation with </w:t>
      </w:r>
      <w:r w:rsidR="009A6E2D">
        <w:rPr>
          <w:rFonts w:cs="Times New Roman"/>
          <w:noProof/>
        </w:rPr>
        <w:t>company performance using the context of south Africa comp</w:t>
      </w:r>
      <w:r w:rsidR="00294C41">
        <w:rPr>
          <w:rFonts w:cs="Times New Roman"/>
          <w:noProof/>
        </w:rPr>
        <w:t xml:space="preserve">anies which was reported to be </w:t>
      </w:r>
      <w:r w:rsidR="009A6E2D">
        <w:rPr>
          <w:rFonts w:cs="Times New Roman"/>
          <w:noProof/>
        </w:rPr>
        <w:t xml:space="preserve">significant assocation. </w:t>
      </w:r>
      <w:proofErr w:type="spellStart"/>
      <w:r w:rsidR="00BD43FB">
        <w:rPr>
          <w:rFonts w:cs="Times New Roman"/>
        </w:rPr>
        <w:t>Z</w:t>
      </w:r>
      <w:r w:rsidR="00BD43FB">
        <w:rPr>
          <w:rFonts w:cs="Times New Roman"/>
          <w:noProof/>
        </w:rPr>
        <w:t>ameer</w:t>
      </w:r>
      <w:proofErr w:type="spellEnd"/>
      <w:r w:rsidR="00BD43FB" w:rsidRPr="00AE0B3D">
        <w:rPr>
          <w:rFonts w:cs="Times New Roman"/>
          <w:noProof/>
        </w:rPr>
        <w:t xml:space="preserve"> </w:t>
      </w:r>
      <w:r w:rsidR="00BD43FB" w:rsidRPr="006B3E1F">
        <w:rPr>
          <w:rFonts w:cs="Times New Roman"/>
          <w:noProof/>
        </w:rPr>
        <w:t>et al.</w:t>
      </w:r>
      <w:r w:rsidR="00BD43FB" w:rsidRPr="00AE0B3D">
        <w:rPr>
          <w:rFonts w:cs="Times New Roman"/>
          <w:noProof/>
        </w:rPr>
        <w:t xml:space="preserve">, </w:t>
      </w:r>
      <w:r w:rsidR="00BD43FB">
        <w:rPr>
          <w:rFonts w:cs="Times New Roman"/>
          <w:noProof/>
        </w:rPr>
        <w:t>(</w:t>
      </w:r>
      <w:r w:rsidR="00BD43FB" w:rsidRPr="00AE0B3D">
        <w:rPr>
          <w:rFonts w:cs="Times New Roman"/>
          <w:noProof/>
        </w:rPr>
        <w:t>2014</w:t>
      </w:r>
      <w:r w:rsidR="00BD43FB">
        <w:rPr>
          <w:rFonts w:cs="Times New Roman"/>
          <w:noProof/>
        </w:rPr>
        <w:t>) on the other hand evaluated in the influe</w:t>
      </w:r>
      <w:r w:rsidR="00294C41">
        <w:rPr>
          <w:rFonts w:cs="Times New Roman"/>
          <w:noProof/>
        </w:rPr>
        <w:t xml:space="preserve">nce </w:t>
      </w:r>
      <w:r w:rsidR="00BD43FB">
        <w:rPr>
          <w:rFonts w:cs="Times New Roman"/>
          <w:noProof/>
        </w:rPr>
        <w:t xml:space="preserve">of employees motivation through remuneration on the performnce of employees and organisation using the case of Pakistan. </w:t>
      </w:r>
      <w:r w:rsidR="00294C41">
        <w:rPr>
          <w:rFonts w:cs="Times New Roman"/>
          <w:noProof/>
        </w:rPr>
        <w:t xml:space="preserve">Motivation was found to be an important factor that </w:t>
      </w:r>
      <w:r w:rsidR="00B66418">
        <w:rPr>
          <w:rFonts w:cs="Times New Roman"/>
          <w:noProof/>
        </w:rPr>
        <w:t>has effect</w:t>
      </w:r>
      <w:r w:rsidR="00294C41">
        <w:rPr>
          <w:rFonts w:cs="Times New Roman"/>
          <w:noProof/>
        </w:rPr>
        <w:t xml:space="preserve"> </w:t>
      </w:r>
      <w:r w:rsidR="00B66418">
        <w:rPr>
          <w:rFonts w:cs="Times New Roman"/>
          <w:noProof/>
        </w:rPr>
        <w:t xml:space="preserve">on </w:t>
      </w:r>
      <w:r w:rsidR="00294C41">
        <w:rPr>
          <w:rFonts w:cs="Times New Roman"/>
          <w:noProof/>
        </w:rPr>
        <w:t xml:space="preserve">perfomance. </w:t>
      </w:r>
      <w:r w:rsidR="00845D51">
        <w:rPr>
          <w:rFonts w:cs="Times New Roman"/>
          <w:noProof/>
        </w:rPr>
        <w:t>Nyberg</w:t>
      </w:r>
      <w:r w:rsidR="00845D51" w:rsidRPr="00AE0B3D">
        <w:rPr>
          <w:rFonts w:cs="Times New Roman"/>
          <w:noProof/>
        </w:rPr>
        <w:t xml:space="preserve"> et al. </w:t>
      </w:r>
      <w:r w:rsidR="00845D51" w:rsidRPr="00AE0B3D">
        <w:rPr>
          <w:rFonts w:cs="Times New Roman"/>
          <w:noProof/>
        </w:rPr>
        <w:fldChar w:fldCharType="begin" w:fldLock="1"/>
      </w:r>
      <w:r w:rsidR="00845D51">
        <w:rPr>
          <w:rFonts w:cs="Times New Roman"/>
          <w:noProof/>
        </w:rPr>
        <w:instrText>ADDIN CSL_CITATION {"citationItems":[{"id":"ITEM-1","itemData":{"DOI":"10.1177/0149206313515520","ISBN":"0149206313","ISSN":"0149-2063","abstract":"Although pay-for-performance’s potential effect on employee performance is a compelling issue, understanding this dynamic has been constrained by narrow approaches to pay-for-performance conceptualization, measurement, and surrounding conditions. In response, we take a more nuanced perspective by integrating fundamental principles of economics and psychology to identify and incorporate employee characteristics, job characteristics, pay system characteristics, and pay system experience into a contingency model of the pay-for-performance–future performance relationship. We test the role that these four key contextual factors play in pay-for-performance effectiveness using 11,939 employees over a 5-year period. We find that merit and bonus pay, as well as their multiyear trends, are positively associated with future employee performance. Furthermore, our findings indicate that, contrary to what traditional economic perspectives would predict, bonus pay may have a stronger effect on future performance than merit pay. Our results also support a contingency approach to pay-for-performance’s impact on future employee performance, as we find that merit pay and bonus pay can substitute for each other and that the strength of pay-for-performance’s effect is a function of employee tenure, the pay-for-performance trend over time, and job type (presumably due to differences in the measurability of employee performance across jobs). [ABSTRACT FROM AUTHOR]","author":[{"dropping-particle":"","family":"Nyberg","given":"Anthony J.","non-dropping-particle":"","parse-names":false,"suffix":""},{"dropping-particle":"","family":"Pieper","given":"Jenna R.","non-dropping-particle":"","parse-names":false,"suffix":""},{"dropping-particle":"","family":"Trevor","given":"Charlie O.","non-dropping-particle":"","parse-names":false,"suffix":""}],"container-title":"Journal of Management","id":"ITEM-1","issue":"7","issued":{"date-parts":[["2016"]]},"number-of-pages":"1753-1783","title":"Pay-for-Performance’s Effect on Future Employee Performance : Integrating Psychological and Economic Principles Toward a Contingency Perspective","type":"book","volume":"42"},"uris":["http://www.mendeley.com/documents/?uuid=56309dfe-0c16-4a2f-ab46-e044f179ae2c"]}],"mendeley":{"formattedCitation":"(Nyberg et al., 2016)","manualFormatting":"(2016)","plainTextFormattedCitation":"(Nyberg et al., 2016)","previouslyFormattedCitation":"(Nyberg et al., 2016)"},"properties":{"noteIndex":0},"schema":"https://github.com/citation-style-language/schema/raw/master/csl-citation.json"}</w:instrText>
      </w:r>
      <w:r w:rsidR="00845D51" w:rsidRPr="00AE0B3D">
        <w:rPr>
          <w:rFonts w:cs="Times New Roman"/>
          <w:noProof/>
        </w:rPr>
        <w:fldChar w:fldCharType="separate"/>
      </w:r>
      <w:r w:rsidR="00845D51" w:rsidRPr="00AE0B3D">
        <w:rPr>
          <w:rFonts w:cs="Times New Roman"/>
          <w:noProof/>
        </w:rPr>
        <w:t>(2016)</w:t>
      </w:r>
      <w:r w:rsidR="00845D51" w:rsidRPr="00AE0B3D">
        <w:rPr>
          <w:rFonts w:cs="Times New Roman"/>
          <w:noProof/>
        </w:rPr>
        <w:fldChar w:fldCharType="end"/>
      </w:r>
      <w:r w:rsidR="00845D51" w:rsidRPr="00AE0B3D">
        <w:rPr>
          <w:rFonts w:cs="Times New Roman"/>
          <w:noProof/>
        </w:rPr>
        <w:t xml:space="preserve"> </w:t>
      </w:r>
      <w:r w:rsidR="00845D51">
        <w:rPr>
          <w:noProof/>
        </w:rPr>
        <w:t xml:space="preserve">evaluated the insurance company in the United States of America, reported a positive correlation between employee  remuneration  that is merit pay and bonus on employee and organisation perfomance. </w:t>
      </w:r>
      <w:r w:rsidR="00845D51" w:rsidRPr="00AE0B3D">
        <w:rPr>
          <w:rFonts w:cs="Times New Roman"/>
          <w:noProof/>
        </w:rPr>
        <w:t xml:space="preserve">De Gieter and Hofmans </w:t>
      </w:r>
      <w:r w:rsidR="00845D51" w:rsidRPr="00AE0B3D">
        <w:rPr>
          <w:rFonts w:cs="Times New Roman"/>
          <w:noProof/>
        </w:rPr>
        <w:fldChar w:fldCharType="begin" w:fldLock="1"/>
      </w:r>
      <w:r w:rsidR="00845D51" w:rsidRPr="00AE0B3D">
        <w:rPr>
          <w:rFonts w:cs="Times New Roman"/>
          <w:noProof/>
        </w:rPr>
        <w:instrText>ADDIN CSL_CITATION {"citationItems":[{"id":"ITEM-1","itemData":{"DOI":"10.1111/1748-8583.12072","ISBN":"1748-8583","ISSN":"17488583","abstract":"We challenge the assumption that satisfaction with rewards has the same effect on the behaviour and attitudes of every employee, and hypothesise that there are individual differences in the effects of (satisfaction with) financial, material and psychological rewards on turnover intentions and task performance. Survey data from 179 employees are combined with supervisor-rated task performance data and analysed with cluster-wise regression analysis. As for task performance, no employee types or individual differences were found. However, we identified three different employee types revealing a unique relationship pattern between satisfaction with financial, material and psychological rewards and turnover intentions. These employee types also differed in socio-demographic characteristics and work values. Our findings illustrate that to be able to fully understand the underlying relationship between rewards and employee outcomes, scholars need to adopt an individual difference perspective and methodology. Implications for practice, limitations and opportunities for future studies are discussed.","author":[{"dropping-particle":"","family":"Gieter","given":"Sara","non-dropping-particle":"De","parse-names":false,"suffix":""},{"dropping-particle":"","family":"Hofmans","given":"Joeri","non-dropping-particle":"","parse-names":false,"suffix":""}],"container-title":"Human Resource Management Journal","id":"ITEM-1","issue":"2","issued":{"date-parts":[["2015"]]},"page":"200-216","title":"How reward satisfaction affects employees’ turnover intentions and performance: an individual differences approach","type":"article-journal","volume":"25"},"uris":["http://www.mendeley.com/documents/?uuid=8c97ab07-6317-46b8-9524-6695d648d310"]}],"mendeley":{"formattedCitation":"(De Gieter &amp; Hofmans, 2015)","manualFormatting":"(2015)","plainTextFormattedCitation":"(De Gieter &amp; Hofmans, 2015)","previouslyFormattedCitation":"(De Gieter &amp; Hofmans, 2015)"},"properties":{"noteIndex":0},"schema":"https://github.com/citation-style-language/schema/raw/master/csl-citation.json"}</w:instrText>
      </w:r>
      <w:r w:rsidR="00845D51" w:rsidRPr="00AE0B3D">
        <w:rPr>
          <w:rFonts w:cs="Times New Roman"/>
          <w:noProof/>
        </w:rPr>
        <w:fldChar w:fldCharType="separate"/>
      </w:r>
      <w:r w:rsidR="00845D51" w:rsidRPr="00AE0B3D">
        <w:rPr>
          <w:rFonts w:cs="Times New Roman"/>
          <w:noProof/>
        </w:rPr>
        <w:t>(2015)</w:t>
      </w:r>
      <w:r w:rsidR="00845D51" w:rsidRPr="00AE0B3D">
        <w:rPr>
          <w:rFonts w:cs="Times New Roman"/>
          <w:noProof/>
        </w:rPr>
        <w:fldChar w:fldCharType="end"/>
      </w:r>
      <w:r w:rsidR="00845D51">
        <w:rPr>
          <w:noProof/>
        </w:rPr>
        <w:t xml:space="preserve"> in evaluating of the Belgian financial institution reported that reward satisfaction  influence perfomance of organisation. </w:t>
      </w:r>
    </w:p>
    <w:p w14:paraId="50C9853B" w14:textId="4C1BD2A9" w:rsidR="00845D51" w:rsidRDefault="00845D51" w:rsidP="00845D51">
      <w:pPr>
        <w:rPr>
          <w:noProof/>
        </w:rPr>
      </w:pPr>
      <w:r>
        <w:rPr>
          <w:noProof/>
        </w:rPr>
        <w:t xml:space="preserve">There are also research that have been undertaken in Africa and East africa on the </w:t>
      </w:r>
      <w:r w:rsidR="00B66418">
        <w:rPr>
          <w:noProof/>
        </w:rPr>
        <w:t>effect</w:t>
      </w:r>
      <w:r>
        <w:rPr>
          <w:noProof/>
        </w:rPr>
        <w:t xml:space="preserve"> of remuneration on financial perfomance. </w:t>
      </w:r>
      <w:r w:rsidRPr="00AE0B3D">
        <w:rPr>
          <w:rFonts w:cs="Times New Roman"/>
          <w:noProof/>
        </w:rPr>
        <w:t>Lee and Isa</w:t>
      </w:r>
      <w:r w:rsidRPr="00AE0B3D">
        <w:rPr>
          <w:rFonts w:cs="Times New Roman"/>
        </w:rPr>
        <w:t xml:space="preserve"> </w:t>
      </w:r>
      <w:r w:rsidRPr="00AE0B3D">
        <w:rPr>
          <w:rFonts w:cs="Times New Roman"/>
        </w:rPr>
        <w:fldChar w:fldCharType="begin" w:fldLock="1"/>
      </w:r>
      <w:r w:rsidRPr="00AE0B3D">
        <w:rPr>
          <w:rFonts w:cs="Times New Roman"/>
        </w:rPr>
        <w:instrText>ADDIN CSL_CITATION {"citationItems":[{"id":"ITEM-1","itemData":{"DOI":"http://dx.doi.org/10.1108/MRR-09-2015-0216","ISBN":"1750614111","ISSN":"0264-0473","PMID":"42012058","author":[{"dropping-particle":"","family":"Lee","given":"Siew Peng","non-dropping-particle":"","parse-names":false,"suffix":""},{"dropping-particle":"","family":"Isa","given":"Mansor","non-dropping-particle":"","parse-names":false,"suffix":""}],"container-title":"Managerial Finance","id":"ITEM-1","issue":"1","issued":{"date-parts":[["2014"]]},"page":"26-44","title":"Directors’ remuneration, governance and performance: The case of Malaysian banks","type":"article-journal","volume":"41"},"uris":["http://www.mendeley.com/documents/?uuid=e9182083-cfd3-4b38-9713-e85a7b820c70"]}],"mendeley":{"formattedCitation":"(Lee &amp; Isa, 2014)","manualFormatting":"(2014)","plainTextFormattedCitation":"(Lee &amp; Isa, 2014)","previouslyFormattedCitation":"(Lee &amp; Isa, 2014)"},"properties":{"noteIndex":0},"schema":"https://github.com/citation-style-language/schema/raw/master/csl-citation.json"}</w:instrText>
      </w:r>
      <w:r w:rsidRPr="00AE0B3D">
        <w:rPr>
          <w:rFonts w:cs="Times New Roman"/>
        </w:rPr>
        <w:fldChar w:fldCharType="separate"/>
      </w:r>
      <w:r w:rsidRPr="00AE0B3D">
        <w:rPr>
          <w:rFonts w:cs="Times New Roman"/>
          <w:noProof/>
        </w:rPr>
        <w:t>(2014)</w:t>
      </w:r>
      <w:r w:rsidRPr="00AE0B3D">
        <w:rPr>
          <w:rFonts w:cs="Times New Roman"/>
        </w:rPr>
        <w:fldChar w:fldCharType="end"/>
      </w:r>
      <w:r w:rsidRPr="00AE0B3D">
        <w:rPr>
          <w:rFonts w:cs="Times New Roman"/>
        </w:rPr>
        <w:t xml:space="preserve"> identified that management remuneration </w:t>
      </w:r>
      <w:r w:rsidRPr="00AE0B3D">
        <w:rPr>
          <w:rFonts w:cs="Times New Roman"/>
          <w:noProof/>
        </w:rPr>
        <w:t>has</w:t>
      </w:r>
      <w:r w:rsidRPr="00AE0B3D">
        <w:rPr>
          <w:rFonts w:cs="Times New Roman"/>
        </w:rPr>
        <w:t xml:space="preserve"> a positive correlation with the organisation performance</w:t>
      </w:r>
      <w:r>
        <w:rPr>
          <w:rFonts w:cs="Times New Roman"/>
        </w:rPr>
        <w:t xml:space="preserve"> when evaluating the case of Malaysian banks</w:t>
      </w:r>
      <w:r w:rsidRPr="00AE0B3D">
        <w:rPr>
          <w:rFonts w:cs="Times New Roman"/>
        </w:rPr>
        <w:t>.</w:t>
      </w:r>
      <w:r>
        <w:rPr>
          <w:rFonts w:cs="Times New Roman"/>
        </w:rPr>
        <w:t xml:space="preserve"> </w:t>
      </w:r>
      <w:r>
        <w:rPr>
          <w:rFonts w:cs="Times New Roman"/>
          <w:noProof/>
        </w:rPr>
        <w:t>Vincent et al.</w:t>
      </w:r>
      <w:r>
        <w:rPr>
          <w:rFonts w:cs="Times New Roman"/>
        </w:rPr>
        <w:t xml:space="preserve"> </w:t>
      </w:r>
      <w:r>
        <w:rPr>
          <w:rFonts w:cs="Times New Roman"/>
        </w:rPr>
        <w:fldChar w:fldCharType="begin" w:fldLock="1"/>
      </w:r>
      <w:r w:rsidR="00ED34A7">
        <w:rPr>
          <w:rFonts w:cs="Times New Roman"/>
        </w:rPr>
        <w:instrText>ADDIN CSL_CITATION {"citationItems":[{"id":"ITEM-1","itemData":{"abstract":"Based on Victor Vroom's Expectancy theory, the current study was carried in private secondary schools in Buikwe district of Uganda to examine the influence of remuneration on teachers' performance. A total of 900 respondents participated in the study. Of these, 650 were students who assessed their teachers' performance, while 250 were teachers, who gave responses on their own remuneration. In addition to filling questionnaires, 50 teachers were subjected to oral interviews. The respondents were got from 13 schools out of the 27 private secondary schools in the district. Whereas teachers' remuneration was measured basing on the financial and non-financial benefits given to teachers by their respective employers, their performance was measured basing on the core roles of a teacher, namely teaching, guiding and counselling learners; assessing/marking learners' work; as well as engaging learners in extra-curricular activities. The findings were that there is a significant influence of remuneration on teachers' performance in private secondary schools in Buikwe district, Uganda. It was concluded that since remuneration significantly influences performance, there is need for school founders to appreciate more the efforts of their teachers by attaching more allowances to what their teachers do. This recommendation was directed towards school founders because in private schools the founders are in most cases the ones who determine how to remunerate employees; managers such as head teachers usually dance on the tunes of the institutional founders.","author":[{"dropping-particle":"","family":"Kayindu","given":"Vincent","non-dropping-particle":"","parse-names":false,"suffix":""},{"dropping-particle":"","family":"Asiimwe","given":"Specioza","non-dropping-particle":"","parse-names":false,"suffix":""},{"dropping-particle":"","family":"Bisaso","given":"Ritah","non-dropping-particle":"","parse-names":false,"suffix":""},{"dropping-particle":"","family":"Nakiyingi","given":"Sarah","non-dropping-particle":"","parse-names":false,"suffix":""}],"container-title":"International Journal of Research and Innovation in Social Science","id":"ITEM-1","issue":"3","issued":{"date-parts":[["2020"]]},"page":"41-45","title":"Association between Remuneration and Employee Performance : The Case of Teachers in Private Secondary Schools in Buikwe District , Uganda","type":"article-journal","volume":"4"},"uris":["http://www.mendeley.com/documents/?uuid=a47c28f3-1d06-3a2f-b0ce-ae379637e8c9"]}],"mendeley":{"formattedCitation":"(Kayindu et al., 2020)","manualFormatting":"( 2020)","plainTextFormattedCitation":"(Kayindu et al., 2020)","previouslyFormattedCitation":"(Kayindu et al., 2020)"},"properties":{"noteIndex":0},"schema":"https://github.com/citation-style-language/schema/raw/master/csl-citation.json"}</w:instrText>
      </w:r>
      <w:r>
        <w:rPr>
          <w:rFonts w:cs="Times New Roman"/>
        </w:rPr>
        <w:fldChar w:fldCharType="separate"/>
      </w:r>
      <w:r w:rsidRPr="00845D51">
        <w:rPr>
          <w:rFonts w:cs="Times New Roman"/>
          <w:noProof/>
        </w:rPr>
        <w:t>( 2020)</w:t>
      </w:r>
      <w:r>
        <w:rPr>
          <w:rFonts w:cs="Times New Roman"/>
        </w:rPr>
        <w:fldChar w:fldCharType="end"/>
      </w:r>
      <w:r w:rsidR="00E71C44">
        <w:rPr>
          <w:rFonts w:cs="Times New Roman"/>
        </w:rPr>
        <w:t xml:space="preserve"> reported that the </w:t>
      </w:r>
      <w:r w:rsidR="00E71C44">
        <w:rPr>
          <w:rFonts w:cs="Times New Roman"/>
        </w:rPr>
        <w:lastRenderedPageBreak/>
        <w:t>financial and non-financial</w:t>
      </w:r>
      <w:r w:rsidR="00A2114B">
        <w:rPr>
          <w:rFonts w:cs="Times New Roman"/>
        </w:rPr>
        <w:t xml:space="preserve"> remuneration is positive </w:t>
      </w:r>
      <w:r w:rsidR="007C2AD7">
        <w:rPr>
          <w:rFonts w:cs="Times New Roman"/>
        </w:rPr>
        <w:t xml:space="preserve">and significant influence on employee and organisation performance. The study was undertaken based on </w:t>
      </w:r>
      <w:r w:rsidR="000F5A5A">
        <w:rPr>
          <w:rFonts w:cs="Times New Roman"/>
        </w:rPr>
        <w:t>private secondary</w:t>
      </w:r>
      <w:r w:rsidR="007C2AD7">
        <w:rPr>
          <w:rFonts w:cs="Times New Roman"/>
        </w:rPr>
        <w:t xml:space="preserve"> school in Uganda.</w:t>
      </w:r>
      <w:r w:rsidR="00DC0BA3">
        <w:rPr>
          <w:rFonts w:cs="Times New Roman"/>
        </w:rPr>
        <w:t xml:space="preserve"> </w:t>
      </w:r>
      <w:r w:rsidR="00DC0BA3">
        <w:rPr>
          <w:rFonts w:cs="Times New Roman"/>
          <w:noProof/>
        </w:rPr>
        <w:t>Lotto and Kakozi</w:t>
      </w:r>
      <w:r w:rsidR="007C2AD7">
        <w:rPr>
          <w:rFonts w:cs="Times New Roman"/>
        </w:rPr>
        <w:t xml:space="preserve"> </w:t>
      </w:r>
      <w:r w:rsidR="00DC0BA3">
        <w:rPr>
          <w:rFonts w:cs="Times New Roman"/>
        </w:rPr>
        <w:fldChar w:fldCharType="begin" w:fldLock="1"/>
      </w:r>
      <w:r w:rsidR="00ED34A7">
        <w:rPr>
          <w:rFonts w:cs="Times New Roman"/>
        </w:rPr>
        <w:instrText>ADDIN CSL_CITATION {"citationItems":[{"id":"ITEM-1","itemData":{"author":[{"dropping-particle":"","family":"Lotto","given":"Josephat","non-dropping-particle":"","parse-names":false,"suffix":""},{"dropping-particle":"","family":"Kakozi","given":"Ezra","non-dropping-particle":"","parse-names":false,"suffix":""}],"container-title":"The African Journal of Finance and Management","id":"ITEM-1","issue":"1","issued":{"date-parts":[["2019"]]},"page":"55-65","title":"Determinants of Financial Performance of Tanzanian Banks","type":"article-journal","volume":"25"},"uris":["http://www.mendeley.com/documents/?uuid=d93edd0c-eb51-403d-bc8c-bce94b16fdc9"]}],"mendeley":{"formattedCitation":"(Lotto &amp; Kakozi, 2019)","manualFormatting":"( 2019)","plainTextFormattedCitation":"(Lotto &amp; Kakozi, 2019)","previouslyFormattedCitation":"(Lotto &amp; Kakozi, 2019)"},"properties":{"noteIndex":0},"schema":"https://github.com/citation-style-language/schema/raw/master/csl-citation.json"}</w:instrText>
      </w:r>
      <w:r w:rsidR="00DC0BA3">
        <w:rPr>
          <w:rFonts w:cs="Times New Roman"/>
        </w:rPr>
        <w:fldChar w:fldCharType="separate"/>
      </w:r>
      <w:r w:rsidR="00DC0BA3" w:rsidRPr="00DC0BA3">
        <w:rPr>
          <w:rFonts w:cs="Times New Roman"/>
          <w:noProof/>
        </w:rPr>
        <w:t>( 2019)</w:t>
      </w:r>
      <w:r w:rsidR="00DC0BA3">
        <w:rPr>
          <w:rFonts w:cs="Times New Roman"/>
        </w:rPr>
        <w:fldChar w:fldCharType="end"/>
      </w:r>
      <w:r w:rsidR="006527B6">
        <w:rPr>
          <w:rFonts w:cs="Times New Roman"/>
        </w:rPr>
        <w:t xml:space="preserve"> undertook</w:t>
      </w:r>
      <w:r w:rsidR="00B53540">
        <w:rPr>
          <w:rFonts w:cs="Times New Roman"/>
        </w:rPr>
        <w:t xml:space="preserve"> research study in Tanzania</w:t>
      </w:r>
      <w:r w:rsidR="00B41FD7">
        <w:rPr>
          <w:rFonts w:cs="Times New Roman"/>
        </w:rPr>
        <w:t xml:space="preserve">n banks, and found that incentive packages of management remuneration </w:t>
      </w:r>
      <w:r w:rsidR="00002E53">
        <w:rPr>
          <w:rFonts w:cs="Times New Roman"/>
        </w:rPr>
        <w:t xml:space="preserve">had positive and significant impact on the financial performance of the organisation. </w:t>
      </w:r>
    </w:p>
    <w:p w14:paraId="6C846B4F" w14:textId="40E4BD36" w:rsidR="000D1E85" w:rsidRPr="00AE0B3D" w:rsidRDefault="000D1E85" w:rsidP="008814C9">
      <w:pPr>
        <w:rPr>
          <w:rFonts w:cs="Times New Roman"/>
        </w:rPr>
      </w:pPr>
      <w:r w:rsidRPr="00AE0B3D">
        <w:rPr>
          <w:rFonts w:cs="Times New Roman"/>
        </w:rPr>
        <w:t xml:space="preserve"> Even so, </w:t>
      </w:r>
      <w:r w:rsidR="00BC1F0D">
        <w:rPr>
          <w:rFonts w:cs="Times New Roman"/>
        </w:rPr>
        <w:t>the</w:t>
      </w:r>
      <w:r w:rsidR="00BC1F0D" w:rsidRPr="00AE0B3D">
        <w:rPr>
          <w:rFonts w:cs="Times New Roman"/>
        </w:rPr>
        <w:t xml:space="preserve"> research</w:t>
      </w:r>
      <w:r w:rsidRPr="00AE0B3D">
        <w:rPr>
          <w:rFonts w:cs="Times New Roman"/>
        </w:rPr>
        <w:t xml:space="preserve"> studies have been undertaken in different countries evaluating the relationship between management remuneration and </w:t>
      </w:r>
      <w:r w:rsidR="00172400" w:rsidRPr="00AE0B3D">
        <w:rPr>
          <w:rFonts w:cs="Times New Roman"/>
        </w:rPr>
        <w:t xml:space="preserve">financial </w:t>
      </w:r>
      <w:r w:rsidRPr="00AE0B3D">
        <w:rPr>
          <w:rFonts w:cs="Times New Roman"/>
        </w:rPr>
        <w:t xml:space="preserve">performance. Due to the wide nature of financial performance, the </w:t>
      </w:r>
      <w:r w:rsidR="00B66418">
        <w:rPr>
          <w:rFonts w:cs="Times New Roman"/>
        </w:rPr>
        <w:t>effect</w:t>
      </w:r>
      <w:r w:rsidRPr="00AE0B3D">
        <w:rPr>
          <w:rFonts w:cs="Times New Roman"/>
        </w:rPr>
        <w:t xml:space="preserve"> of management</w:t>
      </w:r>
      <w:r w:rsidR="0077418E" w:rsidRPr="00AE0B3D">
        <w:rPr>
          <w:rFonts w:cs="Times New Roman"/>
        </w:rPr>
        <w:t xml:space="preserve"> remuneration</w:t>
      </w:r>
      <w:r w:rsidRPr="00AE0B3D">
        <w:rPr>
          <w:rFonts w:cs="Times New Roman"/>
        </w:rPr>
        <w:t xml:space="preserve"> on </w:t>
      </w:r>
      <w:r w:rsidR="00BD1C47" w:rsidRPr="00AE0B3D">
        <w:rPr>
          <w:rFonts w:cs="Times New Roman"/>
        </w:rPr>
        <w:t xml:space="preserve">a </w:t>
      </w:r>
      <w:r w:rsidRPr="00AE0B3D">
        <w:rPr>
          <w:rFonts w:cs="Times New Roman"/>
          <w:noProof/>
        </w:rPr>
        <w:t>specific</w:t>
      </w:r>
      <w:r w:rsidRPr="00AE0B3D">
        <w:rPr>
          <w:rFonts w:cs="Times New Roman"/>
        </w:rPr>
        <w:t xml:space="preserve"> component of the financial </w:t>
      </w:r>
      <w:r w:rsidR="004F4D76" w:rsidRPr="00AE0B3D">
        <w:rPr>
          <w:rFonts w:cs="Times New Roman"/>
        </w:rPr>
        <w:t>performance</w:t>
      </w:r>
      <w:r w:rsidRPr="00AE0B3D">
        <w:rPr>
          <w:rFonts w:cs="Times New Roman"/>
        </w:rPr>
        <w:t xml:space="preserve"> would be crucial in informing decisions of improving the overall performance of organization</w:t>
      </w:r>
      <w:r w:rsidR="0077418E" w:rsidRPr="00AE0B3D">
        <w:rPr>
          <w:rFonts w:cs="Times New Roman"/>
        </w:rPr>
        <w:t>s</w:t>
      </w:r>
      <w:r w:rsidRPr="00AE0B3D">
        <w:rPr>
          <w:rFonts w:cs="Times New Roman"/>
        </w:rPr>
        <w:t xml:space="preserve">. </w:t>
      </w:r>
      <w:r w:rsidR="000339B5" w:rsidRPr="00AE0B3D">
        <w:rPr>
          <w:rFonts w:cs="Times New Roman"/>
        </w:rPr>
        <w:t>Therefore, the study assess</w:t>
      </w:r>
      <w:r w:rsidR="00D9737F">
        <w:rPr>
          <w:rFonts w:cs="Times New Roman"/>
        </w:rPr>
        <w:t>ed</w:t>
      </w:r>
      <w:r w:rsidR="000339B5" w:rsidRPr="00AE0B3D">
        <w:rPr>
          <w:rFonts w:cs="Times New Roman"/>
        </w:rPr>
        <w:t xml:space="preserve"> the effect of management remuneration on the financial performance of selected public companies listed in the Nairobi securities </w:t>
      </w:r>
      <w:r w:rsidR="00C407E1" w:rsidRPr="00AE0B3D">
        <w:rPr>
          <w:rFonts w:cs="Times New Roman"/>
        </w:rPr>
        <w:t>exchange.</w:t>
      </w:r>
      <w:r w:rsidR="000339B5" w:rsidRPr="00AE0B3D">
        <w:rPr>
          <w:rFonts w:cs="Times New Roman"/>
        </w:rPr>
        <w:t xml:space="preserve"> </w:t>
      </w:r>
    </w:p>
    <w:p w14:paraId="2F15B202" w14:textId="77777777" w:rsidR="000D1E85" w:rsidRPr="00AE0B3D" w:rsidRDefault="000D1E85" w:rsidP="00012323">
      <w:pPr>
        <w:pStyle w:val="Heading3"/>
        <w:jc w:val="center"/>
        <w:rPr>
          <w:rFonts w:cs="Times New Roman"/>
        </w:rPr>
      </w:pPr>
      <w:bookmarkStart w:id="18" w:name="_Toc78067496"/>
      <w:r w:rsidRPr="00AE0B3D">
        <w:rPr>
          <w:rFonts w:cs="Times New Roman"/>
        </w:rPr>
        <w:t>A situation analysis</w:t>
      </w:r>
      <w:r w:rsidR="00A25271" w:rsidRPr="00AE0B3D">
        <w:rPr>
          <w:rFonts w:cs="Times New Roman"/>
        </w:rPr>
        <w:t xml:space="preserve"> </w:t>
      </w:r>
      <w:r w:rsidRPr="00AE0B3D">
        <w:rPr>
          <w:rFonts w:cs="Times New Roman"/>
        </w:rPr>
        <w:t>of the study</w:t>
      </w:r>
      <w:bookmarkEnd w:id="18"/>
    </w:p>
    <w:p w14:paraId="75490D76" w14:textId="77777777" w:rsidR="00691A06" w:rsidRPr="00AE0B3D" w:rsidRDefault="00691A06" w:rsidP="00691A06">
      <w:pPr>
        <w:rPr>
          <w:rFonts w:cs="Times New Roman"/>
        </w:rPr>
      </w:pPr>
      <w:bookmarkStart w:id="19" w:name="_Hlk27132590"/>
      <w:r w:rsidRPr="00AE0B3D">
        <w:rPr>
          <w:rFonts w:cs="Times New Roman"/>
        </w:rPr>
        <w:t xml:space="preserve">In Kenya, </w:t>
      </w:r>
      <w:r w:rsidRPr="00AE0B3D">
        <w:rPr>
          <w:rFonts w:cs="Times New Roman"/>
          <w:noProof/>
        </w:rPr>
        <w:t>economy</w:t>
      </w:r>
      <w:r w:rsidRPr="00AE0B3D">
        <w:rPr>
          <w:rFonts w:cs="Times New Roman"/>
        </w:rPr>
        <w:t xml:space="preserve"> development and other business operation environment factors have increased the number of companies that have gone public through initial public offering strategies. For the company to go public, they are guided by Companies Act, the Capital Markets Act and the Capital Markets (Securities) (Public Offers, Listing and Disclosures) Regulations 2002. Capital Markets Authority (CMA) that is formed under the Capital Markets Act and regulation is mandated to moderate IPO in Kenya and solve any issues that are associated with the process. CMA is also mandated to formulate guidelines that moderates the governance practices by the public listed companies </w:t>
      </w:r>
      <w:r w:rsidRPr="00AE0B3D">
        <w:rPr>
          <w:rFonts w:cs="Times New Roman"/>
        </w:rPr>
        <w:fldChar w:fldCharType="begin" w:fldLock="1"/>
      </w:r>
      <w:r w:rsidRPr="00AE0B3D">
        <w:rPr>
          <w:rFonts w:cs="Times New Roman"/>
        </w:rPr>
        <w:instrText>ADDIN CSL_CITATION {"citationItems":[{"id":"ITEM-1","itemData":{"author":[{"dropping-particle":"","family":"Rambo","given":"Charles M","non-dropping-particle":"","parse-names":false,"suffix":""}],"container-title":"The International Journal of Business and Finance Research","id":"ITEM-1","issue":"3","issued":{"date-parts":[["2013"]]},"page":"77-93","title":"Influence of the capital markets authority's corporate governance guidelines on financial performance of commercial banks in Kenya","type":"article-journal","volume":"7"},"uris":["http://www.mendeley.com/documents/?uuid=5216d20b-b6b7-4e73-9be4-08806daa393e"]}],"mendeley":{"formattedCitation":"(Rambo, 2013)","plainTextFormattedCitation":"(Rambo, 2013)","previouslyFormattedCitation":"(Rambo, 2013)"},"properties":{"noteIndex":0},"schema":"https://github.com/citation-style-language/schema/raw/master/csl-citation.json"}</w:instrText>
      </w:r>
      <w:r w:rsidRPr="00AE0B3D">
        <w:rPr>
          <w:rFonts w:cs="Times New Roman"/>
        </w:rPr>
        <w:fldChar w:fldCharType="separate"/>
      </w:r>
      <w:r w:rsidRPr="00AE0B3D">
        <w:rPr>
          <w:rFonts w:cs="Times New Roman"/>
          <w:noProof/>
        </w:rPr>
        <w:t>(Rambo, 2013)</w:t>
      </w:r>
      <w:r w:rsidRPr="00AE0B3D">
        <w:rPr>
          <w:rFonts w:cs="Times New Roman"/>
        </w:rPr>
        <w:fldChar w:fldCharType="end"/>
      </w:r>
      <w:r w:rsidRPr="00AE0B3D">
        <w:rPr>
          <w:rFonts w:cs="Times New Roman"/>
        </w:rPr>
        <w:t xml:space="preserve">. The CMA regulations also provided formation and operation of Nairobi Stock Exchange </w:t>
      </w:r>
      <w:r w:rsidRPr="00AE0B3D">
        <w:rPr>
          <w:rFonts w:cs="Times New Roman"/>
        </w:rPr>
        <w:lastRenderedPageBreak/>
        <w:t xml:space="preserve">(NSE), identifies the process of organisation listing on the platform and moderation of trading to lower risks  for the investors </w:t>
      </w:r>
      <w:r w:rsidRPr="00AE0B3D">
        <w:rPr>
          <w:rFonts w:cs="Times New Roman"/>
        </w:rPr>
        <w:fldChar w:fldCharType="begin" w:fldLock="1"/>
      </w:r>
      <w:r w:rsidRPr="00AE0B3D">
        <w:rPr>
          <w:rFonts w:cs="Times New Roman"/>
        </w:rPr>
        <w:instrText>ADDIN CSL_CITATION {"citationItems":[{"id":"ITEM-1","itemData":{"author":[{"dropping-particle":"","family":"Gakeri","given":"Jacob K","non-dropping-particle":"","parse-names":false,"suffix":""}],"container-title":"International Journal of humanities and Social Science","id":"ITEM-1","issue":"20","issued":{"date-parts":[["2012"]]},"page":"265-291","title":"Regulating Kenya ’ s Securities Markets : An Assessment of the Capital Markets Authority ’ s Enforcement Jurisprudence","type":"article-journal","volume":"2"},"uris":["http://www.mendeley.com/documents/?uuid=e61ee42c-4b2b-405c-9603-f11a3c9006ce"]}],"mendeley":{"formattedCitation":"(Gakeri, 2012)","plainTextFormattedCitation":"(Gakeri, 2012)","previouslyFormattedCitation":"(Gakeri, 2012)"},"properties":{"noteIndex":0},"schema":"https://github.com/citation-style-language/schema/raw/master/csl-citation.json"}</w:instrText>
      </w:r>
      <w:r w:rsidRPr="00AE0B3D">
        <w:rPr>
          <w:rFonts w:cs="Times New Roman"/>
        </w:rPr>
        <w:fldChar w:fldCharType="separate"/>
      </w:r>
      <w:r w:rsidRPr="00AE0B3D">
        <w:rPr>
          <w:rFonts w:cs="Times New Roman"/>
          <w:noProof/>
        </w:rPr>
        <w:t>(Gakeri, 2012)</w:t>
      </w:r>
      <w:r w:rsidRPr="00AE0B3D">
        <w:rPr>
          <w:rFonts w:cs="Times New Roman"/>
        </w:rPr>
        <w:fldChar w:fldCharType="end"/>
      </w:r>
      <w:r w:rsidRPr="00AE0B3D">
        <w:rPr>
          <w:rFonts w:cs="Times New Roman"/>
        </w:rPr>
        <w:t xml:space="preserve">. </w:t>
      </w:r>
    </w:p>
    <w:p w14:paraId="0E965411" w14:textId="18D73654" w:rsidR="00691A06" w:rsidRPr="00AE0B3D" w:rsidRDefault="00691A06" w:rsidP="00691A06">
      <w:r w:rsidRPr="00AE0B3D">
        <w:rPr>
          <w:rFonts w:cs="Times New Roman"/>
        </w:rPr>
        <w:t xml:space="preserve">The Nairobi Stock Exchange market has provided a platform for listing the companies that have gone public </w:t>
      </w:r>
      <w:r w:rsidRPr="00AE0B3D">
        <w:rPr>
          <w:rFonts w:cs="Times New Roman"/>
        </w:rPr>
        <w:fldChar w:fldCharType="begin" w:fldLock="1"/>
      </w:r>
      <w:r w:rsidRPr="00AE0B3D">
        <w:rPr>
          <w:rFonts w:cs="Times New Roman"/>
        </w:rPr>
        <w:instrText>ADDIN CSL_CITATION {"citationItems":[{"id":"ITEM-1","itemData":{"DOI":"10.5296/ifb.v3i2.9555","ISSN":"2374-2089","abstract":"Using the Calderon-Rossell model modified, this paper examines the macroeconomic factors that affect the stock market development in Cameroon. We find that: stock market liquidity and financial openness represented by foreign direct investment and private capital flows are important determinants of stock exchange development in Cameroon. Contrary to the results found in many other African States, Economic Growth and the Banking sector development still do not have a positive and significant impact in the Stock Market development of Cameroon.","author":[{"dropping-particle":"","family":"Kemboi","given":"Daniel Kipkirong","non-dropping-particle":"","parse-names":false,"suffix":""},{"dropping-particle":"","family":"Tarus","given":"Josphat Kipkorir","non-dropping-particle":"","parse-names":false,"suffix":""}],"container-title":"Research Journal of Finance and Accounting","id":"ITEM-1","issue":"5","issued":{"date-parts":[["2012"]]},"page":"1-14","title":"Macroeconomic Determinants of Stock Market Development in Emerging Markets: Evidence from Kenya","type":"article-journal","volume":"3"},"uris":["http://www.mendeley.com/documents/?uuid=08153e7f-1a84-460d-89cf-c0db726a4f60"]}],"mendeley":{"formattedCitation":"(Kemboi &amp; Tarus, 2012)","plainTextFormattedCitation":"(Kemboi &amp; Tarus, 2012)","previouslyFormattedCitation":"(Kemboi &amp; Tarus, 2012)"},"properties":{"noteIndex":0},"schema":"https://github.com/citation-style-language/schema/raw/master/csl-citation.json"}</w:instrText>
      </w:r>
      <w:r w:rsidRPr="00AE0B3D">
        <w:rPr>
          <w:rFonts w:cs="Times New Roman"/>
        </w:rPr>
        <w:fldChar w:fldCharType="separate"/>
      </w:r>
      <w:r w:rsidRPr="00AE0B3D">
        <w:rPr>
          <w:rFonts w:cs="Times New Roman"/>
          <w:noProof/>
        </w:rPr>
        <w:t>(Kemboi &amp; Tarus, 2012)</w:t>
      </w:r>
      <w:r w:rsidRPr="00AE0B3D">
        <w:rPr>
          <w:rFonts w:cs="Times New Roman"/>
        </w:rPr>
        <w:fldChar w:fldCharType="end"/>
      </w:r>
      <w:r w:rsidRPr="00AE0B3D">
        <w:rPr>
          <w:rFonts w:cs="Times New Roman"/>
        </w:rPr>
        <w:t xml:space="preserve">. The operation of the companies has become very competitive and improving performance would ensure sustainability in operation and gaining competitive advantage in the market </w:t>
      </w:r>
      <w:r w:rsidRPr="00AE0B3D">
        <w:rPr>
          <w:rFonts w:cs="Times New Roman"/>
        </w:rPr>
        <w:fldChar w:fldCharType="begin" w:fldLock="1"/>
      </w:r>
      <w:r w:rsidRPr="00AE0B3D">
        <w:rPr>
          <w:rFonts w:cs="Times New Roman"/>
        </w:rPr>
        <w:instrText>ADDIN CSL_CITATION {"citationItems":[{"id":"ITEM-1","itemData":{"abstract":"The mitochondrial carnitine/acylcarnitine carrier (CAC) of Rattus norvegicus contains two His, His-29 and His-205. Only the first residue is conserved in all the members of the CAC subfamily and is positioned before the first of the three conserved motifs. In the homology model of CAC, His-29 is located in H1 close to the bottom of the central cavity. His-205 is the first amino acid of H5 and it is exposed towards the cytosol. The effect of substitution of the His residues on the transport function of the reconstituted mutant CACs has been analysed, in comparison with the wild-type. H29A showed very low activity, H29K and H29D were nearly inactive, whereas H205A, H205K and H205D showed activities similar to that of the wild-type. His-29 has also been substituted with Gln, Asn, Phe and Tyr. All the mutants showed very low transport function and, similarly to H29A, higher Km, reduced Vmax and altered selectivity towards (n)acylcarnitines, with the exception of H29Q, which exhibited functional properties similar to those of the wild-type. The experimental data, together with a comparative analysis of the carnitine acyltranferase active sites, indicated that His-29 forms an H-bond with the beta-OH of carnitine. The substitution of His-205 led to a change of response of the CAC to the pH. The results are discussed in terms of relationships of His-29 with the molecular mechanism of translocation of the CAC.","author":[{"dropping-particle":"","family":"Olweny","given":"Tobias","non-dropping-particle":"","parse-names":false,"suffix":""},{"dropping-particle":"","family":"Omondi","given":"Kennedy","non-dropping-particle":"","parse-names":false,"suffix":""}],"container-title":"Economics and Finance Review","id":"ITEM-1","issue":"10","issued":{"date-parts":[["2011"]]},"page":"34-48","title":"The effect of macro-economic factors on stock return volatility in the Nairobi stock exchange, Kenya","type":"article-journal","volume":"1"},"uris":["http://www.mendeley.com/documents/?uuid=36eeb7ee-3aee-4d38-ad8b-244ab4d931ef"]}],"mendeley":{"formattedCitation":"(Olweny &amp; Omondi, 2011)","plainTextFormattedCitation":"(Olweny &amp; Omondi, 2011)","previouslyFormattedCitation":"(Olweny &amp; Omondi, 2011)"},"properties":{"noteIndex":0},"schema":"https://github.com/citation-style-language/schema/raw/master/csl-citation.json"}</w:instrText>
      </w:r>
      <w:r w:rsidRPr="00AE0B3D">
        <w:rPr>
          <w:rFonts w:cs="Times New Roman"/>
        </w:rPr>
        <w:fldChar w:fldCharType="separate"/>
      </w:r>
      <w:r w:rsidRPr="00AE0B3D">
        <w:rPr>
          <w:rFonts w:cs="Times New Roman"/>
          <w:noProof/>
        </w:rPr>
        <w:t>(Olweny &amp; Omondi, 2011)</w:t>
      </w:r>
      <w:r w:rsidRPr="00AE0B3D">
        <w:rPr>
          <w:rFonts w:cs="Times New Roman"/>
        </w:rPr>
        <w:fldChar w:fldCharType="end"/>
      </w:r>
      <w:r w:rsidRPr="00AE0B3D">
        <w:rPr>
          <w:rFonts w:cs="Times New Roman"/>
        </w:rPr>
        <w:t xml:space="preserve">. </w:t>
      </w:r>
      <w:r w:rsidRPr="00AE0B3D">
        <w:t xml:space="preserve">There are 65 listed companies in NSE as of 2019. The performance of the market has been fluctuating over the years. As of 1994, NSE market capitalisation was </w:t>
      </w:r>
      <w:proofErr w:type="spellStart"/>
      <w:r w:rsidRPr="00AE0B3D">
        <w:t>Ksh</w:t>
      </w:r>
      <w:proofErr w:type="spellEnd"/>
      <w:r w:rsidRPr="00AE0B3D">
        <w:t xml:space="preserve"> 137 Billion which reduced to </w:t>
      </w:r>
      <w:proofErr w:type="spellStart"/>
      <w:r w:rsidRPr="00AE0B3D">
        <w:t>Ksh</w:t>
      </w:r>
      <w:proofErr w:type="spellEnd"/>
      <w:r w:rsidRPr="00AE0B3D">
        <w:t xml:space="preserve"> 8</w:t>
      </w:r>
      <w:r w:rsidR="00690F1D">
        <w:t>3.3</w:t>
      </w:r>
      <w:r w:rsidRPr="00AE0B3D">
        <w:t xml:space="preserve"> Billion in </w:t>
      </w:r>
      <w:r w:rsidR="00AB1D49">
        <w:t>NSE20</w:t>
      </w:r>
      <w:r w:rsidR="001A239A">
        <w:t xml:space="preserve"> </w:t>
      </w:r>
      <w:r w:rsidRPr="00AE0B3D">
        <w:fldChar w:fldCharType="begin" w:fldLock="1"/>
      </w:r>
      <w:r w:rsidR="00A60BE5">
        <w:instrText>ADDIN CSL_CITATION {"citationItems":[{"id":"ITEM-1","itemData":{"author":[{"dropping-particle":"","family":"Rambo","given":"Charles M","non-dropping-particle":"","parse-names":false,"suffix":""}],"container-title":"The International Journal of Business and Finance Research","id":"ITEM-1","issue":"3","issued":{"date-parts":[["2013"]]},"page":"77-93","title":"Influence of the capital markets authority's corporate governance guidelines on financial performance of commercial banks in Kenya","type":"article-journal","volume":"7"},"uris":["http://www.mendeley.com/documents/?uuid=5216d20b-b6b7-4e73-9be4-08806daa393e"]}],"mendeley":{"formattedCitation":"(Rambo, 2013)","manualFormatting":"(Rambo, 2013","plainTextFormattedCitation":"(Rambo, 2013)","previouslyFormattedCitation":"(Rambo, 2013)"},"properties":{"noteIndex":0},"schema":"https://github.com/citation-style-language/schema/raw/master/csl-citation.json"}</w:instrText>
      </w:r>
      <w:r w:rsidRPr="00AE0B3D">
        <w:fldChar w:fldCharType="separate"/>
      </w:r>
      <w:r w:rsidRPr="00AE0B3D">
        <w:rPr>
          <w:noProof/>
        </w:rPr>
        <w:t>(Rambo, 2013</w:t>
      </w:r>
      <w:r w:rsidRPr="00AE0B3D">
        <w:fldChar w:fldCharType="end"/>
      </w:r>
      <w:r w:rsidR="00F021FB">
        <w:t>;</w:t>
      </w:r>
      <w:r w:rsidR="00F021FB">
        <w:fldChar w:fldCharType="begin" w:fldLock="1"/>
      </w:r>
      <w:r w:rsidR="00F021FB">
        <w:instrText>ADDIN CSL_CITATION {"citationItems":[{"id":"ITEM-1","itemData":{"author":[{"dropping-particle":"","family":"Mbugua","given":"Anne Wanjiru","non-dropping-particle":"","parse-names":false,"suffix":""}],"id":"ITEM-1","issued":{"date-parts":[["2011"]]},"title":"THE ROLE AND IMPACT OF CAPITAL MARKETS IN DEVELOPING ECONOMIES A CASE STUDY OF NAIROBI STOCK EXCHANGE. A RESEARCH PROJECT SUBMITTED IN PARTIAL FULFILMENT OF THE REQUIREMENTS FOR THE AWARD OF THE DEGREE OF MASTER OF ARTS IN INTERNATIONAL STUDIES OF UNIVERS","type":"report"},"uris":["http://www.mendeley.com/documents/?uuid=96edbc97-09c7-384e-8ff4-4b0cb18d15fc"]}],"mendeley":{"formattedCitation":"(Mbugua, 2011)","plainTextFormattedCitation":"(Mbugua, 2011)"},"properties":{"noteIndex":0},"schema":"https://github.com/citation-style-language/schema/raw/master/csl-citation.json"}</w:instrText>
      </w:r>
      <w:r w:rsidR="00F021FB">
        <w:fldChar w:fldCharType="separate"/>
      </w:r>
      <w:r w:rsidR="00F021FB" w:rsidRPr="00F021FB">
        <w:rPr>
          <w:noProof/>
        </w:rPr>
        <w:t>Mbugua, 2011)</w:t>
      </w:r>
      <w:r w:rsidR="00F021FB">
        <w:fldChar w:fldCharType="end"/>
      </w:r>
      <w:r w:rsidR="00F021FB">
        <w:t xml:space="preserve">. </w:t>
      </w:r>
      <w:r w:rsidRPr="00AE0B3D">
        <w:t xml:space="preserve"> As of 2019, the market capitalisation of NSE stood at </w:t>
      </w:r>
      <w:proofErr w:type="spellStart"/>
      <w:r w:rsidRPr="00AE0B3D">
        <w:t>Ksh</w:t>
      </w:r>
      <w:proofErr w:type="spellEnd"/>
      <w:r w:rsidRPr="00AE0B3D">
        <w:t xml:space="preserve"> 2</w:t>
      </w:r>
      <w:r w:rsidR="001C040B">
        <w:t>,</w:t>
      </w:r>
      <w:r w:rsidRPr="00AE0B3D">
        <w:t xml:space="preserve">444 billion that point to the increase in capitalisation and performance of the listed companies. </w:t>
      </w:r>
    </w:p>
    <w:p w14:paraId="5044120B" w14:textId="77777777" w:rsidR="00A60EE8" w:rsidRPr="00AE0B3D" w:rsidRDefault="000D6EEE" w:rsidP="00EB2FA1">
      <w:pPr>
        <w:pStyle w:val="Heading2"/>
        <w:rPr>
          <w:rFonts w:cs="Times New Roman"/>
        </w:rPr>
      </w:pPr>
      <w:bookmarkStart w:id="20" w:name="_Toc78067497"/>
      <w:bookmarkEnd w:id="19"/>
      <w:r w:rsidRPr="00AE0B3D">
        <w:rPr>
          <w:rFonts w:cs="Times New Roman"/>
        </w:rPr>
        <w:t>S</w:t>
      </w:r>
      <w:r w:rsidR="00A60EE8" w:rsidRPr="00AE0B3D">
        <w:rPr>
          <w:rFonts w:cs="Times New Roman"/>
        </w:rPr>
        <w:t>tatement</w:t>
      </w:r>
      <w:r w:rsidRPr="00AE0B3D">
        <w:rPr>
          <w:rFonts w:cs="Times New Roman"/>
        </w:rPr>
        <w:t xml:space="preserve"> of the Problem</w:t>
      </w:r>
      <w:bookmarkEnd w:id="20"/>
    </w:p>
    <w:p w14:paraId="75E5544B" w14:textId="70C7790B" w:rsidR="00FC133C" w:rsidRDefault="00D9099E" w:rsidP="00D9099E">
      <w:pPr>
        <w:rPr>
          <w:rFonts w:cs="Times New Roman"/>
        </w:rPr>
      </w:pPr>
      <w:r w:rsidRPr="00AE0B3D">
        <w:rPr>
          <w:rFonts w:cs="Times New Roman"/>
        </w:rPr>
        <w:t xml:space="preserve">Ideally, management motivation is expected to influence the employee’s performance which result in improvement of the overall performance of the organisation. The management remuneration theoretically is expected to have a similar effect on the organisation and individual employees’ performance. </w:t>
      </w:r>
      <w:r w:rsidR="007D23F2">
        <w:rPr>
          <w:rFonts w:cs="Times New Roman"/>
        </w:rPr>
        <w:t xml:space="preserve">Therefore, understanding the type of management remuneration utilised by organisation is crucial. </w:t>
      </w:r>
      <w:r w:rsidRPr="00AE0B3D">
        <w:rPr>
          <w:rFonts w:cs="Times New Roman"/>
        </w:rPr>
        <w:t>However studies undertaken in different parts of the world including South Africa, Nigeria, Britain, and Norway on the relationship between management remuneration and organisation performance found different association</w:t>
      </w:r>
      <w:r w:rsidR="00186A85">
        <w:rPr>
          <w:rFonts w:cs="Times New Roman"/>
        </w:rPr>
        <w:t xml:space="preserve">, with </w:t>
      </w:r>
      <w:r w:rsidRPr="00AE0B3D">
        <w:rPr>
          <w:rFonts w:cs="Times New Roman"/>
        </w:rPr>
        <w:t xml:space="preserve">some </w:t>
      </w:r>
      <w:r w:rsidR="00B23EBC">
        <w:rPr>
          <w:rFonts w:cs="Times New Roman"/>
        </w:rPr>
        <w:t xml:space="preserve">reporting </w:t>
      </w:r>
      <w:r w:rsidRPr="00AE0B3D">
        <w:rPr>
          <w:rFonts w:cs="Times New Roman"/>
        </w:rPr>
        <w:t xml:space="preserve">positive correlation </w:t>
      </w:r>
      <w:r w:rsidRPr="00AE0B3D">
        <w:rPr>
          <w:rFonts w:cs="Times New Roman"/>
        </w:rPr>
        <w:fldChar w:fldCharType="begin" w:fldLock="1"/>
      </w:r>
      <w:r w:rsidR="00955099">
        <w:rPr>
          <w:rFonts w:cs="Times New Roman"/>
        </w:rPr>
        <w:instrText>ADDIN CSL_CITATION {"citationItems":[{"id":"ITEM-1","itemData":{"ISBN":"0022-3476; 0022-3476","ISSN":"1998-8125","abstract":"This exploratory study is based on a statistical data analysis to\\ndetermine whether a long-term correlation is present between South\\nAfrican CEO compensation and company performance in the banking sector.\\nThe detailed analysis, using a seven-year time period, is performed at\\nindividual company level as well as at sector level and includes two\\nmeasures of company performance, namely market performance (share price)\\nand accounting performance (return on equity, EBITDA and HEPS). The\\nstudy is based on the agency theory, which postulates that linking CEO\\ncompensation to company performance is a means of reducing agency\\nmonitoring costs. It takes into account the historical and current\\ntrends in CEO compensation, including King III and its ``say-on-pay{''}\\nprovision. Six out of seven null hypotheses were accepted in the study,\\nindicating a long-term correlation between CEO compensation and\\nvariables such as company performance, average employee salary, general\\nmarket performance and inflation. No correlation was found with company\\nsize.","author":[{"dropping-particle":"","family":"Deysel","given":"B","non-dropping-particle":"","parse-names":false,"suffix":""},{"dropping-particle":"","family":"Kruger","given":"J","non-dropping-particle":"","parse-names":false,"suffix":""}],"container-title":"Southern African Business Review","id":"ITEM-1","issue":"1","issued":{"date-parts":[["2015"]]},"page":"169","title":"The relationship between South African CEO compensation and company performance in the banking industry","type":"article-journal","volume":"19"},"uris":["http://www.mendeley.com/documents/?uuid=04943ffd-1e44-48b5-8b50-28a638700f31"]},{"id":"ITEM-2","itemData":{"DOI":"10.1016/j.tourman.2016.11.005","ISSN":"02615177","abstract":"This paper investigates from the UK context, the impact of board and CEO characteristics on CEO compensation in Travel and Leisure firms. Namely we employ, board size, board independence and board meetings to reflect board characteristics. We also include two CEO features, CEO tenure and CEO age into our models. Using panel data analysis, the findings in this paper indicate that board size, board independence and CEO age are important factors affecting CEO pay. In addition, we report a positive non-linear relationship between CEO tenure and firm performance. Hence, using Travel and Leisure listed firms; we provide new evidence of the relationship between corporate governance and CEO compensation.","author":[{"dropping-particle":"","family":"Al-Najjar","given":"Basil","non-dropping-particle":"","parse-names":false,"suffix":""}],"container-title":"Tourism Management","id":"ITEM-2","issued":{"date-parts":[["2017"]]},"page":"9-14","publisher":"Elsevier Ltd","title":"Corporate governance and CEO pay: Evidence from UK Travel and Leisure listed firms","type":"article-journal","volume":"60"},"uris":["http://www.mendeley.com/documents/?uuid=d7adc7d8-5b7a-46c2-9436-cfda41486a93"]},{"id":"ITEM-3","itemData":{"DOI":"10.2139/ssrn.1893554","abstract":"Executive compensation in the U.S. banking industry has been criticized as a root cause of the recent financial crisis. This study examines the relationship between executive compensation, ownership structure, and firm performance for Chinese financial corporations during 2001-2009. The results reveal that executive compensation in Chinese banks follows a relation-based rather than a market-based contract. There is little evidence in support of the pay-for-performance setting for Chinese executive compensation. Ownership concentration has significantly negative impacts while firm size has significantly positive impacts on CEO compensation. Further, the involvement of state ownership tends to limit executive compensation, while the compensation committee is friendly and enhances management compensation. The results suggest that the government or regulation may ensure efficient corporate governance in business activity as a helping hand when corporate governance is weak.","author":[{"dropping-particle":"","family":"Luo","given":"Yongli","non-dropping-particle":"","parse-names":false,"suffix":""},{"dropping-particle":"","family":"Jackson","given":"Dave","non-dropping-particle":"","parse-names":false,"suffix":""}],"container-title":"Ssrn","id":"ITEM-3","issued":{"date-parts":[["2011"]]},"page":"56-74","title":"Executive Compensation, Ownership Structure and Firm Performance in Chinese Financial Corporations","type":"article-journal"},"uris":["http://www.mendeley.com/documents/?uuid=bb02e78d-ef0b-48df-8059-41f8bc0a40a3"]},{"id":"ITEM-4","itemData":{"ISSN":"1838-3955","abstract":"This study examines the relationship between director remuneration and performance in Malaysia family firms. The proxies of director remuneration include fees, salary, bonuses, and benefits of kin. The proxy for family firm is a dummy variable that is one (1) if the firm is a family firm and zero (0) is a non-family firm. The dependent variable (performance) is measured by ROA and ROE. A panel analysis of 537 firms from 2007 and 2009 finds that the relationship between director remuneration and performance is significantly positive. This suggests that the remuneration driven board motivation to enhance performance. Furthermore, this study does not find evidence the family firm manipulated a power and control for personal wealth.","author":[{"dropping-particle":"","family":"Jaafar","given":"SB","non-dropping-particle":"","parse-names":false,"suffix":""},{"dropping-particle":"","family":"Wahab","given":"EAA","non-dropping-particle":"","parse-names":false,"suffix":""},{"dropping-particle":"","family":"James","given":"Kieran","non-dropping-particle":"","parse-names":false,"suffix":""}],"container-title":"World Review of Business …","id":"ITEM-4","issue":"4","issued":{"date-parts":[["2012"]]},"page":"204-222","title":"Director remuneration and performance in Malaysia family firms: an expropriation matter?","type":"article-journal","volume":"2"},"uris":["http://www.mendeley.com/documents/?uuid=91a6c770-6f79-4cc7-878a-e413a1f41169"]},{"id":"ITEM-5","itemData":{"author":[{"dropping-particle":"","family":"Harper","given":"Alan H.","non-dropping-particle":"","parse-names":false,"suffix":""},{"dropping-particle":"","family":"Jin","given":"Zhenhu","non-dropping-particle":"","parse-names":false,"suffix":""}],"container-title":"Journal of Finance Issues Fall","id":"ITEM-5","issued":{"date-parts":[["2016"]]},"title":"The Determinants of CEO Compensation in the U.S. General Merchandise Sector","type":"article-journal","volume":"48"},"uris":["http://www.mendeley.com/documents/?uuid=29641bee-37c5-497a-90e6-74866e7c75ee"]}],"mendeley":{"formattedCitation":"(Al-Najjar, 2017; Deysel &amp; Kruger, 2015; Harper &amp; Jin, 2016; Jaafar et al., 2012; Luo &amp; Jackson, 2011)","manualFormatting":"(Al-Najjar, 2017; Deysel &amp; Kruger, 2015; Harper &amp; Jin, 2016; Jaafar et al., 2012; Luo &amp; Jackson, 2011)","plainTextFormattedCitation":"(Al-Najjar, 2017; Deysel &amp; Kruger, 2015; Harper &amp; Jin, 2016; Jaafar et al., 2012; Luo &amp; Jackson, 2011)","previouslyFormattedCitation":"(Al-Najjar, 2017; Deysel &amp; Kruger, 2015; Harper &amp; Jin, 2016; Jaafar et al., 2012; Luo &amp; Jackson, 2011)"},"properties":{"noteIndex":0},"schema":"https://github.com/citation-style-language/schema/raw/master/csl-citation.json"}</w:instrText>
      </w:r>
      <w:r w:rsidRPr="00AE0B3D">
        <w:rPr>
          <w:rFonts w:cs="Times New Roman"/>
        </w:rPr>
        <w:fldChar w:fldCharType="separate"/>
      </w:r>
      <w:r w:rsidRPr="00AE0B3D">
        <w:rPr>
          <w:rFonts w:cs="Times New Roman"/>
          <w:noProof/>
        </w:rPr>
        <w:t>(Al-Najjar, 2017; Deysel &amp; Kruger, 2015; Harper &amp; J</w:t>
      </w:r>
      <w:r w:rsidR="003258E2">
        <w:rPr>
          <w:rFonts w:cs="Times New Roman"/>
          <w:noProof/>
        </w:rPr>
        <w:t xml:space="preserve">in, 2016; Jaafar </w:t>
      </w:r>
      <w:r w:rsidR="003258E2" w:rsidRPr="006B3E1F">
        <w:rPr>
          <w:rFonts w:cs="Times New Roman"/>
          <w:noProof/>
        </w:rPr>
        <w:t>et al.</w:t>
      </w:r>
      <w:r w:rsidRPr="00AE0B3D">
        <w:rPr>
          <w:rFonts w:cs="Times New Roman"/>
          <w:noProof/>
        </w:rPr>
        <w:t>, 2012; Luo &amp; Jackson, 2011)</w:t>
      </w:r>
      <w:r w:rsidRPr="00AE0B3D">
        <w:rPr>
          <w:rFonts w:cs="Times New Roman"/>
        </w:rPr>
        <w:fldChar w:fldCharType="end"/>
      </w:r>
      <w:r w:rsidRPr="00AE0B3D">
        <w:rPr>
          <w:rFonts w:cs="Times New Roman"/>
        </w:rPr>
        <w:t xml:space="preserve"> while others f</w:t>
      </w:r>
      <w:r w:rsidR="00054C94">
        <w:rPr>
          <w:rFonts w:cs="Times New Roman"/>
        </w:rPr>
        <w:t>oun</w:t>
      </w:r>
      <w:r w:rsidRPr="00AE0B3D">
        <w:rPr>
          <w:rFonts w:cs="Times New Roman"/>
        </w:rPr>
        <w:t xml:space="preserve">d no significant relationship </w:t>
      </w:r>
      <w:r w:rsidRPr="00AE0B3D">
        <w:rPr>
          <w:rFonts w:cs="Times New Roman"/>
          <w:noProof/>
        </w:rPr>
        <w:fldChar w:fldCharType="begin" w:fldLock="1"/>
      </w:r>
      <w:r w:rsidRPr="00AE0B3D">
        <w:rPr>
          <w:rFonts w:cs="Times New Roman"/>
          <w:noProof/>
        </w:rPr>
        <w:instrText>ADDIN CSL_CITATION {"citationItems":[{"id":"ITEM-1","itemData":{"author":[{"dropping-particle":"","family":"Lindström","given":"Anna","non-dropping-particle":"","parse-names":false,"suffix":""},{"dropping-particle":"","family":"Svensson","given":"Johanna","non-dropping-particle":"","parse-names":false,"suffix":""}],"id":"ITEM-1","issued":{"date-parts":[["2016"]]},"title":"Top management compensation and firm performance - A matter of context ?","type":"article-journal"},"uris":["http://www.mendeley.com/documents/?uuid=9705f8f7-84e6-4bbc-bead-b13e296f34fb"]},{"id":"ITEM-2","itemData":{"DOI":"10.4102/sajhrm.v13i1.668","ISSN":"1683-7584","abstract":"Orientation: The relationship between Chief Executive Officer (CEO) remuneration and organisation performance has been a topic of close scrutiny, especially since the global financial crisis. Optimal contracting relies on the premise that effective incentives will link organisation financial performance and CEO remuneration in ways that will be in the best interests of both shareholders and CEOs.Research purpose: The purpose of this research study was to investigate the relationship between CEO remuneration and organisation performance in South Africa between 2006 and 2012 and to determine whether the two constructs were positively correlated.Motivation for the study: The study provides an evidenced-based understanding of the nature of the CEO pay-performance relationship in South Africa. Understanding this relationship is critical to finding a suitable model to structure executive remuneration that will protect shareholders from over-remunerating executives in times of economic appreciation, whilst protecting executives from being underpaid in times of economic depreciation.Method: The financial results and CEO remuneration of 21 of the top 40 listed companies on the Johannesburg Stock Exchange were analysed for the period 2006–2012. The research was a quantitative, archival study. The primary statistical techniques used in the study were correlation analysis and multiple regression analysis.Main findings: The primary finding of the current research indicates that between 2006 and 2012 organisation executives have noticeably been moving away from focusing on short-termincentives, which are categorised as performance-related elements of remuneration packages.Based on these findings, it is evident that the relationship between executive remuneration and organisational financial performance has been experiencing a decline, especially since the 2008 global financial crisis. The decline has predominantly been due to a move away from performance-related elements of remuneration contracts by CEOs, creating a disconnect between CEO remuneration and organisational performance. The findings suggest that, to a large extent, remuneration contracts for CEOs are no longer optimal for the organisation and its shareholders, but are influenced by the propensity of executives to enhance their own remuneration. There exists a link between short-term incentives received by CEOs and accounting-based organisational performance measures; on the other hand, fixed pay linked w…","author":[{"dropping-particle":"","family":"Bussin","given":"Mark","non-dropping-particle":"","parse-names":false,"suffix":""},{"dropping-particle":"","family":"Modau","given":"Minute F.","non-dropping-particle":"","parse-names":false,"suffix":""}],"container-title":"SA Journal of Human Resource Management","id":"ITEM-2","issue":"1","issued":{"date-parts":[["2015"]]},"page":"1-18","title":"The relationship between Chief Executive Officer remuneration and financial performance in South Africa between 2006 and 2012","type":"article-journal","volume":"13"},"uris":["http://www.mendeley.com/documents/?uuid=6ebf2310-43ae-464d-ae17-f340a102ef4d"]},{"id":"ITEM-3","itemData":{"DOI":"10.4102/sajems.v21i1.2004","ISSN":"1015-8812","abstract":"Background: The executive directors of a company are the agents of the shareholders and should manage the company in the best interest of the shareholders, not only for personal gain. It is therefore important for companies to ensure that they implement remuneration policies which will result in motivated employees who will execute decisions and actions which are in the best interest of the shareholders. However, it is widely acknowledged that the relationship between company performance and executive remuneration is weak. This implies that executives are still rewarded excessive remuneration regardless of the performance of their companies. Aim: The purpose of this study was to determine whether a relationship exists between the performance-based remuneration of executive directors and the financial performance of South African companies. Setting: The study was conducted in South Africa, specifically on companies listed on the Johannesburg Stock Exchange. Methods: The study design was quantitative and made use of a Pearson correlation and generalised least squares regression with bootstrapping at a 95% confidence interval to analyse the relationship between executive director remuneration and the financial performance of 42 companies in the consumer goods and services industry of the Johannesburg Stock Exchange (JSE) from 2006 to 2015. Results: The study established that the remuneration policies in place for South African executive directors within the consumer goods and services industry seem to be affected by the share price of the company. Conclusion: In the South African environment, executive director remuneration is thus not directly related to profitability or company size, as was the case in some earlier studies. The link between executive director remuneration and share performance may be an indication that remuneration policies are based on the share price and are thus directly connected to the principle of shareholder wealth maximisation.","author":[{"dropping-particle":"","family":"Kirsten","given":"Elize","non-dropping-particle":"","parse-names":false,"suffix":""},{"dropping-particle":"","family":"Toit","given":"Elda","non-dropping-particle":"Du","parse-names":false,"suffix":""}],"container-title":"South African Journal of Economic and Management Sciences","id":"ITEM-3","issue":"1","issued":{"date-parts":[["2018"]]},"page":"1-10","title":"The relationship between remuneration and financial performance for companies listed on the Johannesburg Stock Exchange","type":"article-journal","volume":"21"},"uris":["http://www.mendeley.com/documents/?uuid=4f06aaf2-3fcf-4983-9226-a311f918e73c"]}],"mendeley":{"formattedCitation":"(Bussin &amp; Modau, 2015; Kirsten &amp; Du Toit, 2018; Lindström &amp; Svensson, 2016)","plainTextFormattedCitation":"(Bussin &amp; Modau, 2015; Kirsten &amp; Du Toit, 2018; Lindström &amp; Svensson, 2016)","previouslyFormattedCitation":"(Bussin &amp; Modau, 2015; Kirsten &amp; Du Toit, 2018; Lindström &amp; Svensson, 2016)"},"properties":{"noteIndex":0},"schema":"https://github.com/citation-style-language/schema/raw/master/csl-citation.json"}</w:instrText>
      </w:r>
      <w:r w:rsidRPr="00AE0B3D">
        <w:rPr>
          <w:rFonts w:cs="Times New Roman"/>
          <w:noProof/>
        </w:rPr>
        <w:fldChar w:fldCharType="separate"/>
      </w:r>
      <w:r w:rsidRPr="00AE0B3D">
        <w:rPr>
          <w:rFonts w:cs="Times New Roman"/>
          <w:noProof/>
        </w:rPr>
        <w:t>(Bussin &amp; Modau, 2015; Kirsten &amp; Du Toit, 2018; Lindström &amp; Svensson, 2016)</w:t>
      </w:r>
      <w:r w:rsidRPr="00AE0B3D">
        <w:rPr>
          <w:rFonts w:cs="Times New Roman"/>
          <w:noProof/>
        </w:rPr>
        <w:fldChar w:fldCharType="end"/>
      </w:r>
      <w:r w:rsidRPr="00AE0B3D">
        <w:rPr>
          <w:rFonts w:cs="Times New Roman"/>
        </w:rPr>
        <w:t xml:space="preserve">. </w:t>
      </w:r>
      <w:r w:rsidR="00FC133C">
        <w:rPr>
          <w:rFonts w:cs="Times New Roman"/>
        </w:rPr>
        <w:t xml:space="preserve">Therefore, need to undertake research in the Kenyan context </w:t>
      </w:r>
      <w:r w:rsidR="00FC133C">
        <w:rPr>
          <w:rFonts w:cs="Times New Roman"/>
        </w:rPr>
        <w:lastRenderedPageBreak/>
        <w:t xml:space="preserve">to assess the </w:t>
      </w:r>
      <w:r w:rsidR="009B6AD7">
        <w:rPr>
          <w:rFonts w:cs="Times New Roman"/>
        </w:rPr>
        <w:t xml:space="preserve">remuneration types utilised and their </w:t>
      </w:r>
      <w:r w:rsidR="00FC133C">
        <w:rPr>
          <w:rFonts w:cs="Times New Roman"/>
        </w:rPr>
        <w:t>financial performance.</w:t>
      </w:r>
      <w:r w:rsidR="005B13AA">
        <w:rPr>
          <w:rFonts w:cs="Times New Roman"/>
        </w:rPr>
        <w:t xml:space="preserve"> In </w:t>
      </w:r>
      <w:r w:rsidR="003F42B7">
        <w:rPr>
          <w:rFonts w:cs="Times New Roman"/>
        </w:rPr>
        <w:t>addition,</w:t>
      </w:r>
      <w:r w:rsidR="005B13AA">
        <w:rPr>
          <w:rFonts w:cs="Times New Roman"/>
        </w:rPr>
        <w:t xml:space="preserve"> there is detailed explanation of the remuneration association with financial performance. Different research has identified different remu</w:t>
      </w:r>
      <w:r w:rsidR="003A59EC">
        <w:rPr>
          <w:rFonts w:cs="Times New Roman"/>
        </w:rPr>
        <w:t>ne</w:t>
      </w:r>
      <w:r w:rsidR="005B13AA">
        <w:rPr>
          <w:rFonts w:cs="Times New Roman"/>
        </w:rPr>
        <w:t>ration type that best explain the impact on financial performance in other parts of the world. It is therefo</w:t>
      </w:r>
      <w:r w:rsidR="003A59EC">
        <w:rPr>
          <w:rFonts w:cs="Times New Roman"/>
        </w:rPr>
        <w:t xml:space="preserve">re prudent to assess the remuneration that most effectively explain financial performance in the context of Kenya. </w:t>
      </w:r>
    </w:p>
    <w:p w14:paraId="06663160" w14:textId="4D52D690" w:rsidR="00FC133C" w:rsidRDefault="00D9099E" w:rsidP="00D9099E">
      <w:pPr>
        <w:rPr>
          <w:rFonts w:cs="Times New Roman"/>
        </w:rPr>
      </w:pPr>
      <w:r w:rsidRPr="00AE0B3D">
        <w:rPr>
          <w:rFonts w:cs="Times New Roman"/>
        </w:rPr>
        <w:t xml:space="preserve">There </w:t>
      </w:r>
      <w:r w:rsidR="00B23EBC">
        <w:rPr>
          <w:rFonts w:cs="Times New Roman"/>
        </w:rPr>
        <w:t xml:space="preserve">are </w:t>
      </w:r>
      <w:r w:rsidRPr="00AE0B3D">
        <w:rPr>
          <w:rFonts w:cs="Times New Roman"/>
        </w:rPr>
        <w:t xml:space="preserve">studies undertaken in Kenya evaluating the relationship between management remuneration and financial performance </w:t>
      </w:r>
      <w:r w:rsidRPr="00AE0B3D">
        <w:rPr>
          <w:rFonts w:cs="Times New Roman"/>
        </w:rPr>
        <w:fldChar w:fldCharType="begin" w:fldLock="1"/>
      </w:r>
      <w:r w:rsidR="00955099">
        <w:rPr>
          <w:rFonts w:cs="Times New Roman"/>
        </w:rPr>
        <w:instrText>ADDIN CSL_CITATION {"citationItems":[{"id":"ITEM-1","itemData":{"abstract":"This paper examines the interrelations among ownership, board and manager characteristics and firm performance in a sample of 54 firms listed at the Nairobi Stock Exchange (NSE). These governance characteristics, designed to minimize agency problems between principals and agents are operationalized in terms of ownership concentration, ownership identity, board effectiveness and managerial discretion. The typical ownership identities at the NSE are government, foreign, institutional, manager and diverse ownership forms. Firm performance is measured using Return on Assets (ROA), Return on Equity (ROE) and Dividend Yield (DY). Using PPMC, Logistic Regression and Stepwise Regression, the paper presents evidence of significant positive relationship between foreign, insider, institutional and diverse ownership forms, and firm performance. However, the relationship between ownership concentration and government, and firm performance was significantly negative. The role of boards was found to be of very little value, mainly due to lack of adherence to board member selection criteria. The results also show significant positive relationship between managerial discretion and performance. Collectively, these results are consistent with pertinent literature with regard to the implications of government, foreign, manager (insider) and institutional ownership forms, but significantly differ concerning the effects of ownership concentration and diverse ownership on firm performance. Keywords:","author":[{"dropping-particle":"","family":"Ongore","given":"Vincent O.","non-dropping-particle":"","parse-names":false,"suffix":""},{"dropping-particle":"","family":"K’Obonyo","given":"Peter O.","non-dropping-particle":"","parse-names":false,"suffix":""}],"container-title":"International Journal of Economics and Financial Issues","id":"ITEM-1","issue":"3","issued":{"date-parts":[["2011"]]},"page":"99-122","title":"Effects of Selected Corporate Governance Characteristics on Firm Performance : Empirical Evidence from Kenya","type":"article-journal","volume":"1"},"uris":["http://www.mendeley.com/documents/?uuid=36e909b7-b3a0-4fa2-8c12-ea5f347b6113"]},{"id":"ITEM-2","itemData":{"DOI":"10.15520/jbme.2015.vol3.iss11.158.pp33-40","ISBN":"2146-4138","ISSN":"2146-4138","author":[{"dropping-particle":"","family":"Ongore","given":"Vincent Okoth;","non-dropping-particle":"","parse-names":false,"suffix":""},{"dropping-particle":"","family":"Kusa","given":"Gemechu Berhanu","non-dropping-particle":"","parse-names":false,"suffix":""}],"container-title":"International journal of economics and financial","id":"ITEM-2","issue":"1","issued":{"date-parts":[["2013"]]},"page":"237-252","title":"Determinants of financial performance of commercial banks in Kenya","type":"article-journal","volume":"3"},"uris":["http://www.mendeley.com/documents/?uuid=1ac903a5-40e3-4abb-aa43-5228c90fc504"]},{"id":"ITEM-3","itemData":{"author":[{"dropping-particle":"","family":"Nyaribo","given":"Oburu Lewis","non-dropping-particle":"","parse-names":false,"suffix":""},{"dropping-particle":"","family":"Nyakundi","given":"Atambo Wallace","non-dropping-particle":"","parse-names":false,"suffix":""}],"container-title":"Imperial Journal of Interdisciplinary Research (IJIR)","id":"ITEM-3","issue":"6","issued":{"date-parts":[["2016"]]},"page":"103-126","title":"The Effect of Non-Financial Compensation on Employee Performance of Micro-Finance Institutions: A Case of Wakenya Pamoja Sacco, Kisii County, Kenya","type":"article-journal","volume":"2"},"uris":["http://www.mendeley.com/documents/?uuid=c2bd51ef-a788-423f-9058-c8b1d4123b57"]},{"id":"ITEM-4","itemData":{"abstract":"The study sought to test the relationship between liquidity and profitability of insurance companies in Kenya. The population of the study comprised of all the 49 insurance companies registered with IRA as at 31st December 2013 (Appendix 1). A census was carried out covering all the 49 insurance firms for five years period (1st January 2009 to 31st December 2013). The study used secondary data and the variables were deduced from the audited financial statements of the 49 registered insurance firms for financial periods 2009 to 2013. The collected data was analyzed using descriptive statistics. Profitability was measured by ROA, while liquidity was measured by Quick ratio and Leverage ratio. Firm size as measured by log of net premium and loss ratio were the control variables. The t-test was used to determine the significance of the constant term and the coefficients terms for each of the regressions. The importance of each of the regressions was determined by carrying out the F-test at 95% confidence level. The coefficient of determination R2 was used to measure the strength to which independent variables explain the variations in the dependent variables. The analysis was done using Statistical Package for Social Sciences (SPSS) software version 21. The study established a positive relationship between quick ratio and profitability of insurance companies in Kenya. The study indicated that leverage ratio has a negative influence on ROA. The study established a positive relationship between log of net premiums and ROA. Finally, the study indicated a negative but significant relationship between loss ratio and profitability of the insurance industry in Kenya. This study recommends that managers should maintain a trade off between profitability and liquidity, invest in liquid assets to improve liquidity as well as focus on exploring opportunities for growth and diversification and proper management of investment portfolios.","author":[{"dropping-particle":"","family":"Erick","given":"Tarus Kipkorir","non-dropping-particle":"","parse-names":false,"suffix":""},{"dropping-particle":"","family":"Kefah","given":"Basweti Aboko","non-dropping-particle":"","parse-names":false,"suffix":""},{"dropping-particle":"","family":"Nyaoga","given":"Richard Bitange","non-dropping-particle":"","parse-names":false,"suffix":""}],"container-title":"Research Journal of Finance and Accounting","id":"ITEM-4","issue":"1","issued":{"date-parts":[["2014"]]},"page":"113","title":"the Relationship Between Liquidity and Profitability of Insurance Companies in Kenya","type":"article-journal","volume":"5"},"uris":["http://www.mendeley.com/documents/?uuid=97a4f9f3-f1d9-40d6-99fe-4af136cdc779"]}],"mendeley":{"formattedCitation":"(Erick et al., 2014; Nyaribo &amp; Nyakundi, 2016; Vincent O. Ongore &amp; K’Obonyo, 2011; Vincent Okoth; Ongore &amp; Kusa, 2013)","manualFormatting":"(Erick et al., 2014; Nyaribo &amp; Nyakundi, 2016; Ongore &amp; K’Obonyo, 2011; Ongore &amp; Kusa, 2013)","plainTextFormattedCitation":"(Erick et al., 2014; Nyaribo &amp; Nyakundi, 2016; Vincent O. Ongore &amp; K’Obonyo, 2011; Vincent Okoth; Ongore &amp; Kusa, 2013)","previouslyFormattedCitation":"(Erick et al., 2014; Nyaribo &amp; Nyakundi, 2016; Vincent O. Ongore &amp; K’Obonyo, 2011; Vincent Okoth; Ongore &amp; Kusa, 2013)"},"properties":{"noteIndex":0},"schema":"https://github.com/citation-style-language/schema/raw/master/csl-citation.json"}</w:instrText>
      </w:r>
      <w:r w:rsidRPr="00AE0B3D">
        <w:rPr>
          <w:rFonts w:cs="Times New Roman"/>
        </w:rPr>
        <w:fldChar w:fldCharType="separate"/>
      </w:r>
      <w:r w:rsidRPr="00AE0B3D">
        <w:rPr>
          <w:rFonts w:cs="Times New Roman"/>
          <w:noProof/>
        </w:rPr>
        <w:t>(Erick et al., 2014; Nyaribo &amp; Nyakundi, 2016; Ongore &amp; K’Obonyo, 2011; Ongore &amp; Kusa, 2013)</w:t>
      </w:r>
      <w:r w:rsidRPr="00AE0B3D">
        <w:rPr>
          <w:rFonts w:cs="Times New Roman"/>
        </w:rPr>
        <w:fldChar w:fldCharType="end"/>
      </w:r>
      <w:r w:rsidR="00B23EBC">
        <w:rPr>
          <w:rFonts w:cs="Times New Roman"/>
        </w:rPr>
        <w:t>. Even so,</w:t>
      </w:r>
      <w:r w:rsidR="00BE480D">
        <w:rPr>
          <w:rFonts w:cs="Times New Roman"/>
        </w:rPr>
        <w:t xml:space="preserve"> the research identified existence of research gaps.</w:t>
      </w:r>
      <w:r w:rsidR="007F5D30">
        <w:rPr>
          <w:rFonts w:cs="Times New Roman"/>
        </w:rPr>
        <w:t xml:space="preserve"> </w:t>
      </w:r>
      <w:r w:rsidRPr="00AE0B3D">
        <w:rPr>
          <w:rFonts w:cs="Times New Roman"/>
        </w:rPr>
        <w:t xml:space="preserve">The research undertaken in Kenya on the relationship between management remuneration and organisation financial performance focused only on one industry at a time </w:t>
      </w:r>
      <w:r w:rsidRPr="00AE0B3D">
        <w:rPr>
          <w:rFonts w:cs="Times New Roman"/>
        </w:rPr>
        <w:fldChar w:fldCharType="begin" w:fldLock="1"/>
      </w:r>
      <w:r w:rsidR="00424706">
        <w:rPr>
          <w:rFonts w:cs="Times New Roman"/>
        </w:rPr>
        <w:instrText>ADDIN CSL_CITATION {"citationItems":[{"id":"ITEM-1","itemData":{"abstract":"This paper examines the interrelations among ownership, board and manager characteristics and firm performance in a sample of 54 firms listed at the Nairobi Stock Exchange (NSE). These governance characteristics, designed to minimize agency problems between principals and agents are operationalized in terms of ownership concentration, ownership identity, board effectiveness and managerial discretion. The typical ownership identities at the NSE are government, foreign, institutional, manager and diverse ownership forms. Firm performance is measured using Return on Assets (ROA), Return on Equity (ROE) and Dividend Yield (DY). Using PPMC, Logistic Regression and Stepwise Regression, the paper presents evidence of significant positive relationship between foreign, insider, institutional and diverse ownership forms, and firm performance. However, the relationship between ownership concentration and government, and firm performance was significantly negative. The role of boards was found to be of very little value, mainly due to lack of adherence to board member selection criteria. The results also show significant positive relationship between managerial discretion and performance. Collectively, these results are consistent with pertinent literature with regard to the implications of government, foreign, manager (insider) and institutional ownership forms, but significantly differ concerning the effects of ownership concentration and diverse ownership on firm performance. Keywords:","author":[{"dropping-particle":"","family":"Ongore","given":"Vincent O.","non-dropping-particle":"","parse-names":false,"suffix":""},{"dropping-particle":"","family":"K’Obonyo","given":"Peter O.","non-dropping-particle":"","parse-names":false,"suffix":""}],"container-title":"International Journal of Economics and Financial Issues","id":"ITEM-1","issue":"3","issued":{"date-parts":[["2011"]]},"page":"99-122","title":"Effects of Selected Corporate Governance Characteristics on Firm Performance : Empirical Evidence from Kenya","type":"article-journal","volume":"1"},"uris":["http://www.mendeley.com/documents/?uuid=36e909b7-b3a0-4fa2-8c12-ea5f347b6113"]},{"id":"ITEM-2","itemData":{"abstract":"The study sought to test the relationship between liquidity and profitability of insurance companies in Kenya. The population of the study comprised of all the 49 insurance companies registered with IRA as at 31st December 2013 (Appendix 1). A census was carried out covering all the 49 insurance firms for five years period (1st January 2009 to 31st December 2013). The study used secondary data and the variables were deduced from the audited financial statements of the 49 registered insurance firms for financial periods 2009 to 2013. The collected data was analyzed using descriptive statistics. Profitability was measured by ROA, while liquidity was measured by Quick ratio and Leverage ratio. Firm size as measured by log of net premium and loss ratio were the control variables. The t-test was used to determine the significance of the constant term and the coefficients terms for each of the regressions. The importance of each of the regressions was determined by carrying out the F-test at 95% confidence level. The coefficient of determination R2 was used to measure the strength to which independent variables explain the variations in the dependent variables. The analysis was done using Statistical Package for Social Sciences (SPSS) software version 21. The study established a positive relationship between quick ratio and profitability of insurance companies in Kenya. The study indicated that leverage ratio has a negative influence on ROA. The study established a positive relationship between log of net premiums and ROA. Finally, the study indicated a negative but significant relationship between loss ratio and profitability of the insurance industry in Kenya. This study recommends that managers should maintain a trade off between profitability and liquidity, invest in liquid assets to improve liquidity as well as focus on exploring opportunities for growth and diversification and proper management of investment portfolios.","author":[{"dropping-particle":"","family":"Erick","given":"Tarus Kipkorir","non-dropping-particle":"","parse-names":false,"suffix":""},{"dropping-particle":"","family":"Kefah","given":"Basweti Aboko","non-dropping-particle":"","parse-names":false,"suffix":""},{"dropping-particle":"","family":"Nyaoga","given":"Richard Bitange","non-dropping-particle":"","parse-names":false,"suffix":""}],"container-title":"Research Journal of Finance and Accounting","id":"ITEM-2","issue":"1","issued":{"date-parts":[["2014"]]},"page":"113","title":"the Relationship Between Liquidity and Profitability of Insurance Companies in Kenya","type":"article-journal","volume":"5"},"uris":["http://www.mendeley.com/documents/?uuid=97a4f9f3-f1d9-40d6-99fe-4af136cdc779"]}],"mendeley":{"formattedCitation":"(Erick et al., 2014; Vincent O. Ongore &amp; K’Obonyo, 2011)","manualFormatting":"(Erick et al., 2014)","plainTextFormattedCitation":"(Erick et al., 2014; Vincent O. Ongore &amp; K’Obonyo, 2011)","previouslyFormattedCitation":"(Erick et al., 2014; Vincent O. Ongore &amp; K’Obonyo, 2011)"},"properties":{"noteIndex":0},"schema":"https://github.com/citation-style-language/schema/raw/master/csl-citation.json"}</w:instrText>
      </w:r>
      <w:r w:rsidRPr="00AE0B3D">
        <w:rPr>
          <w:rFonts w:cs="Times New Roman"/>
        </w:rPr>
        <w:fldChar w:fldCharType="separate"/>
      </w:r>
      <w:r w:rsidRPr="00AE0B3D">
        <w:rPr>
          <w:rFonts w:cs="Times New Roman"/>
          <w:noProof/>
        </w:rPr>
        <w:t>(Erick et al., 2014)</w:t>
      </w:r>
      <w:r w:rsidRPr="00AE0B3D">
        <w:rPr>
          <w:rFonts w:cs="Times New Roman"/>
        </w:rPr>
        <w:fldChar w:fldCharType="end"/>
      </w:r>
      <w:r w:rsidRPr="00AE0B3D">
        <w:rPr>
          <w:rFonts w:cs="Times New Roman"/>
        </w:rPr>
        <w:t xml:space="preserve">. The finding may not be applicable to other industries. </w:t>
      </w:r>
      <w:r w:rsidR="00E72011">
        <w:rPr>
          <w:rFonts w:cs="Times New Roman"/>
          <w:noProof/>
        </w:rPr>
        <w:t>Nyaribo and Nyakundi (</w:t>
      </w:r>
      <w:r w:rsidR="00E72011" w:rsidRPr="00AE0B3D">
        <w:rPr>
          <w:rFonts w:cs="Times New Roman"/>
          <w:noProof/>
        </w:rPr>
        <w:t>2016</w:t>
      </w:r>
      <w:r w:rsidR="00E72011">
        <w:rPr>
          <w:rFonts w:cs="Times New Roman"/>
          <w:noProof/>
        </w:rPr>
        <w:t xml:space="preserve">) evaluated the association non financial compensation and employees </w:t>
      </w:r>
      <w:r w:rsidR="00862097">
        <w:rPr>
          <w:rFonts w:cs="Times New Roman"/>
          <w:noProof/>
        </w:rPr>
        <w:t xml:space="preserve">perfomance focusing on the case study Wakenya Pamoja Sacco. </w:t>
      </w:r>
      <w:r w:rsidR="00D01B74">
        <w:rPr>
          <w:rFonts w:cs="Times New Roman"/>
          <w:noProof/>
        </w:rPr>
        <w:t>The authors recognised need to undert</w:t>
      </w:r>
      <w:r w:rsidR="00344CE6">
        <w:rPr>
          <w:rFonts w:cs="Times New Roman"/>
          <w:noProof/>
        </w:rPr>
        <w:t xml:space="preserve">ake research to consider other industries in assessing the association between non-financial compensation and employee perfomance. </w:t>
      </w:r>
      <w:r w:rsidR="00424706">
        <w:rPr>
          <w:rFonts w:cs="Times New Roman"/>
          <w:noProof/>
        </w:rPr>
        <w:t>Ongore and K’Obonyo (</w:t>
      </w:r>
      <w:r w:rsidR="00424706" w:rsidRPr="00AE0B3D">
        <w:rPr>
          <w:rFonts w:cs="Times New Roman"/>
          <w:noProof/>
        </w:rPr>
        <w:t>2011</w:t>
      </w:r>
      <w:r w:rsidR="00424706">
        <w:rPr>
          <w:rFonts w:cs="Times New Roman"/>
          <w:noProof/>
        </w:rPr>
        <w:t xml:space="preserve">) evaluated the association between organisation ownership structure and management </w:t>
      </w:r>
      <w:r w:rsidR="0002375A">
        <w:rPr>
          <w:rFonts w:cs="Times New Roman"/>
          <w:noProof/>
        </w:rPr>
        <w:t>discret</w:t>
      </w:r>
      <w:r w:rsidR="00424706">
        <w:rPr>
          <w:rFonts w:cs="Times New Roman"/>
          <w:noProof/>
        </w:rPr>
        <w:t xml:space="preserve">ion </w:t>
      </w:r>
      <w:r w:rsidR="0002375A">
        <w:rPr>
          <w:rFonts w:cs="Times New Roman"/>
          <w:noProof/>
        </w:rPr>
        <w:t xml:space="preserve">and firm financial peraformance. </w:t>
      </w:r>
      <w:r w:rsidR="00291FCB">
        <w:rPr>
          <w:rFonts w:cs="Times New Roman"/>
          <w:noProof/>
        </w:rPr>
        <w:t xml:space="preserve">The research however conclude that organisation board </w:t>
      </w:r>
      <w:r w:rsidR="002F2AE3">
        <w:rPr>
          <w:rFonts w:cs="Times New Roman"/>
          <w:noProof/>
        </w:rPr>
        <w:t>had no value to organisation performance. The manager was reported to play an important role in the perfomance of the organisation</w:t>
      </w:r>
      <w:r w:rsidR="00F740F3">
        <w:rPr>
          <w:rFonts w:cs="Times New Roman"/>
          <w:noProof/>
        </w:rPr>
        <w:t xml:space="preserve"> (</w:t>
      </w:r>
      <w:r w:rsidR="00F740F3" w:rsidRPr="00AE0B3D">
        <w:rPr>
          <w:rFonts w:cs="Times New Roman"/>
          <w:noProof/>
        </w:rPr>
        <w:t>Ongore &amp; K’Obonyo, 2011</w:t>
      </w:r>
      <w:r w:rsidR="00F740F3">
        <w:rPr>
          <w:rFonts w:cs="Times New Roman"/>
          <w:noProof/>
        </w:rPr>
        <w:t>)</w:t>
      </w:r>
      <w:r w:rsidR="002F2AE3">
        <w:rPr>
          <w:rFonts w:cs="Times New Roman"/>
          <w:noProof/>
        </w:rPr>
        <w:t xml:space="preserve">. Therefore, need to evaluate whether the management remuneration is a factor influencing  organisation perfomance. </w:t>
      </w:r>
    </w:p>
    <w:p w14:paraId="1A0BE690" w14:textId="7DFE23C2" w:rsidR="00D9099E" w:rsidRPr="00AE0B3D" w:rsidRDefault="00D9099E" w:rsidP="00D9099E">
      <w:pPr>
        <w:rPr>
          <w:rFonts w:cs="Times New Roman"/>
        </w:rPr>
      </w:pPr>
      <w:r w:rsidRPr="00AE0B3D">
        <w:rPr>
          <w:rFonts w:cs="Times New Roman"/>
        </w:rPr>
        <w:t xml:space="preserve">Although similar research has been undertaken in other countries, there is differences in social and legal structures, and economic performance history as compared </w:t>
      </w:r>
      <w:r w:rsidRPr="00AE0B3D">
        <w:rPr>
          <w:rFonts w:cs="Times New Roman"/>
        </w:rPr>
        <w:lastRenderedPageBreak/>
        <w:t xml:space="preserve">to Kenya which may result in difference in correlation between management remuneration and financial performance. Therefore, the finding of the other countries may not be applicable in the context of Kenya. There </w:t>
      </w:r>
      <w:r w:rsidR="002A7834">
        <w:rPr>
          <w:rFonts w:cs="Times New Roman"/>
        </w:rPr>
        <w:t>was</w:t>
      </w:r>
      <w:r w:rsidRPr="00AE0B3D">
        <w:rPr>
          <w:rFonts w:cs="Times New Roman"/>
        </w:rPr>
        <w:t xml:space="preserve"> thus need for research to be undertaken in the context of public listed company to evaluate the relationship between management remuneration and financial performance. </w:t>
      </w:r>
    </w:p>
    <w:p w14:paraId="4C885715" w14:textId="77777777" w:rsidR="00A60EE8" w:rsidRPr="00AE0B3D" w:rsidRDefault="00A60EE8" w:rsidP="004308D0">
      <w:pPr>
        <w:pStyle w:val="Heading2"/>
        <w:rPr>
          <w:rFonts w:cs="Times New Roman"/>
        </w:rPr>
      </w:pPr>
      <w:bookmarkStart w:id="21" w:name="_Toc78067498"/>
      <w:r w:rsidRPr="00AE0B3D">
        <w:rPr>
          <w:rFonts w:cs="Times New Roman"/>
        </w:rPr>
        <w:t xml:space="preserve">Research </w:t>
      </w:r>
      <w:r w:rsidR="000D6EEE" w:rsidRPr="00AE0B3D">
        <w:rPr>
          <w:rFonts w:cs="Times New Roman"/>
        </w:rPr>
        <w:t>Q</w:t>
      </w:r>
      <w:r w:rsidRPr="00AE0B3D">
        <w:rPr>
          <w:rFonts w:cs="Times New Roman"/>
        </w:rPr>
        <w:t>uestions</w:t>
      </w:r>
      <w:bookmarkEnd w:id="21"/>
    </w:p>
    <w:p w14:paraId="02B84968" w14:textId="6928030E" w:rsidR="00D0193A" w:rsidRDefault="00FC1D75" w:rsidP="00BD5354">
      <w:pPr>
        <w:ind w:left="1440" w:hanging="720"/>
        <w:rPr>
          <w:rFonts w:cs="Times New Roman"/>
        </w:rPr>
      </w:pPr>
      <w:r w:rsidRPr="00AE0B3D">
        <w:rPr>
          <w:rFonts w:cs="Times New Roman"/>
        </w:rPr>
        <w:t>I.</w:t>
      </w:r>
      <w:r w:rsidRPr="00AE0B3D">
        <w:rPr>
          <w:rFonts w:cs="Times New Roman"/>
        </w:rPr>
        <w:tab/>
      </w:r>
      <w:r w:rsidR="00D0193A" w:rsidRPr="00AE0B3D">
        <w:rPr>
          <w:rFonts w:cs="Times New Roman"/>
          <w:szCs w:val="24"/>
        </w:rPr>
        <w:t>What is the level of management remuneration of the selected public listed companies in the Nairobi securities exchange from 2016 to 2018 in terms of salary, benefits, bonus and shares?</w:t>
      </w:r>
    </w:p>
    <w:p w14:paraId="144DAB7B" w14:textId="239A5A36" w:rsidR="00D0193A" w:rsidRDefault="00D0193A" w:rsidP="00BD5354">
      <w:pPr>
        <w:ind w:left="1440" w:hanging="720"/>
        <w:rPr>
          <w:rFonts w:cs="Times New Roman"/>
        </w:rPr>
      </w:pPr>
      <w:r>
        <w:rPr>
          <w:rFonts w:cs="Times New Roman"/>
        </w:rPr>
        <w:t>II.</w:t>
      </w:r>
      <w:r>
        <w:rPr>
          <w:rFonts w:cs="Times New Roman"/>
        </w:rPr>
        <w:tab/>
      </w:r>
      <w:r w:rsidR="00054C94">
        <w:rPr>
          <w:rFonts w:cs="Times New Roman"/>
        </w:rPr>
        <w:t>What is the level of</w:t>
      </w:r>
      <w:r w:rsidR="004B0D27" w:rsidRPr="00AE0B3D">
        <w:rPr>
          <w:rFonts w:cs="Times New Roman"/>
        </w:rPr>
        <w:t xml:space="preserve"> </w:t>
      </w:r>
      <w:r w:rsidR="00131770" w:rsidRPr="00AE0B3D">
        <w:rPr>
          <w:rFonts w:cs="Times New Roman"/>
        </w:rPr>
        <w:t xml:space="preserve">financial performance </w:t>
      </w:r>
      <w:r w:rsidR="00FC63D5" w:rsidRPr="00AE0B3D">
        <w:rPr>
          <w:rFonts w:cs="Times New Roman"/>
        </w:rPr>
        <w:t xml:space="preserve">of the selected public listed </w:t>
      </w:r>
      <w:r w:rsidR="00FC63D5" w:rsidRPr="00AE0B3D">
        <w:rPr>
          <w:rFonts w:cs="Times New Roman"/>
          <w:szCs w:val="24"/>
        </w:rPr>
        <w:t xml:space="preserve">companies in the Nairobi securities exchange </w:t>
      </w:r>
      <w:r w:rsidR="00F14C97" w:rsidRPr="00AE0B3D">
        <w:rPr>
          <w:rFonts w:cs="Times New Roman"/>
          <w:szCs w:val="24"/>
        </w:rPr>
        <w:t xml:space="preserve">from 2016 to 2018 </w:t>
      </w:r>
      <w:r w:rsidR="00FC63D5" w:rsidRPr="00AE0B3D">
        <w:rPr>
          <w:rFonts w:cs="Times New Roman"/>
          <w:szCs w:val="24"/>
        </w:rPr>
        <w:t xml:space="preserve">as </w:t>
      </w:r>
      <w:r w:rsidR="005F7CE0" w:rsidRPr="00AE0B3D">
        <w:rPr>
          <w:rFonts w:cs="Times New Roman"/>
        </w:rPr>
        <w:t xml:space="preserve">measured </w:t>
      </w:r>
      <w:r w:rsidR="00EF2078" w:rsidRPr="00AE0B3D">
        <w:rPr>
          <w:rFonts w:cs="Times New Roman"/>
        </w:rPr>
        <w:t xml:space="preserve">by </w:t>
      </w:r>
      <w:r w:rsidR="005F7CE0" w:rsidRPr="00AE0B3D">
        <w:rPr>
          <w:rFonts w:cs="Times New Roman"/>
        </w:rPr>
        <w:t xml:space="preserve">the </w:t>
      </w:r>
      <w:r w:rsidR="001D1FC1">
        <w:t>return on assets</w:t>
      </w:r>
      <w:r w:rsidR="001D1FC1" w:rsidRPr="00AE0B3D">
        <w:t xml:space="preserve"> </w:t>
      </w:r>
      <w:r w:rsidR="00433A25" w:rsidRPr="00AE0B3D">
        <w:t>and</w:t>
      </w:r>
      <w:r w:rsidR="00B35094" w:rsidRPr="00AE0B3D">
        <w:t xml:space="preserve"> </w:t>
      </w:r>
      <w:r w:rsidR="00F01734" w:rsidRPr="00AE0B3D">
        <w:t>return on equity</w:t>
      </w:r>
      <w:r w:rsidR="009E67EB" w:rsidRPr="00AE0B3D">
        <w:rPr>
          <w:rFonts w:cs="Times New Roman"/>
          <w:szCs w:val="24"/>
        </w:rPr>
        <w:t>?</w:t>
      </w:r>
    </w:p>
    <w:p w14:paraId="02C72BDC" w14:textId="0761183F" w:rsidR="00DE2126" w:rsidRPr="00AE0B3D" w:rsidRDefault="005138C7" w:rsidP="00BD5354">
      <w:pPr>
        <w:ind w:left="1440" w:hanging="720"/>
        <w:rPr>
          <w:rFonts w:cs="Times New Roman"/>
        </w:rPr>
      </w:pPr>
      <w:r w:rsidRPr="00AE0B3D">
        <w:rPr>
          <w:rFonts w:cs="Times New Roman"/>
        </w:rPr>
        <w:t>I</w:t>
      </w:r>
      <w:r w:rsidR="00FC1D75" w:rsidRPr="00AE0B3D">
        <w:rPr>
          <w:rFonts w:cs="Times New Roman"/>
        </w:rPr>
        <w:t>II.</w:t>
      </w:r>
      <w:r w:rsidR="00FC1D75" w:rsidRPr="00AE0B3D">
        <w:rPr>
          <w:rFonts w:cs="Times New Roman"/>
        </w:rPr>
        <w:tab/>
      </w:r>
      <w:r w:rsidRPr="00AE0B3D">
        <w:rPr>
          <w:rFonts w:cs="Times New Roman"/>
          <w:szCs w:val="24"/>
        </w:rPr>
        <w:t xml:space="preserve">Is there a significant </w:t>
      </w:r>
      <w:r w:rsidR="00B32815">
        <w:rPr>
          <w:rFonts w:cs="Times New Roman"/>
          <w:szCs w:val="24"/>
        </w:rPr>
        <w:t xml:space="preserve">effect of </w:t>
      </w:r>
      <w:r w:rsidRPr="00AE0B3D">
        <w:rPr>
          <w:rFonts w:cs="Times New Roman"/>
          <w:szCs w:val="24"/>
        </w:rPr>
        <w:t xml:space="preserve">management remuneration </w:t>
      </w:r>
      <w:r w:rsidR="00B32815">
        <w:rPr>
          <w:rFonts w:cs="Times New Roman"/>
          <w:szCs w:val="24"/>
        </w:rPr>
        <w:t xml:space="preserve">on </w:t>
      </w:r>
      <w:r w:rsidRPr="00AE0B3D">
        <w:rPr>
          <w:rFonts w:cs="Times New Roman"/>
          <w:szCs w:val="24"/>
        </w:rPr>
        <w:t>financial performance</w:t>
      </w:r>
      <w:r w:rsidR="00DE2126" w:rsidRPr="00AE0B3D">
        <w:rPr>
          <w:rFonts w:cs="Times New Roman"/>
          <w:szCs w:val="24"/>
        </w:rPr>
        <w:t xml:space="preserve"> of </w:t>
      </w:r>
      <w:r w:rsidR="001F3A86" w:rsidRPr="00AE0B3D">
        <w:rPr>
          <w:rFonts w:cs="Times New Roman"/>
          <w:szCs w:val="24"/>
        </w:rPr>
        <w:t xml:space="preserve">the selected </w:t>
      </w:r>
      <w:r w:rsidR="00DE2126" w:rsidRPr="00AE0B3D">
        <w:rPr>
          <w:rFonts w:cs="Times New Roman"/>
          <w:szCs w:val="24"/>
        </w:rPr>
        <w:t xml:space="preserve">public listed companies in the </w:t>
      </w:r>
      <w:r w:rsidR="001E73BE" w:rsidRPr="00AE0B3D">
        <w:rPr>
          <w:rFonts w:cs="Times New Roman"/>
        </w:rPr>
        <w:t>Nairobi securities exchange</w:t>
      </w:r>
      <w:r w:rsidR="00DE2126" w:rsidRPr="00AE0B3D">
        <w:rPr>
          <w:rFonts w:cs="Times New Roman"/>
          <w:szCs w:val="24"/>
        </w:rPr>
        <w:t>?</w:t>
      </w:r>
    </w:p>
    <w:p w14:paraId="2DEA3DA9" w14:textId="1B46E66B" w:rsidR="00195475" w:rsidRPr="00AE0B3D" w:rsidRDefault="00FC1D75" w:rsidP="00BD5354">
      <w:pPr>
        <w:ind w:left="1440" w:hanging="720"/>
        <w:rPr>
          <w:rFonts w:cs="Times New Roman"/>
        </w:rPr>
      </w:pPr>
      <w:r w:rsidRPr="00AE0B3D">
        <w:rPr>
          <w:rFonts w:cs="Times New Roman"/>
        </w:rPr>
        <w:t>I</w:t>
      </w:r>
      <w:r w:rsidR="00DE2126" w:rsidRPr="00AE0B3D">
        <w:rPr>
          <w:rFonts w:cs="Times New Roman"/>
        </w:rPr>
        <w:t>V</w:t>
      </w:r>
      <w:r w:rsidRPr="00AE0B3D">
        <w:rPr>
          <w:rFonts w:cs="Times New Roman"/>
        </w:rPr>
        <w:t>.</w:t>
      </w:r>
      <w:r w:rsidRPr="00AE0B3D">
        <w:rPr>
          <w:rFonts w:cs="Times New Roman"/>
        </w:rPr>
        <w:tab/>
      </w:r>
      <w:r w:rsidR="00DE2126" w:rsidRPr="00AE0B3D">
        <w:rPr>
          <w:rFonts w:cs="Times New Roman"/>
          <w:szCs w:val="24"/>
        </w:rPr>
        <w:t>Which management remuneration</w:t>
      </w:r>
      <w:r w:rsidR="0085586D">
        <w:rPr>
          <w:rFonts w:cs="Times New Roman"/>
          <w:szCs w:val="24"/>
        </w:rPr>
        <w:t xml:space="preserve"> measures</w:t>
      </w:r>
      <w:r w:rsidR="00DE2126" w:rsidRPr="00AE0B3D">
        <w:rPr>
          <w:rFonts w:cs="Times New Roman"/>
          <w:szCs w:val="24"/>
        </w:rPr>
        <w:t xml:space="preserve"> </w:t>
      </w:r>
      <w:r w:rsidR="001F3A86" w:rsidRPr="00AE0B3D">
        <w:rPr>
          <w:rFonts w:cs="Times New Roman"/>
          <w:szCs w:val="24"/>
        </w:rPr>
        <w:t xml:space="preserve">are the </w:t>
      </w:r>
      <w:r w:rsidR="00DE2126" w:rsidRPr="00AE0B3D">
        <w:rPr>
          <w:rFonts w:cs="Times New Roman"/>
          <w:szCs w:val="24"/>
        </w:rPr>
        <w:t xml:space="preserve">best </w:t>
      </w:r>
      <w:r w:rsidR="0049153C" w:rsidRPr="00AE0B3D">
        <w:rPr>
          <w:rFonts w:cs="Times New Roman"/>
          <w:szCs w:val="24"/>
        </w:rPr>
        <w:t>predictor</w:t>
      </w:r>
      <w:r w:rsidR="00131770" w:rsidRPr="00AE0B3D">
        <w:rPr>
          <w:rFonts w:cs="Times New Roman"/>
          <w:szCs w:val="24"/>
        </w:rPr>
        <w:t>s</w:t>
      </w:r>
      <w:r w:rsidR="0049153C" w:rsidRPr="00AE0B3D">
        <w:rPr>
          <w:rFonts w:cs="Times New Roman"/>
          <w:szCs w:val="24"/>
        </w:rPr>
        <w:t xml:space="preserve"> of</w:t>
      </w:r>
      <w:r w:rsidR="00DE2126" w:rsidRPr="00AE0B3D">
        <w:rPr>
          <w:rFonts w:cs="Times New Roman"/>
          <w:szCs w:val="24"/>
        </w:rPr>
        <w:t xml:space="preserve"> financial performance </w:t>
      </w:r>
      <w:r w:rsidRPr="00AE0B3D">
        <w:rPr>
          <w:rFonts w:cs="Times New Roman"/>
        </w:rPr>
        <w:t>of companies listed in the Nairobi</w:t>
      </w:r>
      <w:r w:rsidR="001E73BE" w:rsidRPr="00AE0B3D">
        <w:rPr>
          <w:rFonts w:cs="Times New Roman"/>
        </w:rPr>
        <w:t xml:space="preserve"> securities</w:t>
      </w:r>
      <w:r w:rsidR="008E335A" w:rsidRPr="00AE0B3D">
        <w:rPr>
          <w:rFonts w:cs="Times New Roman"/>
        </w:rPr>
        <w:t xml:space="preserve"> </w:t>
      </w:r>
      <w:r w:rsidRPr="00AE0B3D">
        <w:rPr>
          <w:rFonts w:cs="Times New Roman"/>
        </w:rPr>
        <w:t xml:space="preserve">exchange </w:t>
      </w:r>
      <w:r w:rsidR="000A398F" w:rsidRPr="00AE0B3D">
        <w:rPr>
          <w:rFonts w:cs="Times New Roman"/>
        </w:rPr>
        <w:t>market?</w:t>
      </w:r>
    </w:p>
    <w:p w14:paraId="0E4C52B8" w14:textId="4A4A0BFF" w:rsidR="00FB05B7" w:rsidRPr="00AE0B3D" w:rsidRDefault="00FB05B7" w:rsidP="00DD7494">
      <w:pPr>
        <w:pStyle w:val="Heading2"/>
        <w:rPr>
          <w:rFonts w:cs="Times New Roman"/>
        </w:rPr>
      </w:pPr>
      <w:bookmarkStart w:id="22" w:name="_Toc78067499"/>
      <w:bookmarkStart w:id="23" w:name="_Hlk528320203"/>
      <w:r w:rsidRPr="00AE0B3D">
        <w:rPr>
          <w:rFonts w:cs="Times New Roman"/>
        </w:rPr>
        <w:t>Hypothesis</w:t>
      </w:r>
      <w:bookmarkEnd w:id="22"/>
    </w:p>
    <w:p w14:paraId="125A6A79" w14:textId="7F389435" w:rsidR="00F522E6" w:rsidRPr="00AE0B3D" w:rsidRDefault="00120045" w:rsidP="004E4D05">
      <w:pPr>
        <w:rPr>
          <w:szCs w:val="24"/>
        </w:rPr>
      </w:pPr>
      <w:r w:rsidRPr="00AE0B3D">
        <w:rPr>
          <w:rFonts w:cs="Times New Roman"/>
        </w:rPr>
        <w:t xml:space="preserve">The study was guided by the </w:t>
      </w:r>
      <w:r w:rsidR="009527B4" w:rsidRPr="00AE0B3D">
        <w:rPr>
          <w:rFonts w:cs="Times New Roman"/>
        </w:rPr>
        <w:t>following hypothesis:</w:t>
      </w:r>
      <w:r w:rsidR="009E67EB" w:rsidRPr="00AE0B3D">
        <w:rPr>
          <w:rFonts w:cs="Times New Roman"/>
        </w:rPr>
        <w:t xml:space="preserve"> </w:t>
      </w:r>
    </w:p>
    <w:p w14:paraId="210E0A8D" w14:textId="77777777" w:rsidR="00DD7494" w:rsidRPr="00AE0B3D" w:rsidRDefault="00DD7494" w:rsidP="00DD7494">
      <w:pPr>
        <w:rPr>
          <w:rFonts w:cs="Times New Roman"/>
        </w:rPr>
      </w:pPr>
      <w:r w:rsidRPr="00AE0B3D">
        <w:rPr>
          <w:rFonts w:cs="Times New Roman"/>
        </w:rPr>
        <w:lastRenderedPageBreak/>
        <w:t>H</w:t>
      </w:r>
      <w:r w:rsidR="00B810BC" w:rsidRPr="00AE0B3D">
        <w:rPr>
          <w:rFonts w:cs="Times New Roman"/>
          <w:vertAlign w:val="subscript"/>
        </w:rPr>
        <w:t xml:space="preserve">0 </w:t>
      </w:r>
      <w:bookmarkStart w:id="24" w:name="_Hlk14881421"/>
      <w:r w:rsidR="007A1E62" w:rsidRPr="00AE0B3D">
        <w:t xml:space="preserve">Management remuneration strategies has no significant </w:t>
      </w:r>
      <w:r w:rsidR="007A1E62" w:rsidRPr="00AE0B3D">
        <w:rPr>
          <w:rFonts w:cs="Times New Roman"/>
        </w:rPr>
        <w:t>influence</w:t>
      </w:r>
      <w:r w:rsidR="007A1E62" w:rsidRPr="00AE0B3D">
        <w:t xml:space="preserve"> on the financial performance of public companies listed in the </w:t>
      </w:r>
      <w:r w:rsidR="007A1E62" w:rsidRPr="00AE0B3D">
        <w:rPr>
          <w:rFonts w:cs="Times New Roman"/>
          <w:szCs w:val="24"/>
        </w:rPr>
        <w:t>Nairobi securities exchange</w:t>
      </w:r>
      <w:bookmarkEnd w:id="24"/>
    </w:p>
    <w:p w14:paraId="32B7956C" w14:textId="77777777" w:rsidR="003F0FBA" w:rsidRPr="00AE0B3D" w:rsidRDefault="003F0FBA" w:rsidP="00B810BC">
      <w:pPr>
        <w:pStyle w:val="Heading2"/>
        <w:rPr>
          <w:rFonts w:cs="Times New Roman"/>
        </w:rPr>
      </w:pPr>
      <w:bookmarkStart w:id="25" w:name="_Toc78067500"/>
      <w:r w:rsidRPr="00AE0B3D">
        <w:rPr>
          <w:rFonts w:cs="Times New Roman"/>
          <w:noProof/>
        </w:rPr>
        <w:t>Significance</w:t>
      </w:r>
      <w:r w:rsidRPr="00AE0B3D">
        <w:rPr>
          <w:rFonts w:cs="Times New Roman"/>
        </w:rPr>
        <w:t xml:space="preserve"> of the Study</w:t>
      </w:r>
      <w:bookmarkEnd w:id="25"/>
    </w:p>
    <w:p w14:paraId="053CAFBD" w14:textId="0380984E" w:rsidR="00256DC2" w:rsidRDefault="00B67C5D" w:rsidP="00ED34A7">
      <w:r w:rsidRPr="00AE0B3D">
        <w:t xml:space="preserve">The </w:t>
      </w:r>
      <w:r w:rsidR="00744BFA" w:rsidRPr="00AE0B3D">
        <w:t>research output</w:t>
      </w:r>
      <w:r w:rsidRPr="00AE0B3D">
        <w:t xml:space="preserve"> </w:t>
      </w:r>
      <w:r w:rsidR="00C6259B">
        <w:t>has</w:t>
      </w:r>
      <w:r w:rsidRPr="00AE0B3D">
        <w:t xml:space="preserve"> significant in the body of knowledge </w:t>
      </w:r>
      <w:r w:rsidR="00744BFA" w:rsidRPr="00AE0B3D">
        <w:t>as it contribute</w:t>
      </w:r>
      <w:r w:rsidR="00C6259B">
        <w:t>d</w:t>
      </w:r>
      <w:r w:rsidR="00744BFA" w:rsidRPr="00AE0B3D">
        <w:t xml:space="preserve"> to </w:t>
      </w:r>
      <w:r w:rsidR="00794CF7" w:rsidRPr="00AE0B3D">
        <w:t xml:space="preserve">the </w:t>
      </w:r>
      <w:r w:rsidR="00744BFA" w:rsidRPr="00AE0B3D">
        <w:rPr>
          <w:noProof/>
        </w:rPr>
        <w:t>body</w:t>
      </w:r>
      <w:r w:rsidR="00744BFA" w:rsidRPr="00AE0B3D">
        <w:t xml:space="preserve"> of </w:t>
      </w:r>
      <w:r w:rsidR="00F7645E" w:rsidRPr="00AE0B3D">
        <w:t xml:space="preserve">literature </w:t>
      </w:r>
      <w:r w:rsidR="00744BFA" w:rsidRPr="00AE0B3D">
        <w:t xml:space="preserve">on </w:t>
      </w:r>
      <w:r w:rsidR="00744BFA" w:rsidRPr="00AE0B3D">
        <w:rPr>
          <w:noProof/>
        </w:rPr>
        <w:t>effect</w:t>
      </w:r>
      <w:r w:rsidR="00794CF7" w:rsidRPr="00AE0B3D">
        <w:rPr>
          <w:noProof/>
        </w:rPr>
        <w:t>s</w:t>
      </w:r>
      <w:r w:rsidR="00744BFA" w:rsidRPr="00AE0B3D">
        <w:t xml:space="preserve"> of management </w:t>
      </w:r>
      <w:r w:rsidR="00745F11" w:rsidRPr="00AE0B3D">
        <w:t xml:space="preserve">remuneration </w:t>
      </w:r>
      <w:r w:rsidR="00744BFA" w:rsidRPr="00AE0B3D">
        <w:t>on the financial performance of companies. It also contribute</w:t>
      </w:r>
      <w:r w:rsidR="00C6259B">
        <w:t>d</w:t>
      </w:r>
      <w:r w:rsidR="00744BFA" w:rsidRPr="00AE0B3D">
        <w:t xml:space="preserve"> to </w:t>
      </w:r>
      <w:r w:rsidR="00794CF7" w:rsidRPr="00AE0B3D">
        <w:t xml:space="preserve">the </w:t>
      </w:r>
      <w:r w:rsidR="00744BFA" w:rsidRPr="00AE0B3D">
        <w:rPr>
          <w:noProof/>
        </w:rPr>
        <w:t>identification</w:t>
      </w:r>
      <w:r w:rsidR="00744BFA" w:rsidRPr="00AE0B3D">
        <w:t xml:space="preserve"> of </w:t>
      </w:r>
      <w:r w:rsidR="00794CF7" w:rsidRPr="00AE0B3D">
        <w:t>types of</w:t>
      </w:r>
      <w:r w:rsidR="00744BFA" w:rsidRPr="00AE0B3D">
        <w:t xml:space="preserve"> </w:t>
      </w:r>
      <w:r w:rsidR="00AF26A8" w:rsidRPr="00AE0B3D">
        <w:t xml:space="preserve">remuneration </w:t>
      </w:r>
      <w:r w:rsidR="00EA6859">
        <w:t>measures</w:t>
      </w:r>
      <w:r w:rsidR="00794CF7" w:rsidRPr="00AE0B3D">
        <w:t xml:space="preserve"> used</w:t>
      </w:r>
      <w:r w:rsidR="00AF26A8" w:rsidRPr="00AE0B3D">
        <w:t xml:space="preserve"> </w:t>
      </w:r>
      <w:r w:rsidR="00794CF7" w:rsidRPr="00AE0B3D">
        <w:t xml:space="preserve">by organisation and </w:t>
      </w:r>
      <w:r w:rsidR="00256DC2">
        <w:t>their</w:t>
      </w:r>
      <w:r w:rsidR="00794CF7" w:rsidRPr="00AE0B3D">
        <w:t xml:space="preserve"> correlation with financial </w:t>
      </w:r>
      <w:r w:rsidR="00C66756" w:rsidRPr="00AE0B3D">
        <w:t>performance</w:t>
      </w:r>
      <w:r w:rsidR="00AF26A8" w:rsidRPr="00AE0B3D">
        <w:t xml:space="preserve">. </w:t>
      </w:r>
      <w:r w:rsidR="00256DC2">
        <w:t xml:space="preserve">The study contributed to the body of research </w:t>
      </w:r>
      <w:r w:rsidR="00EA6859">
        <w:t>using</w:t>
      </w:r>
      <w:r w:rsidR="00256DC2">
        <w:t xml:space="preserve"> secondary data in evaluating the association between remuneration and financial performance, which aim to complement the literature available on the use of primary data. The study importance also </w:t>
      </w:r>
      <w:r w:rsidR="00EA6859">
        <w:t>incorporates</w:t>
      </w:r>
      <w:r w:rsidR="00256DC2">
        <w:t xml:space="preserve"> the use of empirical finding in presenting the effect of remuneration on performance of public listed companies. </w:t>
      </w:r>
    </w:p>
    <w:p w14:paraId="6392B83C" w14:textId="0731FC3F" w:rsidR="009F2DC5" w:rsidRDefault="00AF26A8" w:rsidP="00F01734">
      <w:r w:rsidRPr="00AE0B3D">
        <w:t xml:space="preserve">The study </w:t>
      </w:r>
      <w:r w:rsidR="00F7645E" w:rsidRPr="00AE0B3D">
        <w:t xml:space="preserve">also </w:t>
      </w:r>
      <w:r w:rsidR="00D65B12">
        <w:t>was</w:t>
      </w:r>
      <w:r w:rsidR="00D65B12" w:rsidRPr="00AE0B3D">
        <w:t xml:space="preserve"> beneficial</w:t>
      </w:r>
      <w:r w:rsidR="00F7645E" w:rsidRPr="00AE0B3D">
        <w:t xml:space="preserve"> to the stakeholders</w:t>
      </w:r>
      <w:r w:rsidR="00492AA1" w:rsidRPr="00AE0B3D">
        <w:t xml:space="preserve"> such as shareholders, policy makers, and organisation management</w:t>
      </w:r>
      <w:r w:rsidR="00F7645E" w:rsidRPr="00AE0B3D">
        <w:t xml:space="preserve">. </w:t>
      </w:r>
      <w:r w:rsidR="00492AA1" w:rsidRPr="00AE0B3D">
        <w:t xml:space="preserve">For </w:t>
      </w:r>
      <w:r w:rsidR="003726F6" w:rsidRPr="00AE0B3D">
        <w:t>policy makers</w:t>
      </w:r>
      <w:r w:rsidR="00492AA1" w:rsidRPr="00AE0B3D">
        <w:t>, the research provide</w:t>
      </w:r>
      <w:r w:rsidR="00D65B12">
        <w:t>d</w:t>
      </w:r>
      <w:r w:rsidR="00492AA1" w:rsidRPr="00AE0B3D">
        <w:t xml:space="preserve"> </w:t>
      </w:r>
      <w:r w:rsidR="00EA6859" w:rsidRPr="00AE0B3D">
        <w:t>background</w:t>
      </w:r>
      <w:r w:rsidR="00492AA1" w:rsidRPr="00AE0B3D">
        <w:t xml:space="preserve"> information on association between management remuneration and financial performance that facilitate making informed decision </w:t>
      </w:r>
      <w:r w:rsidR="00BF6B56" w:rsidRPr="00AE0B3D">
        <w:t>when formulating policies. The organisation</w:t>
      </w:r>
      <w:r w:rsidR="00CC4801">
        <w:t>s</w:t>
      </w:r>
      <w:r w:rsidR="00BF6B56" w:rsidRPr="00AE0B3D">
        <w:t xml:space="preserve"> </w:t>
      </w:r>
      <w:r w:rsidR="00933E59" w:rsidRPr="00AE0B3D">
        <w:t xml:space="preserve">management </w:t>
      </w:r>
      <w:r w:rsidR="00BF6B56" w:rsidRPr="00AE0B3D">
        <w:t>benefit</w:t>
      </w:r>
      <w:r w:rsidR="00CC4801">
        <w:t>ed</w:t>
      </w:r>
      <w:r w:rsidR="00BF6B56" w:rsidRPr="00AE0B3D">
        <w:t xml:space="preserve"> from information on whether remuneration motivates performance, and how the strategy of management remuneration </w:t>
      </w:r>
      <w:r w:rsidR="00933E59" w:rsidRPr="00AE0B3D">
        <w:t>is</w:t>
      </w:r>
      <w:r w:rsidR="00BF6B56" w:rsidRPr="00AE0B3D">
        <w:t xml:space="preserve"> utilised by different </w:t>
      </w:r>
      <w:r w:rsidR="00933E59" w:rsidRPr="00AE0B3D">
        <w:t>listed organisation in Kenya</w:t>
      </w:r>
      <w:r w:rsidR="00132217" w:rsidRPr="00AE0B3D">
        <w:t xml:space="preserve">. Management also </w:t>
      </w:r>
      <w:r w:rsidR="00EA6859" w:rsidRPr="00AE0B3D">
        <w:t>benefits</w:t>
      </w:r>
      <w:r w:rsidR="00132217" w:rsidRPr="00AE0B3D">
        <w:t xml:space="preserve"> by getting supporting facts to guide their decision making that improve </w:t>
      </w:r>
      <w:r w:rsidR="00132217" w:rsidRPr="00AE0B3D">
        <w:rPr>
          <w:noProof/>
        </w:rPr>
        <w:t>financial</w:t>
      </w:r>
      <w:r w:rsidR="00132217" w:rsidRPr="00AE0B3D">
        <w:t xml:space="preserve"> performance of public listed </w:t>
      </w:r>
      <w:r w:rsidR="00EB00A7" w:rsidRPr="00AE0B3D">
        <w:t>companies.</w:t>
      </w:r>
      <w:r w:rsidR="00933E59" w:rsidRPr="00AE0B3D">
        <w:t xml:space="preserve"> Shareholders also get an understanding on how management remuneration is utilised by the management and the different types of remunerations adopted. </w:t>
      </w:r>
      <w:r w:rsidR="003726F6" w:rsidRPr="00AE0B3D">
        <w:t xml:space="preserve">The research </w:t>
      </w:r>
      <w:r w:rsidR="00CC4801">
        <w:t>was</w:t>
      </w:r>
      <w:r w:rsidR="00CC4801" w:rsidRPr="00AE0B3D">
        <w:t xml:space="preserve"> </w:t>
      </w:r>
      <w:r w:rsidR="003726F6" w:rsidRPr="00AE0B3D">
        <w:t xml:space="preserve">not a replication of any study that has been done </w:t>
      </w:r>
      <w:r w:rsidR="00124872" w:rsidRPr="00AE0B3D">
        <w:t xml:space="preserve">before. </w:t>
      </w:r>
      <w:r w:rsidR="009F2DC5" w:rsidRPr="00AE0B3D">
        <w:t>The undertaking facilitate</w:t>
      </w:r>
      <w:r w:rsidR="008A3A3D">
        <w:t>d</w:t>
      </w:r>
      <w:r w:rsidR="009F2DC5" w:rsidRPr="00AE0B3D">
        <w:t xml:space="preserve"> availing </w:t>
      </w:r>
      <w:r w:rsidR="009F2DC5" w:rsidRPr="00AE0B3D">
        <w:lastRenderedPageBreak/>
        <w:t xml:space="preserve">information that can be used in comparing the management remuneration impact on financial performance in Kenya as compared to other countries such as South Africa where similar research has already been undertaken. </w:t>
      </w:r>
    </w:p>
    <w:p w14:paraId="79B7DC6E" w14:textId="77777777" w:rsidR="006359DB" w:rsidRPr="00AE0B3D" w:rsidRDefault="006359DB" w:rsidP="00142F12">
      <w:pPr>
        <w:ind w:firstLine="0"/>
      </w:pPr>
    </w:p>
    <w:p w14:paraId="45D57D97" w14:textId="77777777" w:rsidR="003F0FBA" w:rsidRPr="00AE0B3D" w:rsidRDefault="003F0FBA" w:rsidP="00744BFA">
      <w:pPr>
        <w:pStyle w:val="Heading2"/>
        <w:rPr>
          <w:rFonts w:cs="Times New Roman"/>
        </w:rPr>
      </w:pPr>
      <w:bookmarkStart w:id="26" w:name="_Toc78067501"/>
      <w:bookmarkEnd w:id="23"/>
      <w:r w:rsidRPr="00AE0B3D">
        <w:rPr>
          <w:rFonts w:cs="Times New Roman"/>
        </w:rPr>
        <w:t xml:space="preserve">Justification of the </w:t>
      </w:r>
      <w:r w:rsidR="000D6EEE" w:rsidRPr="00AE0B3D">
        <w:rPr>
          <w:rFonts w:cs="Times New Roman"/>
        </w:rPr>
        <w:t>S</w:t>
      </w:r>
      <w:r w:rsidRPr="00AE0B3D">
        <w:rPr>
          <w:rFonts w:cs="Times New Roman"/>
        </w:rPr>
        <w:t>tudy</w:t>
      </w:r>
      <w:bookmarkEnd w:id="26"/>
    </w:p>
    <w:p w14:paraId="2A3FD83B" w14:textId="4E442334" w:rsidR="003F0FBA" w:rsidRPr="00AE0B3D" w:rsidRDefault="001B3D5F" w:rsidP="003F0FBA">
      <w:pPr>
        <w:rPr>
          <w:rFonts w:cs="Times New Roman"/>
        </w:rPr>
      </w:pPr>
      <w:r w:rsidRPr="00AE0B3D">
        <w:rPr>
          <w:rFonts w:cs="Times New Roman"/>
        </w:rPr>
        <w:t xml:space="preserve">The research </w:t>
      </w:r>
      <w:r w:rsidR="0041761B">
        <w:rPr>
          <w:rFonts w:cs="Times New Roman"/>
        </w:rPr>
        <w:t>was</w:t>
      </w:r>
      <w:r w:rsidRPr="00AE0B3D">
        <w:rPr>
          <w:rFonts w:cs="Times New Roman"/>
        </w:rPr>
        <w:t xml:space="preserve"> undertaken to fill an existing gap </w:t>
      </w:r>
      <w:r w:rsidR="0033260A" w:rsidRPr="00AE0B3D">
        <w:rPr>
          <w:rFonts w:cs="Times New Roman"/>
          <w:noProof/>
        </w:rPr>
        <w:t>o</w:t>
      </w:r>
      <w:r w:rsidRPr="00AE0B3D">
        <w:rPr>
          <w:rFonts w:cs="Times New Roman"/>
          <w:noProof/>
        </w:rPr>
        <w:t>n</w:t>
      </w:r>
      <w:r w:rsidRPr="00AE0B3D">
        <w:rPr>
          <w:rFonts w:cs="Times New Roman"/>
        </w:rPr>
        <w:t xml:space="preserve"> the effect of</w:t>
      </w:r>
      <w:r w:rsidR="002A36A2" w:rsidRPr="00AE0B3D">
        <w:rPr>
          <w:rFonts w:cs="Times New Roman"/>
        </w:rPr>
        <w:t xml:space="preserve"> management</w:t>
      </w:r>
      <w:r w:rsidRPr="00AE0B3D">
        <w:rPr>
          <w:rFonts w:cs="Times New Roman"/>
        </w:rPr>
        <w:t xml:space="preserve"> remuneration on the financial performance of </w:t>
      </w:r>
      <w:r w:rsidR="002A36A2" w:rsidRPr="00AE0B3D">
        <w:rPr>
          <w:rFonts w:cs="Times New Roman"/>
          <w:noProof/>
        </w:rPr>
        <w:t>a company</w:t>
      </w:r>
      <w:r w:rsidRPr="00AE0B3D">
        <w:rPr>
          <w:rFonts w:cs="Times New Roman"/>
        </w:rPr>
        <w:t xml:space="preserve">. </w:t>
      </w:r>
      <w:r w:rsidR="00260A96" w:rsidRPr="00AE0B3D">
        <w:rPr>
          <w:rFonts w:cs="Times New Roman"/>
        </w:rPr>
        <w:t>From previous studies, the finding</w:t>
      </w:r>
      <w:r w:rsidR="00D043A2" w:rsidRPr="00AE0B3D">
        <w:rPr>
          <w:rFonts w:cs="Times New Roman"/>
        </w:rPr>
        <w:t>s</w:t>
      </w:r>
      <w:r w:rsidR="00260A96" w:rsidRPr="00AE0B3D">
        <w:rPr>
          <w:rFonts w:cs="Times New Roman"/>
        </w:rPr>
        <w:t xml:space="preserve"> and conclusion </w:t>
      </w:r>
      <w:r w:rsidR="003474EC" w:rsidRPr="00AE0B3D">
        <w:rPr>
          <w:rFonts w:cs="Times New Roman"/>
        </w:rPr>
        <w:t>made were</w:t>
      </w:r>
      <w:r w:rsidR="00260A96" w:rsidRPr="00AE0B3D">
        <w:rPr>
          <w:rFonts w:cs="Times New Roman"/>
        </w:rPr>
        <w:t xml:space="preserve"> different and</w:t>
      </w:r>
      <w:r w:rsidRPr="00AE0B3D">
        <w:rPr>
          <w:rFonts w:cs="Times New Roman"/>
        </w:rPr>
        <w:t xml:space="preserve"> </w:t>
      </w:r>
      <w:r w:rsidR="00860094" w:rsidRPr="00AE0B3D">
        <w:rPr>
          <w:rFonts w:cs="Times New Roman"/>
        </w:rPr>
        <w:t>contradicting</w:t>
      </w:r>
      <w:r w:rsidR="00260A96" w:rsidRPr="00AE0B3D">
        <w:rPr>
          <w:rFonts w:cs="Times New Roman"/>
        </w:rPr>
        <w:t>. Some</w:t>
      </w:r>
      <w:r w:rsidR="00860094" w:rsidRPr="00AE0B3D">
        <w:rPr>
          <w:rFonts w:cs="Times New Roman"/>
        </w:rPr>
        <w:t xml:space="preserve"> findings </w:t>
      </w:r>
      <w:r w:rsidR="00260A96" w:rsidRPr="00AE0B3D">
        <w:rPr>
          <w:rFonts w:cs="Times New Roman"/>
        </w:rPr>
        <w:t>were</w:t>
      </w:r>
      <w:r w:rsidR="00860094" w:rsidRPr="00AE0B3D">
        <w:rPr>
          <w:rFonts w:cs="Times New Roman"/>
        </w:rPr>
        <w:t xml:space="preserve"> positive </w:t>
      </w:r>
      <w:r w:rsidR="00375960" w:rsidRPr="00AE0B3D">
        <w:rPr>
          <w:rFonts w:cs="Times New Roman"/>
        </w:rPr>
        <w:fldChar w:fldCharType="begin" w:fldLock="1"/>
      </w:r>
      <w:r w:rsidR="00375960" w:rsidRPr="00AE0B3D">
        <w:rPr>
          <w:rFonts w:cs="Times New Roman"/>
        </w:rPr>
        <w:instrText>ADDIN CSL_CITATION {"citationItems":[{"id":"ITEM-1","itemData":{"DOI":"10.1177/1096348018776453","ISBN":"1096348018776","ISSN":"15577554","abstract":"Past research has shown mixed results regarding the role CEO compensation plays in influencing firm financial performance in the hospitality industry. To explore this relationship further, we concomitantly examine the role of compensation and CEO attributes like education, age, tenure, functional background, and gender on firm financial performance. Our analyses are based on secondary and hand-collected data from a large and comprehensive sample of U.S. publicly traded hospitality firms. The results from panel data analyses show that CEO cash compensation is positively related to return on assets, while equity compensation is unrelated to firm performance. We further find that when CEO compensation and attributes are jointly examined, CEO compensation has a relatively lower impact on firm performance than CEO attributes do. The results imply that the hospitality industry may want to reconsider its compensation practices in order to better align the interests of managers and shareholders and motivate manag...","author":[{"dropping-particle":"","family":"Li","given":"Yuan","non-dropping-particle":"","parse-names":false,"suffix":""},{"dropping-particle":"","family":"Singal","given":"Manisha","non-dropping-particle":"","parse-names":false,"suffix":""}],"container-title":"Journal of Hospitality and Tourism Research","id":"ITEM-1","issue":"X","issued":{"date-parts":[["2018"]]},"page":"1-11","title":"Firm Performance in the Hospitality Industry: Do CEO Attributes and Compensation Matter?","type":"article-journal","volume":"XX"},"uris":["http://www.mendeley.com/documents/?uuid=492fde1c-b3f7-42e3-9add-f3d06c0d1739"]},{"id":"ITEM-2","itemData":{"author":[{"dropping-particle":"","family":"Harper","given":"Alan H.","non-dropping-particle":"","parse-names":false,"suffix":""},{"dropping-particle":"","family":"Jin","given":"Zhenhu","non-dropping-particle":"","parse-names":false,"suffix":""}],"container-title":"Journal of Finance Issues Fall","id":"ITEM-2","issued":{"date-parts":[["2016"]]},"title":"The Determinants of CEO Compensation in the U.S. General Merchandise Sector","type":"article-journal","volume":"48"},"uris":["http://www.mendeley.com/documents/?uuid=29641bee-37c5-497a-90e6-74866e7c75ee"]}],"mendeley":{"formattedCitation":"(Harper &amp; Jin, 2016; Li &amp; Singal, 2018)","plainTextFormattedCitation":"(Harper &amp; Jin, 2016; Li &amp; Singal, 2018)","previouslyFormattedCitation":"(Harper &amp; Jin, 2016; Li &amp; Singal, 2018)"},"properties":{"noteIndex":0},"schema":"https://github.com/citation-style-language/schema/raw/master/csl-citation.json"}</w:instrText>
      </w:r>
      <w:r w:rsidR="00375960" w:rsidRPr="00AE0B3D">
        <w:rPr>
          <w:rFonts w:cs="Times New Roman"/>
        </w:rPr>
        <w:fldChar w:fldCharType="separate"/>
      </w:r>
      <w:r w:rsidR="00375960" w:rsidRPr="00AE0B3D">
        <w:rPr>
          <w:rFonts w:cs="Times New Roman"/>
          <w:noProof/>
        </w:rPr>
        <w:t>(Harper &amp; Jin, 2016; Li &amp; Singal, 2018)</w:t>
      </w:r>
      <w:r w:rsidR="00375960" w:rsidRPr="00AE0B3D">
        <w:rPr>
          <w:rFonts w:cs="Times New Roman"/>
        </w:rPr>
        <w:fldChar w:fldCharType="end"/>
      </w:r>
      <w:r w:rsidR="00375960" w:rsidRPr="00AE0B3D">
        <w:rPr>
          <w:rFonts w:cs="Times New Roman"/>
        </w:rPr>
        <w:t xml:space="preserve"> </w:t>
      </w:r>
      <w:r w:rsidR="00860094" w:rsidRPr="00AE0B3D">
        <w:rPr>
          <w:rFonts w:cs="Times New Roman"/>
        </w:rPr>
        <w:t xml:space="preserve">and </w:t>
      </w:r>
      <w:r w:rsidR="00260A96" w:rsidRPr="00AE0B3D">
        <w:rPr>
          <w:rFonts w:cs="Times New Roman"/>
        </w:rPr>
        <w:t xml:space="preserve">while others </w:t>
      </w:r>
      <w:r w:rsidR="00375960" w:rsidRPr="00AE0B3D">
        <w:rPr>
          <w:rFonts w:cs="Times New Roman"/>
        </w:rPr>
        <w:fldChar w:fldCharType="begin" w:fldLock="1"/>
      </w:r>
      <w:r w:rsidR="00A74FAE" w:rsidRPr="00AE0B3D">
        <w:rPr>
          <w:rFonts w:cs="Times New Roman"/>
        </w:rPr>
        <w:instrText>ADDIN CSL_CITATION {"citationItems":[{"id":"ITEM-1","itemData":{"author":[{"dropping-particle":"","family":"Lindström","given":"Anna","non-dropping-particle":"","parse-names":false,"suffix":""},{"dropping-particle":"","family":"Svensson","given":"Johanna","non-dropping-particle":"","parse-names":false,"suffix":""}],"id":"ITEM-1","issued":{"date-parts":[["2016"]]},"title":"Top management compensation and firm performance - A matter of context ?","type":"article-journal"},"uris":["http://www.mendeley.com/documents/?uuid=9705f8f7-84e6-4bbc-bead-b13e296f34fb"]}],"mendeley":{"formattedCitation":"(Lindström &amp; Svensson, 2016)","plainTextFormattedCitation":"(Lindström &amp; Svensson, 2016)","previouslyFormattedCitation":"(Lindström &amp; Svensson, 2016)"},"properties":{"noteIndex":0},"schema":"https://github.com/citation-style-language/schema/raw/master/csl-citation.json"}</w:instrText>
      </w:r>
      <w:r w:rsidR="00375960" w:rsidRPr="00AE0B3D">
        <w:rPr>
          <w:rFonts w:cs="Times New Roman"/>
        </w:rPr>
        <w:fldChar w:fldCharType="separate"/>
      </w:r>
      <w:r w:rsidR="00375960" w:rsidRPr="00AE0B3D">
        <w:rPr>
          <w:rFonts w:cs="Times New Roman"/>
          <w:noProof/>
        </w:rPr>
        <w:t>(Lindström &amp; Svensson, 2016)</w:t>
      </w:r>
      <w:r w:rsidR="00375960" w:rsidRPr="00AE0B3D">
        <w:rPr>
          <w:rFonts w:cs="Times New Roman"/>
        </w:rPr>
        <w:fldChar w:fldCharType="end"/>
      </w:r>
      <w:r w:rsidR="00375960" w:rsidRPr="00AE0B3D">
        <w:rPr>
          <w:rFonts w:cs="Times New Roman"/>
        </w:rPr>
        <w:t xml:space="preserve"> </w:t>
      </w:r>
      <w:r w:rsidR="00260A96" w:rsidRPr="00AE0B3D">
        <w:rPr>
          <w:rFonts w:cs="Times New Roman"/>
        </w:rPr>
        <w:t xml:space="preserve">found </w:t>
      </w:r>
      <w:r w:rsidR="00860094" w:rsidRPr="00AE0B3D">
        <w:rPr>
          <w:rFonts w:cs="Times New Roman"/>
        </w:rPr>
        <w:t xml:space="preserve">no relationship on the </w:t>
      </w:r>
      <w:r w:rsidRPr="00AE0B3D">
        <w:rPr>
          <w:rFonts w:cs="Times New Roman"/>
        </w:rPr>
        <w:t>role of</w:t>
      </w:r>
      <w:r w:rsidR="00D043A2" w:rsidRPr="00AE0B3D">
        <w:rPr>
          <w:rFonts w:cs="Times New Roman"/>
        </w:rPr>
        <w:t xml:space="preserve"> management</w:t>
      </w:r>
      <w:r w:rsidRPr="00AE0B3D">
        <w:rPr>
          <w:rFonts w:cs="Times New Roman"/>
        </w:rPr>
        <w:t xml:space="preserve"> remuneration on </w:t>
      </w:r>
      <w:r w:rsidRPr="00AE0B3D">
        <w:rPr>
          <w:rFonts w:cs="Times New Roman"/>
          <w:noProof/>
        </w:rPr>
        <w:t>financial</w:t>
      </w:r>
      <w:r w:rsidRPr="00AE0B3D">
        <w:rPr>
          <w:rFonts w:cs="Times New Roman"/>
        </w:rPr>
        <w:t xml:space="preserve"> performance of </w:t>
      </w:r>
      <w:r w:rsidR="00D043A2" w:rsidRPr="00AE0B3D">
        <w:rPr>
          <w:rFonts w:cs="Times New Roman"/>
        </w:rPr>
        <w:t>a company</w:t>
      </w:r>
      <w:r w:rsidR="00260A96" w:rsidRPr="00AE0B3D">
        <w:rPr>
          <w:rFonts w:cs="Times New Roman"/>
        </w:rPr>
        <w:t xml:space="preserve">. </w:t>
      </w:r>
      <w:r w:rsidR="003474EC" w:rsidRPr="00AE0B3D">
        <w:rPr>
          <w:rFonts w:cs="Times New Roman"/>
        </w:rPr>
        <w:t xml:space="preserve">This </w:t>
      </w:r>
      <w:r w:rsidRPr="00AE0B3D">
        <w:rPr>
          <w:rFonts w:cs="Times New Roman"/>
        </w:rPr>
        <w:t xml:space="preserve">research </w:t>
      </w:r>
      <w:r w:rsidR="00E16ECC" w:rsidRPr="00AE0B3D">
        <w:rPr>
          <w:rFonts w:cs="Times New Roman"/>
        </w:rPr>
        <w:t>aims</w:t>
      </w:r>
      <w:r w:rsidRPr="00AE0B3D">
        <w:rPr>
          <w:rFonts w:cs="Times New Roman"/>
        </w:rPr>
        <w:t xml:space="preserve"> to </w:t>
      </w:r>
      <w:r w:rsidR="00B4508C" w:rsidRPr="00AE0B3D">
        <w:rPr>
          <w:rFonts w:cs="Times New Roman"/>
        </w:rPr>
        <w:t xml:space="preserve">present more </w:t>
      </w:r>
      <w:r w:rsidR="00BE1B6B" w:rsidRPr="00AE0B3D">
        <w:rPr>
          <w:rFonts w:cs="Times New Roman"/>
        </w:rPr>
        <w:t>findings</w:t>
      </w:r>
      <w:r w:rsidR="00B4508C" w:rsidRPr="00AE0B3D">
        <w:rPr>
          <w:rFonts w:cs="Times New Roman"/>
        </w:rPr>
        <w:t xml:space="preserve"> on</w:t>
      </w:r>
      <w:r w:rsidR="0036449D" w:rsidRPr="00AE0B3D">
        <w:rPr>
          <w:rFonts w:cs="Times New Roman"/>
        </w:rPr>
        <w:t xml:space="preserve"> evaluating</w:t>
      </w:r>
      <w:r w:rsidR="00B4508C" w:rsidRPr="00AE0B3D">
        <w:rPr>
          <w:rFonts w:cs="Times New Roman"/>
        </w:rPr>
        <w:t xml:space="preserve"> the relationships</w:t>
      </w:r>
      <w:r w:rsidR="003474EC" w:rsidRPr="00AE0B3D">
        <w:rPr>
          <w:rFonts w:cs="Times New Roman"/>
        </w:rPr>
        <w:t xml:space="preserve"> and provide more clarity</w:t>
      </w:r>
      <w:r w:rsidR="00B4508C" w:rsidRPr="00AE0B3D">
        <w:rPr>
          <w:rFonts w:cs="Times New Roman"/>
        </w:rPr>
        <w:t>. Undertaking the research</w:t>
      </w:r>
      <w:r w:rsidR="003F0FBA" w:rsidRPr="00AE0B3D">
        <w:rPr>
          <w:rFonts w:cs="Times New Roman"/>
        </w:rPr>
        <w:t xml:space="preserve"> provide</w:t>
      </w:r>
      <w:r w:rsidR="0041761B">
        <w:rPr>
          <w:rFonts w:cs="Times New Roman"/>
        </w:rPr>
        <w:t>d</w:t>
      </w:r>
      <w:r w:rsidR="003F0FBA" w:rsidRPr="00AE0B3D">
        <w:rPr>
          <w:rFonts w:cs="Times New Roman"/>
        </w:rPr>
        <w:t xml:space="preserve"> </w:t>
      </w:r>
      <w:r w:rsidR="004D0E17" w:rsidRPr="00AE0B3D">
        <w:rPr>
          <w:rFonts w:cs="Times New Roman"/>
        </w:rPr>
        <w:t xml:space="preserve">an </w:t>
      </w:r>
      <w:r w:rsidR="003F0FBA" w:rsidRPr="00AE0B3D">
        <w:rPr>
          <w:rFonts w:cs="Times New Roman"/>
        </w:rPr>
        <w:t xml:space="preserve">overview </w:t>
      </w:r>
      <w:r w:rsidR="003F0FBA" w:rsidRPr="00AE0B3D">
        <w:rPr>
          <w:rFonts w:cs="Times New Roman"/>
          <w:noProof/>
        </w:rPr>
        <w:t>o</w:t>
      </w:r>
      <w:r w:rsidR="007D2FC7" w:rsidRPr="00AE0B3D">
        <w:rPr>
          <w:rFonts w:cs="Times New Roman"/>
          <w:noProof/>
        </w:rPr>
        <w:t>f</w:t>
      </w:r>
      <w:r w:rsidR="003F0FBA" w:rsidRPr="00AE0B3D">
        <w:rPr>
          <w:rFonts w:cs="Times New Roman"/>
        </w:rPr>
        <w:t xml:space="preserve"> employees’ perception of the effect of remuneration on </w:t>
      </w:r>
      <w:r w:rsidR="007D2FC7" w:rsidRPr="00AE0B3D">
        <w:rPr>
          <w:rFonts w:cs="Times New Roman"/>
        </w:rPr>
        <w:t xml:space="preserve">the </w:t>
      </w:r>
      <w:r w:rsidR="003F0FBA" w:rsidRPr="00AE0B3D">
        <w:rPr>
          <w:rFonts w:cs="Times New Roman"/>
          <w:noProof/>
        </w:rPr>
        <w:t>financial</w:t>
      </w:r>
      <w:r w:rsidR="003F0FBA" w:rsidRPr="00AE0B3D">
        <w:rPr>
          <w:rFonts w:cs="Times New Roman"/>
        </w:rPr>
        <w:t xml:space="preserve"> performance of companies listed in the Nairobi security exchange </w:t>
      </w:r>
      <w:r w:rsidR="003726F6" w:rsidRPr="00AE0B3D">
        <w:rPr>
          <w:rFonts w:cs="Times New Roman"/>
        </w:rPr>
        <w:t>market.</w:t>
      </w:r>
      <w:r w:rsidR="003F0FBA" w:rsidRPr="00AE0B3D">
        <w:rPr>
          <w:rFonts w:cs="Times New Roman"/>
        </w:rPr>
        <w:t xml:space="preserve"> </w:t>
      </w:r>
      <w:r w:rsidR="00B4508C" w:rsidRPr="00AE0B3D">
        <w:rPr>
          <w:rFonts w:cs="Times New Roman"/>
        </w:rPr>
        <w:t xml:space="preserve">The information thus can be </w:t>
      </w:r>
      <w:r w:rsidR="00397C82" w:rsidRPr="00AE0B3D">
        <w:rPr>
          <w:rFonts w:cs="Times New Roman"/>
        </w:rPr>
        <w:t>used in</w:t>
      </w:r>
      <w:r w:rsidR="00B4508C" w:rsidRPr="00AE0B3D">
        <w:rPr>
          <w:rFonts w:cs="Times New Roman"/>
        </w:rPr>
        <w:t xml:space="preserve"> improving the performance of the companies and making </w:t>
      </w:r>
      <w:r w:rsidR="00B4508C" w:rsidRPr="00AE0B3D">
        <w:rPr>
          <w:rFonts w:cs="Times New Roman"/>
          <w:noProof/>
        </w:rPr>
        <w:t>informed</w:t>
      </w:r>
      <w:r w:rsidR="00B4508C" w:rsidRPr="00AE0B3D">
        <w:rPr>
          <w:rFonts w:cs="Times New Roman"/>
        </w:rPr>
        <w:t xml:space="preserve"> decision in the adoption of </w:t>
      </w:r>
      <w:r w:rsidR="00D043A2" w:rsidRPr="00AE0B3D">
        <w:rPr>
          <w:rFonts w:cs="Times New Roman"/>
        </w:rPr>
        <w:t xml:space="preserve">management </w:t>
      </w:r>
      <w:r w:rsidR="00397C82" w:rsidRPr="00AE0B3D">
        <w:rPr>
          <w:rFonts w:cs="Times New Roman"/>
        </w:rPr>
        <w:t>remuneration strateg</w:t>
      </w:r>
      <w:r w:rsidR="00FB020B" w:rsidRPr="00AE0B3D">
        <w:rPr>
          <w:rFonts w:cs="Times New Roman"/>
        </w:rPr>
        <w:t>ies</w:t>
      </w:r>
      <w:r w:rsidR="00397C82" w:rsidRPr="00AE0B3D">
        <w:rPr>
          <w:rFonts w:cs="Times New Roman"/>
        </w:rPr>
        <w:t xml:space="preserve"> in improving the organization financial performance. </w:t>
      </w:r>
      <w:r w:rsidR="003F0FBA" w:rsidRPr="00AE0B3D">
        <w:rPr>
          <w:rFonts w:cs="Times New Roman"/>
        </w:rPr>
        <w:t>Furthermore, the research compare</w:t>
      </w:r>
      <w:r w:rsidR="0041761B">
        <w:rPr>
          <w:rFonts w:cs="Times New Roman"/>
        </w:rPr>
        <w:t>d</w:t>
      </w:r>
      <w:r w:rsidR="003F0FBA" w:rsidRPr="00AE0B3D">
        <w:rPr>
          <w:rFonts w:cs="Times New Roman"/>
        </w:rPr>
        <w:t xml:space="preserve"> the effect of remuneration on the financial performance of public listed companies in Kenya with companies from other countries based on research undertaken.</w:t>
      </w:r>
    </w:p>
    <w:p w14:paraId="6E57291F" w14:textId="77777777" w:rsidR="00A17571" w:rsidRPr="00AE0B3D" w:rsidRDefault="00A17571" w:rsidP="00124872">
      <w:pPr>
        <w:pStyle w:val="Heading2"/>
        <w:rPr>
          <w:rFonts w:cs="Times New Roman"/>
        </w:rPr>
      </w:pPr>
      <w:bookmarkStart w:id="27" w:name="_Toc78067502"/>
      <w:r w:rsidRPr="00AE0B3D">
        <w:rPr>
          <w:rFonts w:cs="Times New Roman"/>
        </w:rPr>
        <w:lastRenderedPageBreak/>
        <w:t>Theoretical and Conceptual Framework</w:t>
      </w:r>
      <w:bookmarkEnd w:id="27"/>
    </w:p>
    <w:p w14:paraId="20D1745D" w14:textId="77777777" w:rsidR="00394CD9" w:rsidRPr="00AE0B3D" w:rsidRDefault="00394CD9" w:rsidP="00012323">
      <w:pPr>
        <w:pStyle w:val="Heading3"/>
        <w:jc w:val="center"/>
        <w:rPr>
          <w:rStyle w:val="fontstyle01"/>
          <w:rFonts w:ascii="Times New Roman" w:hAnsi="Times New Roman" w:cs="Times New Roman"/>
          <w:color w:val="auto"/>
        </w:rPr>
      </w:pPr>
      <w:bookmarkStart w:id="28" w:name="_Toc78067503"/>
      <w:r w:rsidRPr="00AE0B3D">
        <w:rPr>
          <w:rFonts w:cs="Times New Roman"/>
        </w:rPr>
        <w:t>Theoretical</w:t>
      </w:r>
      <w:bookmarkEnd w:id="28"/>
    </w:p>
    <w:p w14:paraId="7FDF812A" w14:textId="4CA912E1" w:rsidR="0006780E" w:rsidRDefault="00E37638" w:rsidP="00F97E40">
      <w:pPr>
        <w:rPr>
          <w:rStyle w:val="fontstyle01"/>
          <w:rFonts w:ascii="Times New Roman" w:hAnsi="Times New Roman" w:cs="Times New Roman"/>
          <w:color w:val="auto"/>
        </w:rPr>
      </w:pPr>
      <w:r w:rsidRPr="00AE0B3D">
        <w:rPr>
          <w:rFonts w:cs="Times New Roman"/>
        </w:rPr>
        <w:t xml:space="preserve">There are many theories that can be used for the basis of comparing the relationship between </w:t>
      </w:r>
      <w:r w:rsidR="00B64152" w:rsidRPr="00AE0B3D">
        <w:rPr>
          <w:rFonts w:cs="Times New Roman"/>
        </w:rPr>
        <w:t xml:space="preserve">management </w:t>
      </w:r>
      <w:r w:rsidRPr="00AE0B3D">
        <w:rPr>
          <w:rFonts w:cs="Times New Roman"/>
        </w:rPr>
        <w:t xml:space="preserve">remuneration and the financial performance of public listed companies. </w:t>
      </w:r>
      <w:r w:rsidR="007E7CCB" w:rsidRPr="00AE0B3D">
        <w:rPr>
          <w:rStyle w:val="fontstyle01"/>
          <w:rFonts w:ascii="Times New Roman" w:hAnsi="Times New Roman" w:cs="Times New Roman"/>
          <w:color w:val="auto"/>
        </w:rPr>
        <w:t xml:space="preserve">The research </w:t>
      </w:r>
      <w:r w:rsidR="00614388" w:rsidRPr="00AE0B3D">
        <w:rPr>
          <w:rStyle w:val="fontstyle01"/>
          <w:rFonts w:ascii="Times New Roman" w:hAnsi="Times New Roman" w:cs="Times New Roman"/>
          <w:color w:val="auto"/>
        </w:rPr>
        <w:t>is based on a</w:t>
      </w:r>
      <w:r w:rsidR="00E774D9" w:rsidRPr="00AE0B3D">
        <w:rPr>
          <w:rStyle w:val="fontstyle01"/>
          <w:rFonts w:ascii="Times New Roman" w:hAnsi="Times New Roman" w:cs="Times New Roman"/>
          <w:color w:val="auto"/>
        </w:rPr>
        <w:t>gency theory</w:t>
      </w:r>
      <w:r w:rsidR="00614388" w:rsidRPr="00AE0B3D">
        <w:rPr>
          <w:rStyle w:val="fontstyle01"/>
          <w:rFonts w:ascii="Times New Roman" w:hAnsi="Times New Roman" w:cs="Times New Roman"/>
          <w:color w:val="auto"/>
        </w:rPr>
        <w:t xml:space="preserve"> that </w:t>
      </w:r>
      <w:r w:rsidR="00614388" w:rsidRPr="00AE0B3D">
        <w:rPr>
          <w:rStyle w:val="fontstyle01"/>
          <w:rFonts w:ascii="Times New Roman" w:hAnsi="Times New Roman" w:cs="Times New Roman"/>
          <w:noProof/>
          <w:color w:val="auto"/>
        </w:rPr>
        <w:t>explain</w:t>
      </w:r>
      <w:r w:rsidR="007D2FC7" w:rsidRPr="00AE0B3D">
        <w:rPr>
          <w:rStyle w:val="fontstyle01"/>
          <w:rFonts w:ascii="Times New Roman" w:hAnsi="Times New Roman" w:cs="Times New Roman"/>
          <w:noProof/>
          <w:color w:val="auto"/>
        </w:rPr>
        <w:t>s</w:t>
      </w:r>
      <w:r w:rsidR="00614388" w:rsidRPr="00AE0B3D">
        <w:rPr>
          <w:rStyle w:val="fontstyle01"/>
          <w:rFonts w:ascii="Times New Roman" w:hAnsi="Times New Roman" w:cs="Times New Roman"/>
          <w:color w:val="auto"/>
        </w:rPr>
        <w:t xml:space="preserve"> the relationship between the principals and the agents of a business and its influence on the performance of the business. The principal of a business are the shareholders and the management</w:t>
      </w:r>
      <w:r w:rsidR="009D4214" w:rsidRPr="00AE0B3D">
        <w:rPr>
          <w:rStyle w:val="fontstyle01"/>
          <w:rFonts w:ascii="Times New Roman" w:hAnsi="Times New Roman" w:cs="Times New Roman"/>
          <w:color w:val="auto"/>
        </w:rPr>
        <w:t xml:space="preserve"> (executive) are the agents who are employed to work </w:t>
      </w:r>
      <w:r w:rsidR="002143AD" w:rsidRPr="00AE0B3D">
        <w:rPr>
          <w:rStyle w:val="fontstyle01"/>
          <w:rFonts w:ascii="Times New Roman" w:hAnsi="Times New Roman" w:cs="Times New Roman"/>
          <w:color w:val="auto"/>
        </w:rPr>
        <w:t>for</w:t>
      </w:r>
      <w:r w:rsidR="009D4214" w:rsidRPr="00AE0B3D">
        <w:rPr>
          <w:rStyle w:val="fontstyle01"/>
          <w:rFonts w:ascii="Times New Roman" w:hAnsi="Times New Roman" w:cs="Times New Roman"/>
          <w:color w:val="auto"/>
        </w:rPr>
        <w:t xml:space="preserve"> the interest of the owners</w:t>
      </w:r>
      <w:r w:rsidR="0036449D" w:rsidRPr="00AE0B3D">
        <w:rPr>
          <w:rStyle w:val="fontstyle01"/>
          <w:rFonts w:ascii="Times New Roman" w:hAnsi="Times New Roman" w:cs="Times New Roman"/>
          <w:color w:val="auto"/>
        </w:rPr>
        <w:t xml:space="preserve"> </w:t>
      </w:r>
      <w:r w:rsidR="0036449D" w:rsidRPr="00AE0B3D">
        <w:rPr>
          <w:rStyle w:val="fontstyle01"/>
          <w:rFonts w:ascii="Times New Roman" w:hAnsi="Times New Roman" w:cs="Times New Roman"/>
          <w:color w:val="auto"/>
        </w:rPr>
        <w:fldChar w:fldCharType="begin" w:fldLock="1"/>
      </w:r>
      <w:r w:rsidR="005E1AFD" w:rsidRPr="00AE0B3D">
        <w:rPr>
          <w:rStyle w:val="fontstyle01"/>
          <w:rFonts w:ascii="Times New Roman" w:hAnsi="Times New Roman" w:cs="Times New Roman"/>
          <w:color w:val="auto"/>
        </w:rPr>
        <w:instrText>ADDIN CSL_CITATION {"citationItems":[{"id":"ITEM-1","itemData":{"DOI":"10.1108/03074350810874082","ISBN":"0307435081087","ISSN":"17587743","abstract":"Purpose ? This paper aims to examine the impact on executive compensation (both cash and in total) of regulation, size of sales and number of employees, and nature of the business in terms of new?economy vs traditional.Design/methodology/approach ? This study uses the ExecuComp database as the information source. Regression analysis is used to test hypotheses that focus on firm size in terms of sales, market and accounting returns, and the number of firm employees. The sample consists of 455 US firms from 25 industries, and covers the period 1996?2002.Findings ? Firm size and market?based return are the most significant explanatory variables in affecting executive compensation. More limited support was found for accounting?based returns, as was changes in the number of employees.Research limitations/implications ? Findings of this study may be limited by the temporal context. Around the turn of this century may have been an unusual time in America's corporate history. The economic outlook of the late 1990s may be fundamentally different from the one facing firms now or in the future. Consequently, future research will be needed to determine to what extent these results can be generalized to periods of different economic prospects.Originality/value ? This study examines the impact of firms' operational characteristic on Chief Executive Officer (CEO) compensation.","author":[{"dropping-particle":"","family":"Nourayi","given":"Mahmoud M.","non-dropping-particle":"","parse-names":false,"suffix":""},{"dropping-particle":"","family":"Daroca","given":"Frank P.","non-dropping-particle":"","parse-names":false,"suffix":""}],"container-title":"Managerial Finance","id":"ITEM-1","issue":"8","issued":{"date-parts":[["2008"]]},"page":"562-584","title":"CEO compensation, firm performance and operational characteristics","type":"article-journal","volume":"34"},"uris":["http://www.mendeley.com/documents/?uuid=1934fcde-e733-4990-9825-8989951588e2"]},{"id":"ITEM-2","itemData":{"author":[{"dropping-particle":"","family":"Lindström","given":"Anna","non-dropping-particle":"","parse-names":false,"suffix":""},{"dropping-particle":"","family":"Svensson","given":"Johanna","non-dropping-particle":"","parse-names":false,"suffix":""}],"id":"ITEM-2","issued":{"date-parts":[["2016"]]},"title":"Top management compensation and firm performance - A matter of context ?","type":"article-journal"},"uris":["http://www.mendeley.com/documents/?uuid=9705f8f7-84e6-4bbc-bead-b13e296f34fb"]}],"mendeley":{"formattedCitation":"(Lindström &amp; Svensson, 2016; Nourayi &amp; Daroca, 2008)","manualFormatting":"(Lindström &amp; Svensson, 2016)","plainTextFormattedCitation":"(Lindström &amp; Svensson, 2016; Nourayi &amp; Daroca, 2008)","previouslyFormattedCitation":"(Lindström &amp; Svensson, 2016; Nourayi &amp; Daroca, 2008)"},"properties":{"noteIndex":0},"schema":"https://github.com/citation-style-language/schema/raw/master/csl-citation.json"}</w:instrText>
      </w:r>
      <w:r w:rsidR="0036449D" w:rsidRPr="00AE0B3D">
        <w:rPr>
          <w:rStyle w:val="fontstyle01"/>
          <w:rFonts w:ascii="Times New Roman" w:hAnsi="Times New Roman" w:cs="Times New Roman"/>
          <w:color w:val="auto"/>
        </w:rPr>
        <w:fldChar w:fldCharType="separate"/>
      </w:r>
      <w:r w:rsidR="0036449D" w:rsidRPr="00AE0B3D">
        <w:rPr>
          <w:rStyle w:val="fontstyle01"/>
          <w:rFonts w:ascii="Times New Roman" w:hAnsi="Times New Roman" w:cs="Times New Roman"/>
          <w:noProof/>
          <w:color w:val="auto"/>
        </w:rPr>
        <w:t>(Lindström &amp; Svensson, 2016)</w:t>
      </w:r>
      <w:r w:rsidR="0036449D" w:rsidRPr="00AE0B3D">
        <w:rPr>
          <w:rStyle w:val="fontstyle01"/>
          <w:rFonts w:ascii="Times New Roman" w:hAnsi="Times New Roman" w:cs="Times New Roman"/>
          <w:color w:val="auto"/>
        </w:rPr>
        <w:fldChar w:fldCharType="end"/>
      </w:r>
      <w:r w:rsidR="0036449D" w:rsidRPr="00AE0B3D">
        <w:rPr>
          <w:rStyle w:val="fontstyle01"/>
          <w:rFonts w:ascii="Times New Roman" w:hAnsi="Times New Roman" w:cs="Times New Roman"/>
          <w:color w:val="auto"/>
        </w:rPr>
        <w:t xml:space="preserve">. </w:t>
      </w:r>
      <w:r w:rsidR="009D4214" w:rsidRPr="00AE0B3D">
        <w:rPr>
          <w:rStyle w:val="fontstyle01"/>
          <w:rFonts w:ascii="Times New Roman" w:hAnsi="Times New Roman" w:cs="Times New Roman"/>
          <w:color w:val="auto"/>
        </w:rPr>
        <w:t xml:space="preserve">Creating a </w:t>
      </w:r>
      <w:r w:rsidR="00B24D5D" w:rsidRPr="00AE0B3D">
        <w:rPr>
          <w:rStyle w:val="fontstyle01"/>
          <w:rFonts w:ascii="Times New Roman" w:hAnsi="Times New Roman" w:cs="Times New Roman"/>
          <w:color w:val="auto"/>
        </w:rPr>
        <w:t xml:space="preserve">good </w:t>
      </w:r>
      <w:r w:rsidR="009D4214" w:rsidRPr="00AE0B3D">
        <w:rPr>
          <w:rStyle w:val="fontstyle01"/>
          <w:rFonts w:ascii="Times New Roman" w:hAnsi="Times New Roman" w:cs="Times New Roman"/>
          <w:color w:val="auto"/>
        </w:rPr>
        <w:t xml:space="preserve">relationship </w:t>
      </w:r>
      <w:r w:rsidR="00B24D5D" w:rsidRPr="00AE0B3D">
        <w:rPr>
          <w:rStyle w:val="fontstyle01"/>
          <w:rFonts w:ascii="Times New Roman" w:hAnsi="Times New Roman" w:cs="Times New Roman"/>
          <w:color w:val="auto"/>
        </w:rPr>
        <w:t xml:space="preserve">between the executive and the </w:t>
      </w:r>
      <w:r w:rsidR="00EA6859" w:rsidRPr="00AE0B3D">
        <w:rPr>
          <w:rStyle w:val="fontstyle01"/>
          <w:rFonts w:ascii="Times New Roman" w:hAnsi="Times New Roman" w:cs="Times New Roman"/>
          <w:color w:val="auto"/>
        </w:rPr>
        <w:t>owner</w:t>
      </w:r>
      <w:r w:rsidR="003E4898" w:rsidRPr="00AE0B3D">
        <w:rPr>
          <w:rStyle w:val="fontstyle01"/>
          <w:rFonts w:ascii="Times New Roman" w:hAnsi="Times New Roman" w:cs="Times New Roman"/>
          <w:color w:val="auto"/>
        </w:rPr>
        <w:t xml:space="preserve"> of an </w:t>
      </w:r>
      <w:r w:rsidR="00DC5561" w:rsidRPr="00AE0B3D">
        <w:rPr>
          <w:rStyle w:val="fontstyle01"/>
          <w:rFonts w:ascii="Times New Roman" w:hAnsi="Times New Roman" w:cs="Times New Roman"/>
          <w:color w:val="auto"/>
        </w:rPr>
        <w:t>organization</w:t>
      </w:r>
      <w:r w:rsidR="00B24D5D" w:rsidRPr="00AE0B3D">
        <w:rPr>
          <w:rStyle w:val="fontstyle01"/>
          <w:rFonts w:ascii="Times New Roman" w:hAnsi="Times New Roman" w:cs="Times New Roman"/>
          <w:color w:val="auto"/>
        </w:rPr>
        <w:t xml:space="preserve"> is crucial to the overall </w:t>
      </w:r>
      <w:r w:rsidR="00407AA7" w:rsidRPr="00AE0B3D">
        <w:rPr>
          <w:rStyle w:val="fontstyle01"/>
          <w:rFonts w:ascii="Times New Roman" w:hAnsi="Times New Roman" w:cs="Times New Roman"/>
          <w:color w:val="auto"/>
        </w:rPr>
        <w:t>performance</w:t>
      </w:r>
      <w:r w:rsidR="00B24D5D" w:rsidRPr="00AE0B3D">
        <w:rPr>
          <w:rStyle w:val="fontstyle01"/>
          <w:rFonts w:ascii="Times New Roman" w:hAnsi="Times New Roman" w:cs="Times New Roman"/>
          <w:color w:val="auto"/>
        </w:rPr>
        <w:t xml:space="preserve"> of the business. The p</w:t>
      </w:r>
      <w:r w:rsidR="00407AA7" w:rsidRPr="00AE0B3D">
        <w:rPr>
          <w:rStyle w:val="fontstyle01"/>
          <w:rFonts w:ascii="Times New Roman" w:hAnsi="Times New Roman" w:cs="Times New Roman"/>
          <w:color w:val="auto"/>
        </w:rPr>
        <w:t xml:space="preserve">rincipal aim </w:t>
      </w:r>
      <w:r w:rsidR="003A17B6" w:rsidRPr="00AE0B3D">
        <w:rPr>
          <w:rStyle w:val="fontstyle01"/>
          <w:rFonts w:ascii="Times New Roman" w:hAnsi="Times New Roman" w:cs="Times New Roman"/>
          <w:color w:val="auto"/>
        </w:rPr>
        <w:t>of</w:t>
      </w:r>
      <w:r w:rsidR="00407AA7" w:rsidRPr="00AE0B3D">
        <w:rPr>
          <w:rStyle w:val="fontstyle01"/>
          <w:rFonts w:ascii="Times New Roman" w:hAnsi="Times New Roman" w:cs="Times New Roman"/>
          <w:color w:val="auto"/>
        </w:rPr>
        <w:t xml:space="preserve"> an effective human resource management </w:t>
      </w:r>
      <w:r w:rsidR="003A17B6" w:rsidRPr="00AE0B3D">
        <w:rPr>
          <w:rStyle w:val="fontstyle01"/>
          <w:rFonts w:ascii="Times New Roman" w:hAnsi="Times New Roman" w:cs="Times New Roman"/>
          <w:color w:val="auto"/>
        </w:rPr>
        <w:t xml:space="preserve">is to </w:t>
      </w:r>
      <w:r w:rsidR="00407AA7" w:rsidRPr="00AE0B3D">
        <w:rPr>
          <w:rStyle w:val="fontstyle01"/>
          <w:rFonts w:ascii="Times New Roman" w:hAnsi="Times New Roman" w:cs="Times New Roman"/>
          <w:color w:val="auto"/>
        </w:rPr>
        <w:t>ensure th</w:t>
      </w:r>
      <w:r w:rsidR="00A845FB" w:rsidRPr="00AE0B3D">
        <w:rPr>
          <w:rStyle w:val="fontstyle01"/>
          <w:rFonts w:ascii="Times New Roman" w:hAnsi="Times New Roman" w:cs="Times New Roman"/>
          <w:color w:val="auto"/>
        </w:rPr>
        <w:t>at</w:t>
      </w:r>
      <w:r w:rsidR="00407AA7" w:rsidRPr="00AE0B3D">
        <w:rPr>
          <w:rStyle w:val="fontstyle01"/>
          <w:rFonts w:ascii="Times New Roman" w:hAnsi="Times New Roman" w:cs="Times New Roman"/>
          <w:color w:val="auto"/>
        </w:rPr>
        <w:t xml:space="preserve"> executive work to meet the interest</w:t>
      </w:r>
      <w:r w:rsidR="003A17B6" w:rsidRPr="00AE0B3D">
        <w:rPr>
          <w:rStyle w:val="fontstyle01"/>
          <w:rFonts w:ascii="Times New Roman" w:hAnsi="Times New Roman" w:cs="Times New Roman"/>
          <w:color w:val="auto"/>
        </w:rPr>
        <w:t xml:space="preserve"> of the owners</w:t>
      </w:r>
      <w:r w:rsidR="00407AA7" w:rsidRPr="00AE0B3D">
        <w:rPr>
          <w:rStyle w:val="fontstyle01"/>
          <w:rFonts w:ascii="Times New Roman" w:hAnsi="Times New Roman" w:cs="Times New Roman"/>
          <w:color w:val="auto"/>
        </w:rPr>
        <w:t xml:space="preserve">. Compensation is one of the </w:t>
      </w:r>
      <w:r w:rsidR="00500252" w:rsidRPr="00AE0B3D">
        <w:rPr>
          <w:rStyle w:val="fontstyle01"/>
          <w:rFonts w:ascii="Times New Roman" w:hAnsi="Times New Roman" w:cs="Times New Roman"/>
          <w:color w:val="auto"/>
        </w:rPr>
        <w:t>ways</w:t>
      </w:r>
      <w:r w:rsidR="00407AA7" w:rsidRPr="00AE0B3D">
        <w:rPr>
          <w:rStyle w:val="fontstyle01"/>
          <w:rFonts w:ascii="Times New Roman" w:hAnsi="Times New Roman" w:cs="Times New Roman"/>
          <w:color w:val="auto"/>
        </w:rPr>
        <w:t xml:space="preserve"> </w:t>
      </w:r>
      <w:r w:rsidR="003A17B6" w:rsidRPr="00AE0B3D">
        <w:rPr>
          <w:rStyle w:val="fontstyle01"/>
          <w:rFonts w:ascii="Times New Roman" w:hAnsi="Times New Roman" w:cs="Times New Roman"/>
          <w:color w:val="auto"/>
        </w:rPr>
        <w:t xml:space="preserve">organisations’ owners </w:t>
      </w:r>
      <w:r w:rsidR="00407AA7" w:rsidRPr="00AE0B3D">
        <w:rPr>
          <w:rStyle w:val="fontstyle01"/>
          <w:rFonts w:ascii="Times New Roman" w:hAnsi="Times New Roman" w:cs="Times New Roman"/>
          <w:color w:val="auto"/>
        </w:rPr>
        <w:t xml:space="preserve">aim to achieve </w:t>
      </w:r>
      <w:r w:rsidR="00B02443" w:rsidRPr="00AE0B3D">
        <w:rPr>
          <w:rStyle w:val="fontstyle01"/>
          <w:rFonts w:ascii="Times New Roman" w:hAnsi="Times New Roman" w:cs="Times New Roman"/>
          <w:color w:val="auto"/>
        </w:rPr>
        <w:t xml:space="preserve">effective human </w:t>
      </w:r>
      <w:r w:rsidR="00A50116" w:rsidRPr="00AE0B3D">
        <w:rPr>
          <w:rStyle w:val="fontstyle01"/>
          <w:rFonts w:ascii="Times New Roman" w:hAnsi="Times New Roman" w:cs="Times New Roman"/>
          <w:color w:val="auto"/>
        </w:rPr>
        <w:t xml:space="preserve">resource. </w:t>
      </w:r>
      <w:r w:rsidR="00B02443" w:rsidRPr="00AE0B3D">
        <w:rPr>
          <w:rStyle w:val="fontstyle01"/>
          <w:rFonts w:ascii="Times New Roman" w:hAnsi="Times New Roman" w:cs="Times New Roman"/>
          <w:color w:val="auto"/>
        </w:rPr>
        <w:t xml:space="preserve">However, </w:t>
      </w:r>
      <w:r w:rsidR="00407AA7" w:rsidRPr="00AE0B3D">
        <w:rPr>
          <w:rStyle w:val="fontstyle01"/>
          <w:rFonts w:ascii="Times New Roman" w:hAnsi="Times New Roman" w:cs="Times New Roman"/>
          <w:color w:val="auto"/>
        </w:rPr>
        <w:t xml:space="preserve">developing a compensation framework that leads to </w:t>
      </w:r>
      <w:r w:rsidR="00407AA7" w:rsidRPr="00AE0B3D">
        <w:rPr>
          <w:rStyle w:val="fontstyle01"/>
          <w:rFonts w:ascii="Times New Roman" w:hAnsi="Times New Roman" w:cs="Times New Roman"/>
          <w:noProof/>
          <w:color w:val="auto"/>
        </w:rPr>
        <w:t>increase</w:t>
      </w:r>
      <w:r w:rsidR="00407AA7" w:rsidRPr="00AE0B3D">
        <w:rPr>
          <w:rStyle w:val="fontstyle01"/>
          <w:rFonts w:ascii="Times New Roman" w:hAnsi="Times New Roman" w:cs="Times New Roman"/>
          <w:color w:val="auto"/>
        </w:rPr>
        <w:t xml:space="preserve"> </w:t>
      </w:r>
      <w:r w:rsidR="0087121D" w:rsidRPr="00AE0B3D">
        <w:rPr>
          <w:rStyle w:val="fontstyle01"/>
          <w:rFonts w:ascii="Times New Roman" w:hAnsi="Times New Roman" w:cs="Times New Roman"/>
          <w:color w:val="auto"/>
        </w:rPr>
        <w:t xml:space="preserve">in </w:t>
      </w:r>
      <w:r w:rsidR="00407AA7" w:rsidRPr="00AE0B3D">
        <w:rPr>
          <w:rStyle w:val="fontstyle01"/>
          <w:rFonts w:ascii="Times New Roman" w:hAnsi="Times New Roman" w:cs="Times New Roman"/>
          <w:color w:val="auto"/>
        </w:rPr>
        <w:t>return on investment have been a problem</w:t>
      </w:r>
      <w:r w:rsidR="00831AB4" w:rsidRPr="00AE0B3D">
        <w:rPr>
          <w:rStyle w:val="fontstyle01"/>
          <w:rFonts w:ascii="Times New Roman" w:hAnsi="Times New Roman" w:cs="Times New Roman"/>
          <w:color w:val="auto"/>
        </w:rPr>
        <w:t xml:space="preserve">. The problem is </w:t>
      </w:r>
      <w:r w:rsidR="001E27EB" w:rsidRPr="00AE0B3D">
        <w:rPr>
          <w:rStyle w:val="fontstyle01"/>
          <w:rFonts w:ascii="Times New Roman" w:hAnsi="Times New Roman" w:cs="Times New Roman"/>
          <w:color w:val="auto"/>
        </w:rPr>
        <w:t xml:space="preserve">because </w:t>
      </w:r>
      <w:r w:rsidR="00DF157E" w:rsidRPr="00AE0B3D">
        <w:rPr>
          <w:rStyle w:val="fontstyle01"/>
          <w:rFonts w:ascii="Times New Roman" w:hAnsi="Times New Roman" w:cs="Times New Roman"/>
          <w:color w:val="auto"/>
        </w:rPr>
        <w:t>in practice</w:t>
      </w:r>
      <w:r w:rsidR="00500252" w:rsidRPr="00AE0B3D">
        <w:rPr>
          <w:rStyle w:val="fontstyle01"/>
          <w:rFonts w:ascii="Times New Roman" w:hAnsi="Times New Roman" w:cs="Times New Roman"/>
          <w:color w:val="auto"/>
        </w:rPr>
        <w:t xml:space="preserve"> executive or management </w:t>
      </w:r>
      <w:r w:rsidR="007572F6" w:rsidRPr="00AE0B3D">
        <w:rPr>
          <w:rStyle w:val="fontstyle01"/>
          <w:rFonts w:ascii="Times New Roman" w:hAnsi="Times New Roman" w:cs="Times New Roman"/>
          <w:color w:val="auto"/>
        </w:rPr>
        <w:t>control</w:t>
      </w:r>
      <w:r w:rsidR="00500252" w:rsidRPr="00AE0B3D">
        <w:rPr>
          <w:rStyle w:val="fontstyle01"/>
          <w:rFonts w:ascii="Times New Roman" w:hAnsi="Times New Roman" w:cs="Times New Roman"/>
          <w:color w:val="auto"/>
        </w:rPr>
        <w:t xml:space="preserve"> most of the issues associated with the </w:t>
      </w:r>
      <w:r w:rsidR="00C97CE5" w:rsidRPr="00AE0B3D">
        <w:rPr>
          <w:rStyle w:val="fontstyle01"/>
          <w:rFonts w:ascii="Times New Roman" w:hAnsi="Times New Roman" w:cs="Times New Roman"/>
          <w:color w:val="auto"/>
        </w:rPr>
        <w:t>company</w:t>
      </w:r>
      <w:r w:rsidR="00500252" w:rsidRPr="00AE0B3D">
        <w:rPr>
          <w:rStyle w:val="fontstyle01"/>
          <w:rFonts w:ascii="Times New Roman" w:hAnsi="Times New Roman" w:cs="Times New Roman"/>
          <w:color w:val="auto"/>
        </w:rPr>
        <w:t xml:space="preserve">. Discerning if </w:t>
      </w:r>
      <w:r w:rsidR="0011651D" w:rsidRPr="00AE0B3D">
        <w:rPr>
          <w:rStyle w:val="fontstyle01"/>
          <w:rFonts w:ascii="Times New Roman" w:hAnsi="Times New Roman" w:cs="Times New Roman"/>
          <w:color w:val="auto"/>
        </w:rPr>
        <w:t>management remuneration such as benefits, salary,</w:t>
      </w:r>
      <w:r w:rsidR="001105B7" w:rsidRPr="00AE0B3D">
        <w:rPr>
          <w:rStyle w:val="fontstyle01"/>
          <w:rFonts w:ascii="Times New Roman" w:hAnsi="Times New Roman" w:cs="Times New Roman"/>
          <w:color w:val="auto"/>
        </w:rPr>
        <w:t xml:space="preserve"> shares and bonus</w:t>
      </w:r>
      <w:r w:rsidR="00500252" w:rsidRPr="00AE0B3D">
        <w:rPr>
          <w:rStyle w:val="fontstyle01"/>
          <w:rFonts w:ascii="Times New Roman" w:hAnsi="Times New Roman" w:cs="Times New Roman"/>
          <w:color w:val="auto"/>
        </w:rPr>
        <w:t xml:space="preserve"> influence return on investment is one step toward developing </w:t>
      </w:r>
      <w:r w:rsidR="00500252" w:rsidRPr="00AE0B3D">
        <w:rPr>
          <w:rStyle w:val="fontstyle01"/>
          <w:rFonts w:ascii="Times New Roman" w:hAnsi="Times New Roman" w:cs="Times New Roman"/>
          <w:noProof/>
          <w:color w:val="auto"/>
        </w:rPr>
        <w:t>framework</w:t>
      </w:r>
      <w:r w:rsidR="00500252" w:rsidRPr="00AE0B3D">
        <w:rPr>
          <w:rStyle w:val="fontstyle01"/>
          <w:rFonts w:ascii="Times New Roman" w:hAnsi="Times New Roman" w:cs="Times New Roman"/>
          <w:color w:val="auto"/>
        </w:rPr>
        <w:t xml:space="preserve"> that </w:t>
      </w:r>
      <w:r w:rsidR="00500252" w:rsidRPr="00AE0B3D">
        <w:rPr>
          <w:rStyle w:val="fontstyle01"/>
          <w:rFonts w:ascii="Times New Roman" w:hAnsi="Times New Roman" w:cs="Times New Roman"/>
          <w:noProof/>
          <w:color w:val="auto"/>
        </w:rPr>
        <w:t>increase</w:t>
      </w:r>
      <w:r w:rsidR="0087121D" w:rsidRPr="00AE0B3D">
        <w:rPr>
          <w:rStyle w:val="fontstyle01"/>
          <w:rFonts w:ascii="Times New Roman" w:hAnsi="Times New Roman" w:cs="Times New Roman"/>
          <w:noProof/>
          <w:color w:val="auto"/>
        </w:rPr>
        <w:t>s</w:t>
      </w:r>
      <w:r w:rsidR="00500252" w:rsidRPr="00AE0B3D">
        <w:rPr>
          <w:rStyle w:val="fontstyle01"/>
          <w:rFonts w:ascii="Times New Roman" w:hAnsi="Times New Roman" w:cs="Times New Roman"/>
          <w:color w:val="auto"/>
        </w:rPr>
        <w:t xml:space="preserve"> management incentive to work</w:t>
      </w:r>
      <w:r w:rsidR="00AF5B20" w:rsidRPr="00AE0B3D">
        <w:rPr>
          <w:rStyle w:val="fontstyle01"/>
          <w:rFonts w:ascii="Times New Roman" w:hAnsi="Times New Roman" w:cs="Times New Roman"/>
          <w:noProof/>
          <w:color w:val="auto"/>
        </w:rPr>
        <w:t xml:space="preserve"> </w:t>
      </w:r>
      <w:r w:rsidR="00326FE6" w:rsidRPr="00AE0B3D">
        <w:rPr>
          <w:rStyle w:val="fontstyle01"/>
          <w:rFonts w:ascii="Times New Roman" w:hAnsi="Times New Roman" w:cs="Times New Roman"/>
          <w:noProof/>
          <w:color w:val="auto"/>
        </w:rPr>
        <w:fldChar w:fldCharType="begin" w:fldLock="1"/>
      </w:r>
      <w:r w:rsidR="00955099">
        <w:rPr>
          <w:rStyle w:val="fontstyle01"/>
          <w:rFonts w:ascii="Times New Roman" w:hAnsi="Times New Roman" w:cs="Times New Roman"/>
          <w:noProof/>
          <w:color w:val="auto"/>
        </w:rPr>
        <w:instrText>ADDIN CSL_CITATION {"citationItems":[{"id":"ITEM-1","itemData":{"abstract":"This paper investigates the impact of various forms of bonding, firm monitoring, and executive compensation on agency costs. After relating market value for 1,043 firm-year observations to a number of standard covariates in a stochastic frontier framework, the resulting one-sided inefficiency term is interpreted as a proportional proxy for firm- specific agency costs. Following Battese and Coelli (1995) firm-specific agency costs are related to a variety of additional covariates including firm governance structures, firm liquidity, information asymmetry, and various forms of executive compensation. Consistent with agency theory, it is found that cash compensation tends to increase agency conflict while restricted stock incentives and executive stock options tend to lower it. Moreover, firms with high liquidity and low information asymmetry exhibit a lower degree of agency cost.","author":[{"dropping-particle":"","family":"Depken","given":"Craig A","non-dropping-particle":"","parse-names":false,"suffix":""},{"dropping-particle":"","family":"Sarkar","given":"K. Salil","non-dropping-particle":"","parse-names":false,"suffix":""},{"dropping-particle":"","family":"Nguyen","given":"Giao X.","non-dropping-particle":"","parse-names":false,"suffix":""}],"container-title":"ResearchGate","id":"ITEM-1","issue":"817","issued":{"date-parts":[["2013"]]},"title":"Agency Costs, Executive Compensation, Bonding and Monitoring: A Stochastic Frontier Approach","type":"article-journal"},"uris":["http://www.mendeley.com/documents/?uuid=1580fbb4-fde3-4e36-82fd-e548b74c0b20"]}],"mendeley":{"formattedCitation":"(Depken et al., 2013)","manualFormatting":"(Depken et al. , 2013)","plainTextFormattedCitation":"(Depken et al., 2013)","previouslyFormattedCitation":"(Depken et al., 2013)"},"properties":{"noteIndex":0},"schema":"https://github.com/citation-style-language/schema/raw/master/csl-citation.json"}</w:instrText>
      </w:r>
      <w:r w:rsidR="00326FE6" w:rsidRPr="00AE0B3D">
        <w:rPr>
          <w:rStyle w:val="fontstyle01"/>
          <w:rFonts w:ascii="Times New Roman" w:hAnsi="Times New Roman" w:cs="Times New Roman"/>
          <w:noProof/>
          <w:color w:val="auto"/>
        </w:rPr>
        <w:fldChar w:fldCharType="separate"/>
      </w:r>
      <w:r w:rsidR="00F54050">
        <w:rPr>
          <w:rStyle w:val="fontstyle01"/>
          <w:rFonts w:ascii="Times New Roman" w:hAnsi="Times New Roman" w:cs="Times New Roman"/>
          <w:noProof/>
          <w:color w:val="auto"/>
        </w:rPr>
        <w:t xml:space="preserve">(Depken </w:t>
      </w:r>
      <w:r w:rsidR="00F54050" w:rsidRPr="006B3E1F">
        <w:rPr>
          <w:rFonts w:cs="Times New Roman"/>
          <w:noProof/>
        </w:rPr>
        <w:t>et al.</w:t>
      </w:r>
      <w:r w:rsidR="00F54050" w:rsidRPr="00AE0B3D">
        <w:rPr>
          <w:rStyle w:val="fontstyle01"/>
          <w:rFonts w:ascii="Times New Roman" w:hAnsi="Times New Roman" w:cs="Times New Roman"/>
          <w:noProof/>
          <w:color w:val="auto"/>
        </w:rPr>
        <w:t xml:space="preserve"> </w:t>
      </w:r>
      <w:r w:rsidR="00326FE6" w:rsidRPr="00AE0B3D">
        <w:rPr>
          <w:rStyle w:val="fontstyle01"/>
          <w:rFonts w:ascii="Times New Roman" w:hAnsi="Times New Roman" w:cs="Times New Roman"/>
          <w:noProof/>
          <w:color w:val="auto"/>
        </w:rPr>
        <w:t>, 2013)</w:t>
      </w:r>
      <w:r w:rsidR="00326FE6" w:rsidRPr="00AE0B3D">
        <w:rPr>
          <w:rStyle w:val="fontstyle01"/>
          <w:rFonts w:ascii="Times New Roman" w:hAnsi="Times New Roman" w:cs="Times New Roman"/>
          <w:noProof/>
          <w:color w:val="auto"/>
        </w:rPr>
        <w:fldChar w:fldCharType="end"/>
      </w:r>
      <w:r w:rsidR="00500252" w:rsidRPr="00AE0B3D">
        <w:rPr>
          <w:rStyle w:val="fontstyle01"/>
          <w:rFonts w:ascii="Times New Roman" w:hAnsi="Times New Roman" w:cs="Times New Roman"/>
          <w:color w:val="auto"/>
        </w:rPr>
        <w:t xml:space="preserve">. </w:t>
      </w:r>
      <w:r w:rsidR="005F1BDD" w:rsidRPr="00AE0B3D">
        <w:rPr>
          <w:rStyle w:val="fontstyle01"/>
          <w:rFonts w:ascii="Times New Roman" w:hAnsi="Times New Roman" w:cs="Times New Roman"/>
          <w:color w:val="auto"/>
        </w:rPr>
        <w:t>This research thus aim</w:t>
      </w:r>
      <w:r w:rsidR="00FC275E">
        <w:rPr>
          <w:rStyle w:val="fontstyle01"/>
          <w:rFonts w:ascii="Times New Roman" w:hAnsi="Times New Roman" w:cs="Times New Roman"/>
          <w:color w:val="auto"/>
        </w:rPr>
        <w:t>ed</w:t>
      </w:r>
      <w:r w:rsidR="005F1BDD" w:rsidRPr="00AE0B3D">
        <w:rPr>
          <w:rStyle w:val="fontstyle01"/>
          <w:rFonts w:ascii="Times New Roman" w:hAnsi="Times New Roman" w:cs="Times New Roman"/>
          <w:color w:val="auto"/>
        </w:rPr>
        <w:t xml:space="preserve"> to enhance </w:t>
      </w:r>
      <w:r w:rsidR="005F1BDD" w:rsidRPr="00AE0B3D">
        <w:rPr>
          <w:rStyle w:val="fontstyle01"/>
          <w:rFonts w:ascii="Times New Roman" w:hAnsi="Times New Roman" w:cs="Times New Roman"/>
          <w:noProof/>
          <w:color w:val="auto"/>
        </w:rPr>
        <w:t>principal</w:t>
      </w:r>
      <w:r w:rsidR="005F1BDD" w:rsidRPr="00AE0B3D">
        <w:rPr>
          <w:rStyle w:val="fontstyle01"/>
          <w:rFonts w:ascii="Times New Roman" w:hAnsi="Times New Roman" w:cs="Times New Roman"/>
          <w:color w:val="auto"/>
        </w:rPr>
        <w:t xml:space="preserve"> agency </w:t>
      </w:r>
      <w:r w:rsidR="004D3E59" w:rsidRPr="00AE0B3D">
        <w:rPr>
          <w:rStyle w:val="fontstyle01"/>
          <w:rFonts w:ascii="Times New Roman" w:hAnsi="Times New Roman" w:cs="Times New Roman"/>
          <w:color w:val="auto"/>
        </w:rPr>
        <w:t xml:space="preserve">relationship by assessing the effect of management remuneration on the financial performance to identify the most efficient remuneration strategies </w:t>
      </w:r>
      <w:r w:rsidR="008F402C" w:rsidRPr="00AE0B3D">
        <w:rPr>
          <w:rStyle w:val="fontstyle01"/>
          <w:rFonts w:ascii="Times New Roman" w:hAnsi="Times New Roman" w:cs="Times New Roman"/>
          <w:color w:val="auto"/>
        </w:rPr>
        <w:t>that</w:t>
      </w:r>
      <w:r w:rsidR="004D3E59" w:rsidRPr="00AE0B3D">
        <w:rPr>
          <w:rStyle w:val="fontstyle01"/>
          <w:rFonts w:ascii="Times New Roman" w:hAnsi="Times New Roman" w:cs="Times New Roman"/>
          <w:color w:val="auto"/>
        </w:rPr>
        <w:t xml:space="preserve"> </w:t>
      </w:r>
      <w:r w:rsidR="005F1BDD" w:rsidRPr="00AE0B3D">
        <w:rPr>
          <w:rStyle w:val="fontstyle01"/>
          <w:rFonts w:ascii="Times New Roman" w:hAnsi="Times New Roman" w:cs="Times New Roman"/>
          <w:color w:val="auto"/>
        </w:rPr>
        <w:t>improve the overall business performance</w:t>
      </w:r>
      <w:r w:rsidR="00F54050">
        <w:rPr>
          <w:rStyle w:val="fontstyle01"/>
          <w:rFonts w:ascii="Times New Roman" w:hAnsi="Times New Roman" w:cs="Times New Roman"/>
          <w:color w:val="auto"/>
        </w:rPr>
        <w:t>.</w:t>
      </w:r>
    </w:p>
    <w:p w14:paraId="321EB864" w14:textId="418767BD" w:rsidR="00CE73C2" w:rsidRDefault="00CE73C2" w:rsidP="00CE73C2">
      <w:pPr>
        <w:rPr>
          <w:rStyle w:val="fontstyle01"/>
          <w:rFonts w:cs="Times New Roman"/>
        </w:rPr>
      </w:pPr>
      <w:r>
        <w:rPr>
          <w:rStyle w:val="fontstyle01"/>
          <w:rFonts w:cs="Times New Roman"/>
        </w:rPr>
        <w:t xml:space="preserve">The research </w:t>
      </w:r>
      <w:r w:rsidR="00FC275E">
        <w:rPr>
          <w:rStyle w:val="fontstyle01"/>
          <w:rFonts w:cs="Times New Roman"/>
        </w:rPr>
        <w:t>was</w:t>
      </w:r>
      <w:r>
        <w:rPr>
          <w:rStyle w:val="fontstyle01"/>
          <w:rFonts w:cs="Times New Roman"/>
        </w:rPr>
        <w:t xml:space="preserve"> also guided with expectancy theory which postulates that motivation </w:t>
      </w:r>
      <w:r>
        <w:rPr>
          <w:rStyle w:val="fontstyle01"/>
          <w:rFonts w:cs="Times New Roman"/>
          <w:noProof/>
        </w:rPr>
        <w:t>makes</w:t>
      </w:r>
      <w:r>
        <w:rPr>
          <w:rStyle w:val="fontstyle01"/>
          <w:rFonts w:cs="Times New Roman"/>
        </w:rPr>
        <w:t xml:space="preserve"> people make a choice between </w:t>
      </w:r>
      <w:r>
        <w:rPr>
          <w:rStyle w:val="fontstyle01"/>
          <w:rFonts w:cs="Times New Roman"/>
          <w:noProof/>
        </w:rPr>
        <w:t>different</w:t>
      </w:r>
      <w:r>
        <w:rPr>
          <w:rStyle w:val="fontstyle01"/>
          <w:rFonts w:cs="Times New Roman"/>
        </w:rPr>
        <w:t xml:space="preserve"> set of behaviours </w:t>
      </w:r>
      <w:sdt>
        <w:sdtPr>
          <w:rPr>
            <w:rFonts w:cs="Times New Roman"/>
          </w:rPr>
          <w:id w:val="1681397236"/>
          <w:citation/>
        </w:sdtPr>
        <w:sdtEndPr/>
        <w:sdtContent>
          <w:r>
            <w:rPr>
              <w:rFonts w:cs="Times New Roman"/>
            </w:rPr>
            <w:fldChar w:fldCharType="begin"/>
          </w:r>
          <w:r>
            <w:rPr>
              <w:rFonts w:cs="Times New Roman"/>
              <w:lang w:val="en-US"/>
            </w:rPr>
            <w:instrText xml:space="preserve">CITATION Ben07 \t  \l 1033 </w:instrText>
          </w:r>
          <w:r>
            <w:rPr>
              <w:rFonts w:cs="Times New Roman"/>
            </w:rPr>
            <w:fldChar w:fldCharType="separate"/>
          </w:r>
          <w:r>
            <w:rPr>
              <w:rFonts w:cs="Times New Roman"/>
              <w:noProof/>
              <w:lang w:val="en-US"/>
            </w:rPr>
            <w:t xml:space="preserve">(Bender, </w:t>
          </w:r>
          <w:r>
            <w:rPr>
              <w:rFonts w:cs="Times New Roman"/>
              <w:noProof/>
              <w:lang w:val="en-US"/>
            </w:rPr>
            <w:lastRenderedPageBreak/>
            <w:t>2007)</w:t>
          </w:r>
          <w:r>
            <w:rPr>
              <w:rFonts w:cs="Times New Roman"/>
            </w:rPr>
            <w:fldChar w:fldCharType="end"/>
          </w:r>
        </w:sdtContent>
      </w:sdt>
      <w:r>
        <w:rPr>
          <w:rFonts w:cs="Times New Roman"/>
        </w:rPr>
        <w:t>.</w:t>
      </w:r>
      <w:r w:rsidR="00FC275E">
        <w:rPr>
          <w:rFonts w:cs="Times New Roman"/>
        </w:rPr>
        <w:t xml:space="preserve"> </w:t>
      </w:r>
      <w:r w:rsidR="00D43A28">
        <w:rPr>
          <w:rFonts w:cs="Times New Roman"/>
        </w:rPr>
        <w:t xml:space="preserve">According to </w:t>
      </w:r>
      <w:r w:rsidR="00FC275E">
        <w:rPr>
          <w:rFonts w:cs="Times New Roman"/>
        </w:rPr>
        <w:fldChar w:fldCharType="begin" w:fldLock="1"/>
      </w:r>
      <w:r w:rsidR="00BD7F46">
        <w:rPr>
          <w:rFonts w:cs="Times New Roman"/>
        </w:rPr>
        <w:instrText>ADDIN CSL_CITATION {"citationItems":[{"id":"ITEM-1","itemData":{"author":[{"dropping-particle":"","family":"Suciu","given":"Leonina-emilia","non-dropping-particle":"","parse-names":false,"suffix":""},{"dropping-particle":"","family":"Mortan","given":"Maria","non-dropping-particle":"","parse-names":false,"suffix":""},{"dropping-particle":"","family":"Lazar","given":"Lucretia","non-dropping-particle":"","parse-names":false,"suffix":""}],"container-title":"Transylvanian Review of Administrative Sciences,","id":"ITEM-1","issue":"39","issued":{"date-parts":[["2013"]]},"page":"180-200","title":"Vroom's expectancy theory. An empirical study: Civil servant's performance appraisal influencing expectancy","type":"article-journal"},"uris":["http://www.mendeley.com/documents/?uuid=d4321221-a0f0-486d-add0-b7cd3b441ff2"]}],"mendeley":{"formattedCitation":"(Suciu et al., 2013)","manualFormatting":"Suciu et al.( 2013)","plainTextFormattedCitation":"(Suciu et al., 2013)","previouslyFormattedCitation":"(Suciu et al., 2013)"},"properties":{"noteIndex":0},"schema":"https://github.com/citation-style-language/schema/raw/master/csl-citation.json"}</w:instrText>
      </w:r>
      <w:r w:rsidR="00FC275E">
        <w:rPr>
          <w:rFonts w:cs="Times New Roman"/>
        </w:rPr>
        <w:fldChar w:fldCharType="separate"/>
      </w:r>
      <w:r w:rsidR="00FC275E" w:rsidRPr="00FC275E">
        <w:rPr>
          <w:rFonts w:cs="Times New Roman"/>
          <w:noProof/>
        </w:rPr>
        <w:t>Suciu et al.</w:t>
      </w:r>
      <w:r w:rsidR="00D43A28">
        <w:rPr>
          <w:rFonts w:cs="Times New Roman"/>
          <w:noProof/>
        </w:rPr>
        <w:t>(</w:t>
      </w:r>
      <w:r w:rsidR="00FC275E" w:rsidRPr="00FC275E">
        <w:rPr>
          <w:rFonts w:cs="Times New Roman"/>
          <w:noProof/>
        </w:rPr>
        <w:t xml:space="preserve"> 2013)</w:t>
      </w:r>
      <w:r w:rsidR="00FC275E">
        <w:rPr>
          <w:rFonts w:cs="Times New Roman"/>
        </w:rPr>
        <w:fldChar w:fldCharType="end"/>
      </w:r>
      <w:r w:rsidR="00D43A28">
        <w:rPr>
          <w:rFonts w:cs="Times New Roman"/>
        </w:rPr>
        <w:t xml:space="preserve"> , expectancy theory posits that people  are motivated to behave in a ways that leads to production of the desired  outcomes. </w:t>
      </w:r>
      <w:r>
        <w:rPr>
          <w:rStyle w:val="fontstyle01"/>
          <w:rFonts w:cs="Times New Roman"/>
        </w:rPr>
        <w:t xml:space="preserve"> </w:t>
      </w:r>
      <w:r w:rsidR="00B63155">
        <w:rPr>
          <w:rStyle w:val="fontstyle01"/>
          <w:rFonts w:cs="Times New Roman"/>
        </w:rPr>
        <w:t xml:space="preserve">Therefore, it is crucial for the motivation factors of employees to be evaluate and the impact of the outcome of the motivation on the performance of the organisation. </w:t>
      </w:r>
      <w:r>
        <w:rPr>
          <w:rStyle w:val="fontstyle01"/>
          <w:rFonts w:cs="Times New Roman"/>
        </w:rPr>
        <w:t xml:space="preserve">This is because the research </w:t>
      </w:r>
      <w:r w:rsidR="0009011C">
        <w:rPr>
          <w:rStyle w:val="fontstyle01"/>
          <w:rFonts w:cs="Times New Roman"/>
          <w:noProof/>
        </w:rPr>
        <w:t>aimed</w:t>
      </w:r>
      <w:r>
        <w:rPr>
          <w:rStyle w:val="fontstyle01"/>
          <w:rFonts w:cs="Times New Roman"/>
        </w:rPr>
        <w:t xml:space="preserve"> at evaluating the relationship of remuneration on the financial p</w:t>
      </w:r>
      <w:r w:rsidR="00250589">
        <w:rPr>
          <w:rStyle w:val="fontstyle01"/>
          <w:rFonts w:cs="Times New Roman"/>
        </w:rPr>
        <w:t xml:space="preserve">erformance of the organisation, thus assessing if management remuneration measure are motivation factors to improvement of organisation financial performance. </w:t>
      </w:r>
    </w:p>
    <w:p w14:paraId="3D5AF7E6" w14:textId="77777777" w:rsidR="00CE73C2" w:rsidRPr="00AE0B3D" w:rsidRDefault="00CE73C2" w:rsidP="00F97E40">
      <w:pPr>
        <w:rPr>
          <w:rStyle w:val="fontstyle01"/>
          <w:rFonts w:ascii="Times New Roman" w:hAnsi="Times New Roman" w:cs="Times New Roman"/>
          <w:color w:val="auto"/>
        </w:rPr>
      </w:pPr>
    </w:p>
    <w:p w14:paraId="15967C1C" w14:textId="77777777" w:rsidR="00394CD9" w:rsidRPr="00AE0B3D" w:rsidRDefault="00394CD9" w:rsidP="00012323">
      <w:pPr>
        <w:pStyle w:val="Heading3"/>
        <w:jc w:val="center"/>
        <w:rPr>
          <w:rFonts w:cs="Times New Roman"/>
        </w:rPr>
      </w:pPr>
      <w:bookmarkStart w:id="29" w:name="_Toc78067504"/>
      <w:r w:rsidRPr="00AE0B3D">
        <w:rPr>
          <w:rFonts w:cs="Times New Roman"/>
        </w:rPr>
        <w:t>Conceptual Framework</w:t>
      </w:r>
      <w:bookmarkEnd w:id="29"/>
    </w:p>
    <w:p w14:paraId="7F51C735" w14:textId="1C63F5F3" w:rsidR="00D619F9" w:rsidRPr="00AE0B3D" w:rsidRDefault="005F1BDD" w:rsidP="00D619F9">
      <w:pPr>
        <w:rPr>
          <w:rFonts w:cs="Times New Roman"/>
        </w:rPr>
      </w:pPr>
      <w:r w:rsidRPr="00AE0B3D">
        <w:rPr>
          <w:rFonts w:cs="Times New Roman"/>
        </w:rPr>
        <w:t>The chart below summarizes the</w:t>
      </w:r>
      <w:r w:rsidR="0012198A" w:rsidRPr="00AE0B3D">
        <w:rPr>
          <w:rFonts w:cs="Times New Roman"/>
        </w:rPr>
        <w:t xml:space="preserve"> research</w:t>
      </w:r>
      <w:r w:rsidRPr="00AE0B3D">
        <w:rPr>
          <w:rFonts w:cs="Times New Roman"/>
        </w:rPr>
        <w:t xml:space="preserve"> concept. </w:t>
      </w:r>
      <w:r w:rsidR="00D619F9" w:rsidRPr="00AE0B3D">
        <w:rPr>
          <w:rFonts w:cs="Times New Roman"/>
        </w:rPr>
        <w:t>In the research</w:t>
      </w:r>
      <w:r w:rsidR="00161820" w:rsidRPr="00AE0B3D">
        <w:rPr>
          <w:rFonts w:cs="Times New Roman"/>
        </w:rPr>
        <w:t>,</w:t>
      </w:r>
      <w:r w:rsidR="00D619F9" w:rsidRPr="00AE0B3D">
        <w:rPr>
          <w:rFonts w:cs="Times New Roman"/>
        </w:rPr>
        <w:t xml:space="preserve"> </w:t>
      </w:r>
      <w:r w:rsidR="001F3A86" w:rsidRPr="00AE0B3D">
        <w:rPr>
          <w:rFonts w:cs="Times New Roman"/>
        </w:rPr>
        <w:t xml:space="preserve">management </w:t>
      </w:r>
      <w:r w:rsidR="00D619F9" w:rsidRPr="00AE0B3D">
        <w:rPr>
          <w:rFonts w:cs="Times New Roman"/>
        </w:rPr>
        <w:t xml:space="preserve">remuneration </w:t>
      </w:r>
      <w:r w:rsidR="002B1799">
        <w:rPr>
          <w:rFonts w:cs="Times New Roman"/>
        </w:rPr>
        <w:t>indicators were</w:t>
      </w:r>
      <w:r w:rsidR="00D619F9" w:rsidRPr="00AE0B3D">
        <w:rPr>
          <w:rFonts w:cs="Times New Roman"/>
        </w:rPr>
        <w:t xml:space="preserve"> considered as the </w:t>
      </w:r>
      <w:r w:rsidR="00B64309" w:rsidRPr="00AE0B3D">
        <w:rPr>
          <w:rFonts w:cs="Times New Roman"/>
        </w:rPr>
        <w:t>in</w:t>
      </w:r>
      <w:r w:rsidR="00D619F9" w:rsidRPr="00AE0B3D">
        <w:rPr>
          <w:rFonts w:cs="Times New Roman"/>
        </w:rPr>
        <w:t>dependent</w:t>
      </w:r>
      <w:r w:rsidR="002B1799">
        <w:rPr>
          <w:rFonts w:cs="Times New Roman"/>
        </w:rPr>
        <w:t xml:space="preserve"> constructs</w:t>
      </w:r>
      <w:r w:rsidR="00D619F9" w:rsidRPr="00AE0B3D">
        <w:rPr>
          <w:rFonts w:cs="Times New Roman"/>
        </w:rPr>
        <w:t xml:space="preserve"> which included salary, benefits, </w:t>
      </w:r>
      <w:r w:rsidR="003D6116" w:rsidRPr="00AE0B3D">
        <w:rPr>
          <w:rFonts w:cs="Times New Roman"/>
        </w:rPr>
        <w:t>bonus,</w:t>
      </w:r>
      <w:r w:rsidR="00D619F9" w:rsidRPr="00AE0B3D">
        <w:rPr>
          <w:rFonts w:cs="Times New Roman"/>
        </w:rPr>
        <w:t xml:space="preserve"> and shares.</w:t>
      </w:r>
      <w:r w:rsidR="00A05BA8">
        <w:rPr>
          <w:rFonts w:cs="Times New Roman"/>
        </w:rPr>
        <w:t xml:space="preserve"> According to </w:t>
      </w:r>
      <w:proofErr w:type="spellStart"/>
      <w:r w:rsidR="00A05BA8">
        <w:rPr>
          <w:rFonts w:cs="Times New Roman"/>
        </w:rPr>
        <w:t>Prouska</w:t>
      </w:r>
      <w:proofErr w:type="spellEnd"/>
      <w:r w:rsidR="00A05BA8">
        <w:rPr>
          <w:rFonts w:cs="Times New Roman"/>
        </w:rPr>
        <w:t xml:space="preserve"> et al.</w:t>
      </w:r>
      <w:r w:rsidR="00A05BA8" w:rsidRPr="00A05BA8">
        <w:rPr>
          <w:rFonts w:cs="Times New Roman"/>
        </w:rPr>
        <w:t xml:space="preserve"> </w:t>
      </w:r>
      <w:r w:rsidR="00A05BA8">
        <w:rPr>
          <w:rFonts w:cs="Times New Roman"/>
        </w:rPr>
        <w:t>(</w:t>
      </w:r>
      <w:r w:rsidR="00A05BA8" w:rsidRPr="00A05BA8">
        <w:rPr>
          <w:rFonts w:cs="Times New Roman"/>
        </w:rPr>
        <w:t>2016</w:t>
      </w:r>
      <w:r w:rsidR="00A05BA8">
        <w:rPr>
          <w:rFonts w:cs="Times New Roman"/>
        </w:rPr>
        <w:t xml:space="preserve">) and </w:t>
      </w:r>
      <w:r w:rsidR="004D110D">
        <w:rPr>
          <w:rFonts w:cs="Times New Roman"/>
        </w:rPr>
        <w:t>Shields et al.</w:t>
      </w:r>
      <w:r w:rsidR="004D110D" w:rsidRPr="004D110D">
        <w:rPr>
          <w:rFonts w:cs="Times New Roman"/>
        </w:rPr>
        <w:t xml:space="preserve"> </w:t>
      </w:r>
      <w:r w:rsidR="004D110D">
        <w:rPr>
          <w:rFonts w:cs="Times New Roman"/>
        </w:rPr>
        <w:t>(</w:t>
      </w:r>
      <w:r w:rsidR="004D110D" w:rsidRPr="004D110D">
        <w:rPr>
          <w:rFonts w:cs="Times New Roman"/>
        </w:rPr>
        <w:t>2015)</w:t>
      </w:r>
      <w:r w:rsidR="004D110D">
        <w:rPr>
          <w:rFonts w:cs="Times New Roman"/>
        </w:rPr>
        <w:t xml:space="preserve"> </w:t>
      </w:r>
      <w:r w:rsidR="004D110D" w:rsidRPr="00AE0B3D">
        <w:rPr>
          <w:rFonts w:cs="Times New Roman"/>
        </w:rPr>
        <w:t>salary, benefits, bonus</w:t>
      </w:r>
      <w:r w:rsidR="000F0328">
        <w:rPr>
          <w:rFonts w:cs="Times New Roman"/>
        </w:rPr>
        <w:t>,</w:t>
      </w:r>
      <w:r w:rsidR="000F0328" w:rsidRPr="000F0328">
        <w:t xml:space="preserve"> </w:t>
      </w:r>
      <w:r w:rsidR="000F0328">
        <w:t>e</w:t>
      </w:r>
      <w:r w:rsidR="000F0328" w:rsidRPr="000F0328">
        <w:rPr>
          <w:rFonts w:cs="Times New Roman"/>
        </w:rPr>
        <w:t>mployee performance shares payment</w:t>
      </w:r>
      <w:r w:rsidR="000F0328">
        <w:rPr>
          <w:rFonts w:cs="Times New Roman"/>
        </w:rPr>
        <w:t xml:space="preserve">, </w:t>
      </w:r>
      <w:r w:rsidR="000F0328" w:rsidRPr="00AE0B3D">
        <w:rPr>
          <w:rFonts w:cs="Times New Roman"/>
        </w:rPr>
        <w:t>and</w:t>
      </w:r>
      <w:r w:rsidR="004D110D" w:rsidRPr="00AE0B3D">
        <w:rPr>
          <w:rFonts w:cs="Times New Roman"/>
        </w:rPr>
        <w:t xml:space="preserve"> shares</w:t>
      </w:r>
      <w:r w:rsidR="004D110D">
        <w:rPr>
          <w:rFonts w:cs="Times New Roman"/>
        </w:rPr>
        <w:t xml:space="preserve"> were important management remuneration measures. </w:t>
      </w:r>
      <w:r w:rsidR="00D619F9" w:rsidRPr="00AE0B3D">
        <w:rPr>
          <w:rFonts w:cs="Times New Roman"/>
        </w:rPr>
        <w:t xml:space="preserve">The financial performance was considered as the dependent variable as it is influenced by the </w:t>
      </w:r>
      <w:r w:rsidR="001F3A86" w:rsidRPr="00AE0B3D">
        <w:rPr>
          <w:rFonts w:cs="Times New Roman"/>
        </w:rPr>
        <w:t xml:space="preserve">management </w:t>
      </w:r>
      <w:r w:rsidR="00D619F9" w:rsidRPr="00AE0B3D">
        <w:rPr>
          <w:rFonts w:cs="Times New Roman"/>
        </w:rPr>
        <w:t xml:space="preserve">remuneration. </w:t>
      </w:r>
      <w:r w:rsidR="005A2C2A">
        <w:rPr>
          <w:rFonts w:cs="Times New Roman"/>
        </w:rPr>
        <w:fldChar w:fldCharType="begin" w:fldLock="1"/>
      </w:r>
      <w:r w:rsidR="005A2C2A">
        <w:rPr>
          <w:rFonts w:cs="Times New Roman"/>
        </w:rPr>
        <w:instrText>ADDIN CSL_CITATION {"citationItems":[{"id":"ITEM-1","itemData":{"DOI":"10.1007/s10551-011-1063-y","ISBN":"0167-4544","ISSN":"01674544","PMID":"12658535","abstract":"Sustainability is concerned with the impact of present actions on the ecosystems, societies, and environ-ments of the future. Such concerns should be reflected in the strategic planning of sustainable corporations. Strategic intentions of this nature are operationalized through the adoption of a long-term focus and a more inclusive set of responsibilities focusing on ethical practices, employees, environment, and customers. A central hypothesis, that we test in this paper is that companies which attend to this set of responsibilities under the term superior sustainable practices, have higher financial performance compared to those that do not engage in such practices. The target population of this study consists of the top 100 sustainable global companies in 2008 which have been selected from a universe of 3,000 firms from the developed countries and emerging markets. We find significant higher mean sales growth, return on assets, profit before taxation, and cash flows from operations in some activity sectors of the sample companies compared to the control companies over the period of 2006–2010. Furthermore, our findings show that the higher financial performance of sustainable com-panies has increased and been sustained over the sample. Notwithstanding sample limitation, causal evidence reported in this paper suggests that, there is bi-directional relationship between corporate social responsibilities practices and corporate financial performance.","author":[{"dropping-particle":"","family":"Ameer","given":"Rashid","non-dropping-particle":"","parse-names":false,"suffix":""},{"dropping-particle":"","family":"Othman","given":"Radiah","non-dropping-particle":"","parse-names":false,"suffix":""}],"container-title":"Journal of Business Ethics","id":"ITEM-1","issue":"1","issued":{"date-parts":[["2012"]]},"page":"61-79","title":"Sustainability practices and corporate financial performance: A study based on the top global corporations","type":"article-journal","volume":"108"},"uris":["http://www.mendeley.com/documents/?uuid=fa4319b9-ea84-471e-866f-b08c86fcadf3"]}],"mendeley":{"formattedCitation":"(Ameer &amp; Othman, 2012)","manualFormatting":"Ameer and Othman (2012)","plainTextFormattedCitation":"(Ameer &amp; Othman, 2012)","previouslyFormattedCitation":"(Ameer &amp; Othman, 2012)"},"properties":{"noteIndex":0},"schema":"https://github.com/citation-style-language/schema/raw/master/csl-citation.json"}</w:instrText>
      </w:r>
      <w:r w:rsidR="005A2C2A">
        <w:rPr>
          <w:rFonts w:cs="Times New Roman"/>
        </w:rPr>
        <w:fldChar w:fldCharType="separate"/>
      </w:r>
      <w:r w:rsidR="005A2C2A">
        <w:rPr>
          <w:rFonts w:cs="Times New Roman"/>
          <w:noProof/>
        </w:rPr>
        <w:t>Ameer and Othman (2012)</w:t>
      </w:r>
      <w:r w:rsidR="005A2C2A">
        <w:rPr>
          <w:rFonts w:cs="Times New Roman"/>
        </w:rPr>
        <w:fldChar w:fldCharType="end"/>
      </w:r>
      <w:r w:rsidR="005A2C2A">
        <w:rPr>
          <w:rFonts w:cs="Times New Roman"/>
        </w:rPr>
        <w:t xml:space="preserve"> reported that return on assets (ROA) and </w:t>
      </w:r>
      <w:r w:rsidR="005A2C2A" w:rsidRPr="00AE0B3D">
        <w:rPr>
          <w:rFonts w:cs="Times New Roman"/>
        </w:rPr>
        <w:t>return on equity (ROE)</w:t>
      </w:r>
      <w:r w:rsidR="005A2C2A">
        <w:rPr>
          <w:rFonts w:cs="Times New Roman"/>
        </w:rPr>
        <w:t xml:space="preserve"> were important measure of financial performance of an organisation.</w:t>
      </w:r>
      <w:r w:rsidR="000939BD">
        <w:rPr>
          <w:rFonts w:cs="Times New Roman"/>
        </w:rPr>
        <w:t xml:space="preserve"> </w:t>
      </w:r>
      <w:r w:rsidR="00D619F9" w:rsidRPr="00AE0B3D">
        <w:rPr>
          <w:rFonts w:cs="Times New Roman"/>
        </w:rPr>
        <w:t>The</w:t>
      </w:r>
      <w:r w:rsidR="000939BD">
        <w:rPr>
          <w:rFonts w:cs="Times New Roman"/>
        </w:rPr>
        <w:t>refore, the</w:t>
      </w:r>
      <w:r w:rsidR="00D619F9" w:rsidRPr="00AE0B3D">
        <w:rPr>
          <w:rFonts w:cs="Times New Roman"/>
        </w:rPr>
        <w:t xml:space="preserve"> variables for the dependent variables included </w:t>
      </w:r>
      <w:r w:rsidR="004F2FBE">
        <w:rPr>
          <w:rFonts w:cs="Times New Roman"/>
        </w:rPr>
        <w:t>return on assets (</w:t>
      </w:r>
      <w:r w:rsidR="00711D57">
        <w:rPr>
          <w:rFonts w:cs="Times New Roman"/>
        </w:rPr>
        <w:t>ROA</w:t>
      </w:r>
      <w:r w:rsidR="004F2FBE">
        <w:rPr>
          <w:rFonts w:cs="Times New Roman"/>
        </w:rPr>
        <w:t>)</w:t>
      </w:r>
      <w:r w:rsidR="00711D57">
        <w:rPr>
          <w:rFonts w:cs="Times New Roman"/>
        </w:rPr>
        <w:t xml:space="preserve"> </w:t>
      </w:r>
      <w:r w:rsidR="006417A4" w:rsidRPr="00AE0B3D">
        <w:rPr>
          <w:rFonts w:cs="Times New Roman"/>
        </w:rPr>
        <w:t>and return</w:t>
      </w:r>
      <w:r w:rsidR="001638B8" w:rsidRPr="00AE0B3D">
        <w:rPr>
          <w:rFonts w:cs="Times New Roman"/>
        </w:rPr>
        <w:t xml:space="preserve"> on equity (</w:t>
      </w:r>
      <w:r w:rsidR="00D619F9" w:rsidRPr="00AE0B3D">
        <w:rPr>
          <w:rFonts w:cs="Times New Roman"/>
        </w:rPr>
        <w:t>ROE</w:t>
      </w:r>
      <w:r w:rsidR="001638B8" w:rsidRPr="00AE0B3D">
        <w:rPr>
          <w:rFonts w:cs="Times New Roman"/>
        </w:rPr>
        <w:t>)</w:t>
      </w:r>
      <w:r w:rsidR="00D619F9" w:rsidRPr="00AE0B3D">
        <w:rPr>
          <w:rFonts w:cs="Times New Roman"/>
        </w:rPr>
        <w:t xml:space="preserve">. </w:t>
      </w:r>
    </w:p>
    <w:p w14:paraId="03B7DA54" w14:textId="77777777" w:rsidR="009B1B4D" w:rsidRPr="00AE0B3D" w:rsidRDefault="002F40EF" w:rsidP="009B1B4D">
      <w:pPr>
        <w:pStyle w:val="Caption"/>
        <w:ind w:firstLine="0"/>
        <w:rPr>
          <w:color w:val="auto"/>
        </w:rPr>
      </w:pPr>
      <w:r w:rsidRPr="00AE0B3D">
        <w:rPr>
          <w:rFonts w:cs="Times New Roman"/>
          <w:noProof/>
          <w:color w:val="auto"/>
          <w:lang w:val="en-US"/>
        </w:rPr>
        <w:lastRenderedPageBreak/>
        <mc:AlternateContent>
          <mc:Choice Requires="wpg">
            <w:drawing>
              <wp:anchor distT="0" distB="0" distL="114300" distR="114300" simplePos="0" relativeHeight="251658240" behindDoc="0" locked="0" layoutInCell="1" allowOverlap="1" wp14:anchorId="3256F15A" wp14:editId="59592DB7">
                <wp:simplePos x="0" y="0"/>
                <wp:positionH relativeFrom="margin">
                  <wp:posOffset>171450</wp:posOffset>
                </wp:positionH>
                <wp:positionV relativeFrom="paragraph">
                  <wp:posOffset>112395</wp:posOffset>
                </wp:positionV>
                <wp:extent cx="5227955" cy="2752725"/>
                <wp:effectExtent l="0" t="0" r="10795" b="28575"/>
                <wp:wrapTopAndBottom/>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27955" cy="2752725"/>
                          <a:chOff x="-482627" y="0"/>
                          <a:chExt cx="5228247" cy="2141293"/>
                        </a:xfrm>
                      </wpg:grpSpPr>
                      <wpg:grpSp>
                        <wpg:cNvPr id="5" name="Group 5"/>
                        <wpg:cNvGrpSpPr/>
                        <wpg:grpSpPr>
                          <a:xfrm>
                            <a:off x="-482627" y="0"/>
                            <a:ext cx="5228247" cy="2141293"/>
                            <a:chOff x="-482627" y="0"/>
                            <a:chExt cx="5228247" cy="2141293"/>
                          </a:xfrm>
                        </wpg:grpSpPr>
                        <wps:wsp>
                          <wps:cNvPr id="1" name="Rectangle 1"/>
                          <wps:cNvSpPr/>
                          <wps:spPr>
                            <a:xfrm>
                              <a:off x="0" y="0"/>
                              <a:ext cx="1736203" cy="347241"/>
                            </a:xfrm>
                            <a:prstGeom prst="rect">
                              <a:avLst/>
                            </a:prstGeom>
                          </wps:spPr>
                          <wps:style>
                            <a:lnRef idx="2">
                              <a:schemeClr val="accent6"/>
                            </a:lnRef>
                            <a:fillRef idx="1">
                              <a:schemeClr val="lt1"/>
                            </a:fillRef>
                            <a:effectRef idx="0">
                              <a:schemeClr val="accent6"/>
                            </a:effectRef>
                            <a:fontRef idx="minor">
                              <a:schemeClr val="dk1"/>
                            </a:fontRef>
                          </wps:style>
                          <wps:txbx>
                            <w:txbxContent>
                              <w:p w14:paraId="37E62F20" w14:textId="4470BBC4" w:rsidR="0032136C" w:rsidRDefault="0032136C" w:rsidP="00830755">
                                <w:pPr>
                                  <w:ind w:firstLine="0"/>
                                </w:pPr>
                                <w:r>
                                  <w:t>Independent Constructs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Rectangle 2"/>
                          <wps:cNvSpPr/>
                          <wps:spPr>
                            <a:xfrm>
                              <a:off x="2812649" y="0"/>
                              <a:ext cx="1920875" cy="37039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5FA8450" w14:textId="4CB9175B" w:rsidR="0032136C" w:rsidRDefault="0032136C" w:rsidP="00830755">
                                <w:pPr>
                                  <w:ind w:firstLine="0"/>
                                </w:pPr>
                                <w:r>
                                  <w:t>Dependent variable</w:t>
                                </w:r>
                              </w:p>
                              <w:p w14:paraId="26B2F6BD" w14:textId="77777777" w:rsidR="0032136C" w:rsidRDefault="0032136C" w:rsidP="0083075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Rectangle 3"/>
                          <wps:cNvSpPr/>
                          <wps:spPr>
                            <a:xfrm>
                              <a:off x="2708476" y="451413"/>
                              <a:ext cx="2037144" cy="1655180"/>
                            </a:xfrm>
                            <a:prstGeom prst="rect">
                              <a:avLst/>
                            </a:prstGeom>
                          </wps:spPr>
                          <wps:style>
                            <a:lnRef idx="2">
                              <a:schemeClr val="accent6"/>
                            </a:lnRef>
                            <a:fillRef idx="1">
                              <a:schemeClr val="lt1"/>
                            </a:fillRef>
                            <a:effectRef idx="0">
                              <a:schemeClr val="accent6"/>
                            </a:effectRef>
                            <a:fontRef idx="minor">
                              <a:schemeClr val="dk1"/>
                            </a:fontRef>
                          </wps:style>
                          <wps:txbx>
                            <w:txbxContent>
                              <w:p w14:paraId="1C436149" w14:textId="77777777" w:rsidR="0032136C" w:rsidRDefault="0032136C" w:rsidP="00936177">
                                <w:pPr>
                                  <w:pStyle w:val="ListParagraph"/>
                                  <w:numPr>
                                    <w:ilvl w:val="0"/>
                                    <w:numId w:val="6"/>
                                  </w:numPr>
                                  <w:jc w:val="center"/>
                                </w:pPr>
                                <w:r>
                                  <w:t>Financial performance</w:t>
                                </w:r>
                              </w:p>
                              <w:p w14:paraId="5FF7F0BB" w14:textId="62EED328" w:rsidR="0032136C" w:rsidRDefault="0032136C" w:rsidP="00485C89">
                                <w:pPr>
                                  <w:pStyle w:val="ListParagraph"/>
                                  <w:numPr>
                                    <w:ilvl w:val="0"/>
                                    <w:numId w:val="16"/>
                                  </w:numPr>
                                </w:pPr>
                                <w:bookmarkStart w:id="30" w:name="_Hlk4935623"/>
                                <w:r>
                                  <w:t>ROA</w:t>
                                </w:r>
                              </w:p>
                              <w:p w14:paraId="2C8A4386" w14:textId="77777777" w:rsidR="0032136C" w:rsidRDefault="0032136C" w:rsidP="00485C89">
                                <w:pPr>
                                  <w:pStyle w:val="ListParagraph"/>
                                  <w:numPr>
                                    <w:ilvl w:val="0"/>
                                    <w:numId w:val="16"/>
                                  </w:numPr>
                                </w:pPr>
                                <w:r>
                                  <w:t>ROE</w:t>
                                </w:r>
                              </w:p>
                              <w:bookmarkEnd w:id="30"/>
                              <w:p w14:paraId="4F4D273F" w14:textId="77777777" w:rsidR="0032136C" w:rsidRDefault="0032136C" w:rsidP="00005A5C">
                                <w:pPr>
                                  <w:pStyle w:val="ListParagraph"/>
                                  <w:ind w:left="540" w:firstLine="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482627" y="462988"/>
                              <a:ext cx="2206942" cy="1678305"/>
                            </a:xfrm>
                            <a:prstGeom prst="rect">
                              <a:avLst/>
                            </a:prstGeom>
                          </wps:spPr>
                          <wps:style>
                            <a:lnRef idx="2">
                              <a:schemeClr val="accent6"/>
                            </a:lnRef>
                            <a:fillRef idx="1">
                              <a:schemeClr val="lt1"/>
                            </a:fillRef>
                            <a:effectRef idx="0">
                              <a:schemeClr val="accent6"/>
                            </a:effectRef>
                            <a:fontRef idx="minor">
                              <a:schemeClr val="dk1"/>
                            </a:fontRef>
                          </wps:style>
                          <wps:txbx>
                            <w:txbxContent>
                              <w:p w14:paraId="15EF3779" w14:textId="39053427" w:rsidR="0032136C" w:rsidRDefault="0032136C" w:rsidP="00936177">
                                <w:pPr>
                                  <w:pStyle w:val="ListParagraph"/>
                                  <w:numPr>
                                    <w:ilvl w:val="0"/>
                                    <w:numId w:val="5"/>
                                  </w:numPr>
                                  <w:jc w:val="left"/>
                                </w:pPr>
                                <w:r>
                                  <w:t>Management Remuneration</w:t>
                                </w:r>
                              </w:p>
                              <w:p w14:paraId="152FED48" w14:textId="77777777" w:rsidR="0032136C" w:rsidRDefault="0032136C" w:rsidP="002E5A40">
                                <w:pPr>
                                  <w:pStyle w:val="NormalWeb"/>
                                  <w:numPr>
                                    <w:ilvl w:val="0"/>
                                    <w:numId w:val="25"/>
                                  </w:numPr>
                                  <w:shd w:val="clear" w:color="auto" w:fill="FFFFFF"/>
                                  <w:spacing w:before="0" w:beforeAutospacing="0" w:after="160" w:afterAutospacing="0"/>
                                  <w:rPr>
                                    <w:rFonts w:ascii="Arial" w:hAnsi="Arial" w:cs="Arial"/>
                                    <w:color w:val="222222"/>
                                  </w:rPr>
                                </w:pPr>
                                <w:bookmarkStart w:id="31" w:name="_Hlk536178673"/>
                                <w:r>
                                  <w:rPr>
                                    <w:color w:val="000000"/>
                                  </w:rPr>
                                  <w:t>Salary</w:t>
                                </w:r>
                              </w:p>
                              <w:p w14:paraId="6AAEB234" w14:textId="77777777" w:rsidR="0032136C" w:rsidRDefault="0032136C" w:rsidP="002E5A40">
                                <w:pPr>
                                  <w:pStyle w:val="NormalWeb"/>
                                  <w:numPr>
                                    <w:ilvl w:val="0"/>
                                    <w:numId w:val="25"/>
                                  </w:numPr>
                                  <w:shd w:val="clear" w:color="auto" w:fill="FFFFFF"/>
                                  <w:spacing w:before="0" w:beforeAutospacing="0" w:after="160" w:afterAutospacing="0"/>
                                  <w:rPr>
                                    <w:rFonts w:ascii="Arial" w:hAnsi="Arial" w:cs="Arial"/>
                                    <w:color w:val="222222"/>
                                  </w:rPr>
                                </w:pPr>
                                <w:r>
                                  <w:rPr>
                                    <w:color w:val="000000"/>
                                  </w:rPr>
                                  <w:t>Benefits</w:t>
                                </w:r>
                              </w:p>
                              <w:p w14:paraId="4AF766EE" w14:textId="77777777" w:rsidR="0032136C" w:rsidRDefault="0032136C" w:rsidP="002E5A40">
                                <w:pPr>
                                  <w:pStyle w:val="NormalWeb"/>
                                  <w:numPr>
                                    <w:ilvl w:val="0"/>
                                    <w:numId w:val="25"/>
                                  </w:numPr>
                                  <w:shd w:val="clear" w:color="auto" w:fill="FFFFFF"/>
                                  <w:spacing w:before="0" w:beforeAutospacing="0" w:after="160" w:afterAutospacing="0"/>
                                  <w:rPr>
                                    <w:rFonts w:ascii="Arial" w:hAnsi="Arial" w:cs="Arial"/>
                                    <w:color w:val="222222"/>
                                  </w:rPr>
                                </w:pPr>
                                <w:r>
                                  <w:rPr>
                                    <w:color w:val="000000"/>
                                  </w:rPr>
                                  <w:t>Bonus</w:t>
                                </w:r>
                              </w:p>
                              <w:p w14:paraId="1034A3D6" w14:textId="6437C919" w:rsidR="0032136C" w:rsidRDefault="0032136C" w:rsidP="002E5A40">
                                <w:pPr>
                                  <w:pStyle w:val="NormalWeb"/>
                                  <w:numPr>
                                    <w:ilvl w:val="0"/>
                                    <w:numId w:val="25"/>
                                  </w:numPr>
                                  <w:shd w:val="clear" w:color="auto" w:fill="FFFFFF"/>
                                  <w:spacing w:before="0" w:beforeAutospacing="0" w:after="160" w:afterAutospacing="0"/>
                                  <w:rPr>
                                    <w:color w:val="000000" w:themeColor="text1"/>
                                  </w:rPr>
                                </w:pPr>
                                <w:r w:rsidRPr="00900D47">
                                  <w:rPr>
                                    <w:color w:val="000000" w:themeColor="text1"/>
                                  </w:rPr>
                                  <w:t>Shares</w:t>
                                </w:r>
                              </w:p>
                              <w:p w14:paraId="4B2A9E5F" w14:textId="1FB04485" w:rsidR="0032136C" w:rsidRPr="00900D47" w:rsidRDefault="0032136C" w:rsidP="002E5A40">
                                <w:pPr>
                                  <w:pStyle w:val="NormalWeb"/>
                                  <w:numPr>
                                    <w:ilvl w:val="0"/>
                                    <w:numId w:val="25"/>
                                  </w:numPr>
                                  <w:shd w:val="clear" w:color="auto" w:fill="FFFFFF"/>
                                  <w:spacing w:before="0" w:beforeAutospacing="0" w:after="160" w:afterAutospacing="0"/>
                                  <w:rPr>
                                    <w:rFonts w:ascii="Arial" w:hAnsi="Arial" w:cs="Arial"/>
                                    <w:color w:val="000000" w:themeColor="text1"/>
                                  </w:rPr>
                                </w:pPr>
                                <w:r>
                                  <w:rPr>
                                    <w:color w:val="000000" w:themeColor="text1"/>
                                  </w:rPr>
                                  <w:t>Employee performance shares payment</w:t>
                                </w:r>
                              </w:p>
                              <w:bookmarkEnd w:id="31"/>
                              <w:p w14:paraId="4E7E0762" w14:textId="77777777" w:rsidR="0032136C" w:rsidRDefault="0032136C" w:rsidP="002E5A40">
                                <w:pPr>
                                  <w:ind w:firstLine="0"/>
                                  <w:jc w:val="left"/>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 name="Straight Arrow Connector 6"/>
                        <wps:cNvCnPr/>
                        <wps:spPr>
                          <a:xfrm>
                            <a:off x="1736203" y="1169043"/>
                            <a:ext cx="972219" cy="11575"/>
                          </a:xfrm>
                          <a:prstGeom prst="straightConnector1">
                            <a:avLst/>
                          </a:prstGeom>
                          <a:ln w="63500">
                            <a:tailEnd type="triangle"/>
                          </a:ln>
                        </wps:spPr>
                        <wps:style>
                          <a:lnRef idx="3">
                            <a:schemeClr val="dk1"/>
                          </a:lnRef>
                          <a:fillRef idx="0">
                            <a:schemeClr val="dk1"/>
                          </a:fillRef>
                          <a:effectRef idx="2">
                            <a:schemeClr val="dk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w14:anchorId="3256F15A" id="Group 7" o:spid="_x0000_s1026" style="position:absolute;left:0;text-align:left;margin-left:13.5pt;margin-top:8.85pt;width:411.65pt;height:216.75pt;z-index:251658240;mso-position-horizontal-relative:margin" coordorigin="-4826" coordsize="52282,21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">
                <v:group id="Group 5" o:spid="_x0000_s1027" style="position:absolute;left:-4826;width:52282;height:21412" coordorigin="-4826" coordsize="52282,21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rect id="Rectangle 1" o:spid="_x0000_s1028" style="position:absolute;width:17362;height:34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" fillcolor="white [3201]" strokecolor="#70ad47 [3209]" strokeweight="1pt">
                    <v:textbox>
                      <w:txbxContent>
                        <w:p w14:paraId="37E62F20" w14:textId="4470BBC4" w:rsidR="0032136C" w:rsidRDefault="0032136C" w:rsidP="00830755">
                          <w:pPr>
                            <w:ind w:firstLine="0"/>
                          </w:pPr>
                          <w:r>
                            <w:t>Independent Constructs</w:t>
                          </w:r>
                        </w:p>
                      </w:txbxContent>
                    </v:textbox>
                  </v:rect>
                  <v:rect id="Rectangle 2" o:spid="_x0000_s1029" style="position:absolute;left:28126;width:19209;height:37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" fillcolor="white [3201]" strokecolor="#70ad47 [3209]" strokeweight="1pt">
                    <v:textbox>
                      <w:txbxContent>
                        <w:p w14:paraId="75FA8450" w14:textId="4CB9175B" w:rsidR="0032136C" w:rsidRDefault="0032136C" w:rsidP="00830755">
                          <w:pPr>
                            <w:ind w:firstLine="0"/>
                          </w:pPr>
                          <w:r>
                            <w:t>Dependent variable</w:t>
                          </w:r>
                        </w:p>
                        <w:p w14:paraId="26B2F6BD" w14:textId="77777777" w:rsidR="0032136C" w:rsidRDefault="0032136C" w:rsidP="00830755">
                          <w:pPr>
                            <w:jc w:val="center"/>
                          </w:pPr>
                        </w:p>
                      </w:txbxContent>
                    </v:textbox>
                  </v:rect>
                  <v:rect id="Rectangle 3" o:spid="_x0000_s1030" style="position:absolute;left:27084;top:4514;width:20372;height:1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" fillcolor="white [3201]" strokecolor="#70ad47 [3209]" strokeweight="1pt">
                    <v:textbox>
                      <w:txbxContent>
                        <w:p w14:paraId="1C436149" w14:textId="77777777" w:rsidR="0032136C" w:rsidRDefault="0032136C" w:rsidP="00936177">
                          <w:pPr>
                            <w:pStyle w:val="ListParagraph"/>
                            <w:numPr>
                              <w:ilvl w:val="0"/>
                              <w:numId w:val="6"/>
                            </w:numPr>
                            <w:jc w:val="center"/>
                          </w:pPr>
                          <w:r>
                            <w:t>Financial performance</w:t>
                          </w:r>
                        </w:p>
                        <w:p w14:paraId="5FF7F0BB" w14:textId="62EED328" w:rsidR="0032136C" w:rsidRDefault="0032136C" w:rsidP="00485C89">
                          <w:pPr>
                            <w:pStyle w:val="ListParagraph"/>
                            <w:numPr>
                              <w:ilvl w:val="0"/>
                              <w:numId w:val="16"/>
                            </w:numPr>
                          </w:pPr>
                          <w:bookmarkStart w:id="32" w:name="_Hlk4935623"/>
                          <w:r>
                            <w:t>ROA</w:t>
                          </w:r>
                        </w:p>
                        <w:p w14:paraId="2C8A4386" w14:textId="77777777" w:rsidR="0032136C" w:rsidRDefault="0032136C" w:rsidP="00485C89">
                          <w:pPr>
                            <w:pStyle w:val="ListParagraph"/>
                            <w:numPr>
                              <w:ilvl w:val="0"/>
                              <w:numId w:val="16"/>
                            </w:numPr>
                          </w:pPr>
                          <w:r>
                            <w:t>ROE</w:t>
                          </w:r>
                        </w:p>
                        <w:bookmarkEnd w:id="32"/>
                        <w:p w14:paraId="4F4D273F" w14:textId="77777777" w:rsidR="0032136C" w:rsidRDefault="0032136C" w:rsidP="00005A5C">
                          <w:pPr>
                            <w:pStyle w:val="ListParagraph"/>
                            <w:ind w:left="540" w:firstLine="0"/>
                          </w:pPr>
                        </w:p>
                      </w:txbxContent>
                    </v:textbox>
                  </v:rect>
                  <v:rect id="Rectangle 4" o:spid="_x0000_s1031" style="position:absolute;left:-4826;top:4629;width:22069;height:167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" fillcolor="white [3201]" strokecolor="#70ad47 [3209]" strokeweight="1pt">
                    <v:textbox>
                      <w:txbxContent>
                        <w:p w14:paraId="15EF3779" w14:textId="39053427" w:rsidR="0032136C" w:rsidRDefault="0032136C" w:rsidP="00936177">
                          <w:pPr>
                            <w:pStyle w:val="ListParagraph"/>
                            <w:numPr>
                              <w:ilvl w:val="0"/>
                              <w:numId w:val="5"/>
                            </w:numPr>
                            <w:jc w:val="left"/>
                          </w:pPr>
                          <w:r>
                            <w:t>Management Remuneration</w:t>
                          </w:r>
                        </w:p>
                        <w:p w14:paraId="152FED48" w14:textId="77777777" w:rsidR="0032136C" w:rsidRDefault="0032136C" w:rsidP="002E5A40">
                          <w:pPr>
                            <w:pStyle w:val="NormalWeb"/>
                            <w:numPr>
                              <w:ilvl w:val="0"/>
                              <w:numId w:val="25"/>
                            </w:numPr>
                            <w:shd w:val="clear" w:color="auto" w:fill="FFFFFF"/>
                            <w:spacing w:before="0" w:beforeAutospacing="0" w:after="160" w:afterAutospacing="0"/>
                            <w:rPr>
                              <w:rFonts w:ascii="Arial" w:hAnsi="Arial" w:cs="Arial"/>
                              <w:color w:val="222222"/>
                            </w:rPr>
                          </w:pPr>
                          <w:bookmarkStart w:id="33" w:name="_Hlk536178673"/>
                          <w:r>
                            <w:rPr>
                              <w:color w:val="000000"/>
                            </w:rPr>
                            <w:t>Salary</w:t>
                          </w:r>
                        </w:p>
                        <w:p w14:paraId="6AAEB234" w14:textId="77777777" w:rsidR="0032136C" w:rsidRDefault="0032136C" w:rsidP="002E5A40">
                          <w:pPr>
                            <w:pStyle w:val="NormalWeb"/>
                            <w:numPr>
                              <w:ilvl w:val="0"/>
                              <w:numId w:val="25"/>
                            </w:numPr>
                            <w:shd w:val="clear" w:color="auto" w:fill="FFFFFF"/>
                            <w:spacing w:before="0" w:beforeAutospacing="0" w:after="160" w:afterAutospacing="0"/>
                            <w:rPr>
                              <w:rFonts w:ascii="Arial" w:hAnsi="Arial" w:cs="Arial"/>
                              <w:color w:val="222222"/>
                            </w:rPr>
                          </w:pPr>
                          <w:r>
                            <w:rPr>
                              <w:color w:val="000000"/>
                            </w:rPr>
                            <w:t>Benefits</w:t>
                          </w:r>
                        </w:p>
                        <w:p w14:paraId="4AF766EE" w14:textId="77777777" w:rsidR="0032136C" w:rsidRDefault="0032136C" w:rsidP="002E5A40">
                          <w:pPr>
                            <w:pStyle w:val="NormalWeb"/>
                            <w:numPr>
                              <w:ilvl w:val="0"/>
                              <w:numId w:val="25"/>
                            </w:numPr>
                            <w:shd w:val="clear" w:color="auto" w:fill="FFFFFF"/>
                            <w:spacing w:before="0" w:beforeAutospacing="0" w:after="160" w:afterAutospacing="0"/>
                            <w:rPr>
                              <w:rFonts w:ascii="Arial" w:hAnsi="Arial" w:cs="Arial"/>
                              <w:color w:val="222222"/>
                            </w:rPr>
                          </w:pPr>
                          <w:r>
                            <w:rPr>
                              <w:color w:val="000000"/>
                            </w:rPr>
                            <w:t>Bonus</w:t>
                          </w:r>
                        </w:p>
                        <w:p w14:paraId="1034A3D6" w14:textId="6437C919" w:rsidR="0032136C" w:rsidRDefault="0032136C" w:rsidP="002E5A40">
                          <w:pPr>
                            <w:pStyle w:val="NormalWeb"/>
                            <w:numPr>
                              <w:ilvl w:val="0"/>
                              <w:numId w:val="25"/>
                            </w:numPr>
                            <w:shd w:val="clear" w:color="auto" w:fill="FFFFFF"/>
                            <w:spacing w:before="0" w:beforeAutospacing="0" w:after="160" w:afterAutospacing="0"/>
                            <w:rPr>
                              <w:color w:val="000000" w:themeColor="text1"/>
                            </w:rPr>
                          </w:pPr>
                          <w:r w:rsidRPr="00900D47">
                            <w:rPr>
                              <w:color w:val="000000" w:themeColor="text1"/>
                            </w:rPr>
                            <w:t>Shares</w:t>
                          </w:r>
                        </w:p>
                        <w:p w14:paraId="4B2A9E5F" w14:textId="1FB04485" w:rsidR="0032136C" w:rsidRPr="00900D47" w:rsidRDefault="0032136C" w:rsidP="002E5A40">
                          <w:pPr>
                            <w:pStyle w:val="NormalWeb"/>
                            <w:numPr>
                              <w:ilvl w:val="0"/>
                              <w:numId w:val="25"/>
                            </w:numPr>
                            <w:shd w:val="clear" w:color="auto" w:fill="FFFFFF"/>
                            <w:spacing w:before="0" w:beforeAutospacing="0" w:after="160" w:afterAutospacing="0"/>
                            <w:rPr>
                              <w:rFonts w:ascii="Arial" w:hAnsi="Arial" w:cs="Arial"/>
                              <w:color w:val="000000" w:themeColor="text1"/>
                            </w:rPr>
                          </w:pPr>
                          <w:r>
                            <w:rPr>
                              <w:color w:val="000000" w:themeColor="text1"/>
                            </w:rPr>
                            <w:t>Employee performance shares payment</w:t>
                          </w:r>
                        </w:p>
                        <w:bookmarkEnd w:id="33"/>
                        <w:p w14:paraId="4E7E0762" w14:textId="77777777" w:rsidR="0032136C" w:rsidRDefault="0032136C" w:rsidP="002E5A40">
                          <w:pPr>
                            <w:ind w:firstLine="0"/>
                            <w:jc w:val="left"/>
                          </w:pPr>
                        </w:p>
                      </w:txbxContent>
                    </v:textbox>
                  </v:rect>
                </v:group>
                <v:shapetype id="_x0000_t32" coordsize="21600,21600" o:spt="32" o:oned="t" path="m,l21600,21600e" filled="f">
                  <v:path arrowok="t" fillok="f" o:connecttype="none"/>
                  <o:lock v:ext="edit" shapetype="t"/>
                </v:shapetype>
                <v:shape id="Straight Arrow Connector 6" o:spid="_x0000_s1032" type="#_x0000_t32" style="position:absolute;left:17362;top:11690;width:9722;height:1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" strokecolor="black [3200]" strokeweight="5pt">
                  <v:stroke endarrow="block" joinstyle="miter"/>
                </v:shape>
                <w10:wrap type="topAndBottom" anchorx="margin"/>
              </v:group>
            </w:pict>
          </mc:Fallback>
        </mc:AlternateContent>
      </w:r>
    </w:p>
    <w:p w14:paraId="49240CFF" w14:textId="1177086B" w:rsidR="00614388" w:rsidRPr="00AE0B3D" w:rsidRDefault="00D619F9" w:rsidP="009B1B4D">
      <w:pPr>
        <w:pStyle w:val="Caption"/>
        <w:ind w:firstLine="0"/>
        <w:rPr>
          <w:color w:val="auto"/>
        </w:rPr>
      </w:pPr>
      <w:bookmarkStart w:id="34" w:name="_Toc77888786"/>
      <w:r w:rsidRPr="00AE0B3D">
        <w:rPr>
          <w:color w:val="auto"/>
        </w:rPr>
        <w:t xml:space="preserve">Figure </w:t>
      </w:r>
      <w:r w:rsidRPr="00AE0B3D">
        <w:rPr>
          <w:color w:val="auto"/>
        </w:rPr>
        <w:fldChar w:fldCharType="begin"/>
      </w:r>
      <w:r w:rsidRPr="00AE0B3D">
        <w:rPr>
          <w:color w:val="auto"/>
        </w:rPr>
        <w:instrText xml:space="preserve"> SEQ Figure \* ARABIC </w:instrText>
      </w:r>
      <w:r w:rsidRPr="00AE0B3D">
        <w:rPr>
          <w:color w:val="auto"/>
        </w:rPr>
        <w:fldChar w:fldCharType="separate"/>
      </w:r>
      <w:r w:rsidR="00901E48" w:rsidRPr="00AE0B3D">
        <w:rPr>
          <w:noProof/>
          <w:color w:val="auto"/>
        </w:rPr>
        <w:t>1</w:t>
      </w:r>
      <w:r w:rsidRPr="00AE0B3D">
        <w:rPr>
          <w:color w:val="auto"/>
        </w:rPr>
        <w:fldChar w:fldCharType="end"/>
      </w:r>
      <w:r w:rsidRPr="00AE0B3D">
        <w:rPr>
          <w:color w:val="auto"/>
        </w:rPr>
        <w:t xml:space="preserve">. </w:t>
      </w:r>
      <w:r w:rsidRPr="00AE0B3D">
        <w:rPr>
          <w:i w:val="0"/>
          <w:iCs w:val="0"/>
          <w:color w:val="auto"/>
        </w:rPr>
        <w:t>The conceptual framework of the research</w:t>
      </w:r>
      <w:r w:rsidR="00B2213B" w:rsidRPr="00AE0B3D">
        <w:rPr>
          <w:i w:val="0"/>
          <w:iCs w:val="0"/>
          <w:color w:val="auto"/>
        </w:rPr>
        <w:t>.</w:t>
      </w:r>
      <w:bookmarkEnd w:id="34"/>
    </w:p>
    <w:p w14:paraId="2D2AF5F6" w14:textId="2D20D4A6" w:rsidR="008841C3" w:rsidRPr="00AE0B3D" w:rsidRDefault="008841C3" w:rsidP="008841C3">
      <w:pPr>
        <w:rPr>
          <w:rFonts w:cs="Times New Roman"/>
        </w:rPr>
      </w:pPr>
      <w:r w:rsidRPr="00AE0B3D">
        <w:rPr>
          <w:rFonts w:cs="Times New Roman"/>
        </w:rPr>
        <w:t xml:space="preserve">Effective </w:t>
      </w:r>
      <w:r w:rsidR="00CE0E93" w:rsidRPr="00AE0B3D">
        <w:rPr>
          <w:rFonts w:cs="Times New Roman"/>
        </w:rPr>
        <w:t xml:space="preserve">management </w:t>
      </w:r>
      <w:r w:rsidR="005220B6" w:rsidRPr="00AE0B3D">
        <w:rPr>
          <w:rFonts w:cs="Times New Roman"/>
        </w:rPr>
        <w:t>remuneration</w:t>
      </w:r>
      <w:r w:rsidRPr="00AE0B3D">
        <w:rPr>
          <w:rFonts w:cs="Times New Roman"/>
        </w:rPr>
        <w:t xml:space="preserve"> </w:t>
      </w:r>
      <w:r w:rsidR="00775CA3" w:rsidRPr="00AE0B3D">
        <w:rPr>
          <w:rFonts w:cs="Times New Roman"/>
        </w:rPr>
        <w:t xml:space="preserve">plays an important role in motivating the employees and the organisation </w:t>
      </w:r>
      <w:r w:rsidR="003D6116" w:rsidRPr="00AE0B3D">
        <w:rPr>
          <w:rFonts w:cs="Times New Roman"/>
        </w:rPr>
        <w:t>to</w:t>
      </w:r>
      <w:r w:rsidR="00775CA3" w:rsidRPr="00AE0B3D">
        <w:rPr>
          <w:rFonts w:cs="Times New Roman"/>
        </w:rPr>
        <w:t xml:space="preserve"> work in unison towards the targeted goals. </w:t>
      </w:r>
      <w:r w:rsidR="00922EE2">
        <w:rPr>
          <w:rFonts w:cs="Times New Roman"/>
        </w:rPr>
        <w:t xml:space="preserve">According to agency theory, the </w:t>
      </w:r>
      <w:r w:rsidR="00923280">
        <w:rPr>
          <w:rFonts w:cs="Times New Roman"/>
        </w:rPr>
        <w:t xml:space="preserve">executive </w:t>
      </w:r>
      <w:r w:rsidR="003D6116">
        <w:rPr>
          <w:rFonts w:cs="Times New Roman"/>
        </w:rPr>
        <w:t>is</w:t>
      </w:r>
      <w:r w:rsidR="00923280">
        <w:rPr>
          <w:rFonts w:cs="Times New Roman"/>
        </w:rPr>
        <w:t xml:space="preserve"> motivated to maximise their benefit utility and if it is linked with organisation performance it would lead to improvement of organisation performance. Therefore, there is need to evaluate which of the management remuneration measures has effect on the organisation performance. </w:t>
      </w:r>
      <w:r w:rsidR="0088105C" w:rsidRPr="00AE0B3D">
        <w:rPr>
          <w:rFonts w:cs="Times New Roman"/>
        </w:rPr>
        <w:t xml:space="preserve">Employee motivation cuts down on operation costs and in turn influence improved performance that can be reflected on the financial performance of </w:t>
      </w:r>
      <w:r w:rsidR="00F54050">
        <w:rPr>
          <w:rFonts w:cs="Times New Roman"/>
        </w:rPr>
        <w:t>a company</w:t>
      </w:r>
      <w:r w:rsidR="002E1C6B" w:rsidRPr="00AE0B3D">
        <w:rPr>
          <w:rFonts w:cs="Times New Roman"/>
        </w:rPr>
        <w:t xml:space="preserve"> </w:t>
      </w:r>
      <w:r w:rsidR="002E1C6B" w:rsidRPr="00AE0B3D">
        <w:rPr>
          <w:rFonts w:cs="Times New Roman"/>
        </w:rPr>
        <w:fldChar w:fldCharType="begin" w:fldLock="1"/>
      </w:r>
      <w:r w:rsidR="009B6867" w:rsidRPr="00AE0B3D">
        <w:rPr>
          <w:rFonts w:cs="Times New Roman"/>
        </w:rPr>
        <w:instrText>ADDIN CSL_CITATION {"citationItems":[{"id":"ITEM-1","itemData":{"DOI":"10.1177/0149206314544746","ISBN":"0149206313","ISSN":"15571211","abstract":"Shin, D., &amp; Konrad, A. M. (2014). Causality Between High-Performance Work Systems and Organizational Performance. Journal of Management, 0149206314544746.","author":[{"dropping-particle":"","family":"Shin","given":"Duckjung","non-dropping-particle":"","parse-names":false,"suffix":""},{"dropping-particle":"","family":"Konrad","given":"Alison M.","non-dropping-particle":"","parse-names":false,"suffix":""}],"container-title":"Journal of Management","id":"ITEM-1","issue":"4","issued":{"date-parts":[["2017"]]},"page":"973-997","title":"Causality Between High-Performance Work Systems and Organizational Performance","type":"article-journal","volume":"43"},"uris":["http://www.mendeley.com/documents/?uuid=c3d754c3-b7e2-4367-9594-be0f854f4adc"]}],"mendeley":{"formattedCitation":"(Shin &amp; Konrad, 2017)","plainTextFormattedCitation":"(Shin &amp; Konrad, 2017)","previouslyFormattedCitation":"(Shin &amp; Konrad, 2017)"},"properties":{"noteIndex":0},"schema":"https://github.com/citation-style-language/schema/raw/master/csl-citation.json"}</w:instrText>
      </w:r>
      <w:r w:rsidR="002E1C6B" w:rsidRPr="00AE0B3D">
        <w:rPr>
          <w:rFonts w:cs="Times New Roman"/>
        </w:rPr>
        <w:fldChar w:fldCharType="separate"/>
      </w:r>
      <w:r w:rsidR="002E1C6B" w:rsidRPr="00AE0B3D">
        <w:rPr>
          <w:rFonts w:cs="Times New Roman"/>
          <w:noProof/>
        </w:rPr>
        <w:t>(Shin &amp; Konrad, 2017)</w:t>
      </w:r>
      <w:r w:rsidR="002E1C6B" w:rsidRPr="00AE0B3D">
        <w:rPr>
          <w:rFonts w:cs="Times New Roman"/>
        </w:rPr>
        <w:fldChar w:fldCharType="end"/>
      </w:r>
      <w:r w:rsidR="0088105C" w:rsidRPr="00AE0B3D">
        <w:rPr>
          <w:rFonts w:cs="Times New Roman"/>
        </w:rPr>
        <w:t xml:space="preserve">. </w:t>
      </w:r>
      <w:r w:rsidR="002E1C6B" w:rsidRPr="00AE0B3D">
        <w:rPr>
          <w:rFonts w:cs="Times New Roman"/>
        </w:rPr>
        <w:t xml:space="preserve">Thus, there is </w:t>
      </w:r>
      <w:r w:rsidR="00664B8C" w:rsidRPr="00AE0B3D">
        <w:rPr>
          <w:rFonts w:cs="Times New Roman"/>
        </w:rPr>
        <w:t xml:space="preserve">possibility of the existence in relationship between the independent and dependent variables which the research aims to evaluate. </w:t>
      </w:r>
    </w:p>
    <w:p w14:paraId="5958358F" w14:textId="16AD9B11" w:rsidR="00060AEC" w:rsidRPr="00AE0B3D" w:rsidRDefault="00955CFF" w:rsidP="008841C3">
      <w:pPr>
        <w:rPr>
          <w:rFonts w:cs="Times New Roman"/>
        </w:rPr>
      </w:pPr>
      <w:r w:rsidRPr="00AE0B3D">
        <w:rPr>
          <w:rFonts w:cs="Times New Roman"/>
        </w:rPr>
        <w:t xml:space="preserve">For the independent variables, </w:t>
      </w:r>
      <w:r w:rsidR="00E213D7" w:rsidRPr="00AE0B3D">
        <w:rPr>
          <w:rFonts w:cs="Times New Roman"/>
        </w:rPr>
        <w:t xml:space="preserve">salary </w:t>
      </w:r>
      <w:r w:rsidR="00452C2A">
        <w:rPr>
          <w:rFonts w:cs="Times New Roman"/>
        </w:rPr>
        <w:t>was</w:t>
      </w:r>
      <w:r w:rsidR="00E213D7" w:rsidRPr="00AE0B3D">
        <w:rPr>
          <w:rFonts w:cs="Times New Roman"/>
        </w:rPr>
        <w:t xml:space="preserve"> measured as the annual payment to the company</w:t>
      </w:r>
      <w:r w:rsidR="00CA320E" w:rsidRPr="00AE0B3D">
        <w:rPr>
          <w:rFonts w:cs="Times New Roman"/>
        </w:rPr>
        <w:t>’s</w:t>
      </w:r>
      <w:r w:rsidR="00E213D7" w:rsidRPr="00AE0B3D">
        <w:rPr>
          <w:rFonts w:cs="Times New Roman"/>
        </w:rPr>
        <w:t xml:space="preserve"> top management including </w:t>
      </w:r>
      <w:r w:rsidR="00F27792" w:rsidRPr="00AE0B3D">
        <w:rPr>
          <w:rFonts w:cs="Times New Roman"/>
        </w:rPr>
        <w:t>the director</w:t>
      </w:r>
      <w:r w:rsidR="00E213D7" w:rsidRPr="00AE0B3D">
        <w:rPr>
          <w:rFonts w:cs="Times New Roman"/>
        </w:rPr>
        <w:t xml:space="preserve"> or CEO. </w:t>
      </w:r>
      <w:r w:rsidR="00F27792" w:rsidRPr="00AE0B3D">
        <w:rPr>
          <w:rFonts w:cs="Times New Roman"/>
        </w:rPr>
        <w:t>Benefit</w:t>
      </w:r>
      <w:r w:rsidR="00CD48C6">
        <w:rPr>
          <w:rFonts w:cs="Times New Roman"/>
        </w:rPr>
        <w:t xml:space="preserve"> variable </w:t>
      </w:r>
      <w:r w:rsidR="00452C2A">
        <w:rPr>
          <w:rFonts w:cs="Times New Roman"/>
        </w:rPr>
        <w:t>was</w:t>
      </w:r>
      <w:r w:rsidR="002C6FFE">
        <w:rPr>
          <w:rFonts w:cs="Times New Roman"/>
        </w:rPr>
        <w:t xml:space="preserve"> measured as the </w:t>
      </w:r>
      <w:r w:rsidR="00CD48C6">
        <w:rPr>
          <w:rFonts w:cs="Times New Roman"/>
        </w:rPr>
        <w:t>average</w:t>
      </w:r>
      <w:r w:rsidR="00A30146">
        <w:rPr>
          <w:rFonts w:cs="Times New Roman"/>
        </w:rPr>
        <w:t xml:space="preserve"> benefits paid to the</w:t>
      </w:r>
      <w:r w:rsidR="00F27792" w:rsidRPr="00AE0B3D">
        <w:rPr>
          <w:rFonts w:cs="Times New Roman"/>
        </w:rPr>
        <w:t xml:space="preserve"> top management annually and quantified </w:t>
      </w:r>
      <w:r w:rsidR="00A56ECB">
        <w:rPr>
          <w:rFonts w:cs="Times New Roman"/>
        </w:rPr>
        <w:t xml:space="preserve">as a proportion </w:t>
      </w:r>
      <w:r w:rsidR="00A56ECB">
        <w:rPr>
          <w:rFonts w:cs="Times New Roman"/>
        </w:rPr>
        <w:lastRenderedPageBreak/>
        <w:t>of total operating expenses</w:t>
      </w:r>
      <w:r w:rsidR="00F27792" w:rsidRPr="00AE0B3D">
        <w:rPr>
          <w:rFonts w:cs="Times New Roman"/>
        </w:rPr>
        <w:t xml:space="preserve">. Bonus </w:t>
      </w:r>
      <w:r w:rsidR="00452C2A">
        <w:rPr>
          <w:rFonts w:cs="Times New Roman"/>
        </w:rPr>
        <w:t>was</w:t>
      </w:r>
      <w:r w:rsidR="00060AEC" w:rsidRPr="00AE0B3D">
        <w:rPr>
          <w:rFonts w:cs="Times New Roman"/>
        </w:rPr>
        <w:t xml:space="preserve"> measured</w:t>
      </w:r>
      <w:r w:rsidR="00F27792" w:rsidRPr="00AE0B3D">
        <w:rPr>
          <w:rFonts w:cs="Times New Roman"/>
        </w:rPr>
        <w:t xml:space="preserve"> in terms of the </w:t>
      </w:r>
      <w:r w:rsidR="00060AEC" w:rsidRPr="00AE0B3D">
        <w:rPr>
          <w:rFonts w:cs="Times New Roman"/>
        </w:rPr>
        <w:t xml:space="preserve">average annual bonus </w:t>
      </w:r>
      <w:r w:rsidR="00CA320E" w:rsidRPr="00AE0B3D">
        <w:rPr>
          <w:rFonts w:cs="Times New Roman"/>
        </w:rPr>
        <w:t>the company</w:t>
      </w:r>
      <w:r w:rsidR="00060AEC" w:rsidRPr="00AE0B3D">
        <w:rPr>
          <w:rFonts w:cs="Times New Roman"/>
        </w:rPr>
        <w:t xml:space="preserve"> gives its top management</w:t>
      </w:r>
      <w:r w:rsidR="00A56ECB">
        <w:rPr>
          <w:rFonts w:cs="Times New Roman"/>
        </w:rPr>
        <w:t xml:space="preserve"> and resented as a p</w:t>
      </w:r>
      <w:r w:rsidR="009331A9">
        <w:rPr>
          <w:rFonts w:cs="Times New Roman"/>
        </w:rPr>
        <w:t>roportion of operating expenses</w:t>
      </w:r>
      <w:r w:rsidR="00060AEC" w:rsidRPr="00AE0B3D">
        <w:rPr>
          <w:rFonts w:cs="Times New Roman"/>
        </w:rPr>
        <w:t xml:space="preserve">. The shares </w:t>
      </w:r>
      <w:r w:rsidR="003D6116">
        <w:rPr>
          <w:rFonts w:cs="Times New Roman"/>
        </w:rPr>
        <w:t>were</w:t>
      </w:r>
      <w:r w:rsidR="00060AEC" w:rsidRPr="00AE0B3D">
        <w:rPr>
          <w:rFonts w:cs="Times New Roman"/>
        </w:rPr>
        <w:t xml:space="preserve"> evaluated as average amount of shares awarded to employees within the period being studied</w:t>
      </w:r>
      <w:r w:rsidR="00CD48C6">
        <w:rPr>
          <w:rFonts w:cs="Times New Roman"/>
        </w:rPr>
        <w:t xml:space="preserve"> and companies that allows</w:t>
      </w:r>
      <w:r w:rsidR="00A30146">
        <w:rPr>
          <w:rFonts w:cs="Times New Roman"/>
        </w:rPr>
        <w:t xml:space="preserve"> the top management to own </w:t>
      </w:r>
      <w:r w:rsidR="00F54050">
        <w:rPr>
          <w:rFonts w:cs="Times New Roman"/>
        </w:rPr>
        <w:t xml:space="preserve">shares. </w:t>
      </w:r>
      <w:r w:rsidR="00A30146">
        <w:rPr>
          <w:rFonts w:cs="Times New Roman"/>
        </w:rPr>
        <w:t xml:space="preserve">Standardization of the independent variable was done through </w:t>
      </w:r>
      <w:r w:rsidR="00F064BE">
        <w:rPr>
          <w:rFonts w:cs="Times New Roman"/>
        </w:rPr>
        <w:t>dividing it with the reported operating expenses by the company.</w:t>
      </w:r>
      <w:r w:rsidR="009331A9">
        <w:rPr>
          <w:rFonts w:cs="Times New Roman"/>
        </w:rPr>
        <w:t xml:space="preserve"> For </w:t>
      </w:r>
      <w:r w:rsidR="00F54050">
        <w:rPr>
          <w:rFonts w:cs="Times New Roman"/>
        </w:rPr>
        <w:t>employees’</w:t>
      </w:r>
      <w:r w:rsidR="009331A9">
        <w:rPr>
          <w:rFonts w:cs="Times New Roman"/>
        </w:rPr>
        <w:t xml:space="preserve"> performance share, categorical variable </w:t>
      </w:r>
      <w:r w:rsidR="000A51F5">
        <w:rPr>
          <w:rFonts w:cs="Times New Roman"/>
        </w:rPr>
        <w:t>was</w:t>
      </w:r>
      <w:r w:rsidR="009331A9">
        <w:rPr>
          <w:rFonts w:cs="Times New Roman"/>
        </w:rPr>
        <w:t xml:space="preserve"> developed looking at </w:t>
      </w:r>
      <w:r w:rsidR="00295CA1">
        <w:rPr>
          <w:rFonts w:cs="Times New Roman"/>
        </w:rPr>
        <w:t>companies that adopt the strategy and those that do not.</w:t>
      </w:r>
      <w:r w:rsidR="004819BE" w:rsidRPr="00AE0B3D">
        <w:rPr>
          <w:rFonts w:cs="Times New Roman"/>
        </w:rPr>
        <w:t xml:space="preserve"> </w:t>
      </w:r>
      <w:r w:rsidR="00060AEC" w:rsidRPr="00AE0B3D">
        <w:rPr>
          <w:rFonts w:cs="Times New Roman"/>
        </w:rPr>
        <w:t xml:space="preserve">All the dependent variables </w:t>
      </w:r>
      <w:r w:rsidR="000A51F5">
        <w:rPr>
          <w:rFonts w:cs="Times New Roman"/>
        </w:rPr>
        <w:t xml:space="preserve">were </w:t>
      </w:r>
      <w:r w:rsidR="00060AEC" w:rsidRPr="00AE0B3D">
        <w:rPr>
          <w:rFonts w:cs="Times New Roman"/>
        </w:rPr>
        <w:t xml:space="preserve">quantitative and </w:t>
      </w:r>
      <w:r w:rsidR="000A51F5">
        <w:rPr>
          <w:rFonts w:cs="Times New Roman"/>
        </w:rPr>
        <w:t>was</w:t>
      </w:r>
      <w:r w:rsidR="00060AEC" w:rsidRPr="00AE0B3D">
        <w:rPr>
          <w:rFonts w:cs="Times New Roman"/>
        </w:rPr>
        <w:t xml:space="preserve"> based on annual averages. </w:t>
      </w:r>
      <w:r w:rsidR="000A51F5">
        <w:rPr>
          <w:rFonts w:cs="Times New Roman"/>
        </w:rPr>
        <w:t>T</w:t>
      </w:r>
      <w:r w:rsidR="00075BC2">
        <w:rPr>
          <w:rFonts w:cs="Times New Roman"/>
        </w:rPr>
        <w:t>o quantify management remuneration measures, they were divided by the total operation cost of the organisation in a financial year to get a ration.</w:t>
      </w:r>
    </w:p>
    <w:p w14:paraId="004AFDDB" w14:textId="77777777" w:rsidR="00A60EE8" w:rsidRPr="00AE0B3D" w:rsidRDefault="00A60EE8" w:rsidP="00124872">
      <w:pPr>
        <w:pStyle w:val="Heading2"/>
        <w:rPr>
          <w:rFonts w:cs="Times New Roman"/>
        </w:rPr>
      </w:pPr>
      <w:bookmarkStart w:id="35" w:name="_Toc78067505"/>
      <w:r w:rsidRPr="00AE0B3D">
        <w:rPr>
          <w:rFonts w:cs="Times New Roman"/>
        </w:rPr>
        <w:t>Scope</w:t>
      </w:r>
      <w:bookmarkEnd w:id="35"/>
      <w:r w:rsidRPr="00AE0B3D">
        <w:rPr>
          <w:rFonts w:cs="Times New Roman"/>
        </w:rPr>
        <w:t xml:space="preserve"> </w:t>
      </w:r>
    </w:p>
    <w:p w14:paraId="57F972E7" w14:textId="7AE8443B" w:rsidR="00A17DC0" w:rsidRPr="00AE0B3D" w:rsidRDefault="00A17DC0" w:rsidP="00A17DC0">
      <w:pPr>
        <w:rPr>
          <w:rFonts w:cs="Times New Roman"/>
        </w:rPr>
      </w:pPr>
      <w:r w:rsidRPr="00AE0B3D">
        <w:rPr>
          <w:rFonts w:cs="Times New Roman"/>
        </w:rPr>
        <w:t xml:space="preserve">The research scope </w:t>
      </w:r>
      <w:r w:rsidR="00962B4F" w:rsidRPr="00AE0B3D">
        <w:rPr>
          <w:rFonts w:cs="Times New Roman"/>
        </w:rPr>
        <w:t>was</w:t>
      </w:r>
      <w:r w:rsidRPr="00AE0B3D">
        <w:rPr>
          <w:rFonts w:cs="Times New Roman"/>
        </w:rPr>
        <w:t xml:space="preserve"> limited to companies that </w:t>
      </w:r>
      <w:r w:rsidR="00D0193A">
        <w:rPr>
          <w:rFonts w:cs="Times New Roman"/>
        </w:rPr>
        <w:t>were</w:t>
      </w:r>
      <w:r w:rsidR="00D0193A" w:rsidRPr="00AE0B3D">
        <w:rPr>
          <w:rFonts w:cs="Times New Roman"/>
        </w:rPr>
        <w:t xml:space="preserve"> </w:t>
      </w:r>
      <w:r w:rsidRPr="00AE0B3D">
        <w:rPr>
          <w:rFonts w:cs="Times New Roman"/>
        </w:rPr>
        <w:t xml:space="preserve">listed in the Nairobi </w:t>
      </w:r>
      <w:r w:rsidR="00CA320E" w:rsidRPr="00AE0B3D">
        <w:rPr>
          <w:rFonts w:cs="Times New Roman"/>
        </w:rPr>
        <w:t xml:space="preserve">Stock </w:t>
      </w:r>
      <w:r w:rsidRPr="00AE0B3D">
        <w:rPr>
          <w:rFonts w:cs="Times New Roman"/>
        </w:rPr>
        <w:t>exchange market.</w:t>
      </w:r>
      <w:r w:rsidR="004D59A5" w:rsidRPr="00AE0B3D">
        <w:rPr>
          <w:rFonts w:cs="Times New Roman"/>
        </w:rPr>
        <w:t xml:space="preserve"> </w:t>
      </w:r>
      <w:r w:rsidR="00783F7B" w:rsidRPr="00AE0B3D">
        <w:rPr>
          <w:rFonts w:cs="Times New Roman"/>
        </w:rPr>
        <w:t xml:space="preserve">The </w:t>
      </w:r>
      <w:r w:rsidR="0025160D" w:rsidRPr="00AE0B3D">
        <w:rPr>
          <w:rFonts w:cs="Times New Roman"/>
        </w:rPr>
        <w:t xml:space="preserve">research only </w:t>
      </w:r>
      <w:r w:rsidR="00DF157E" w:rsidRPr="00AE0B3D">
        <w:rPr>
          <w:rFonts w:cs="Times New Roman"/>
        </w:rPr>
        <w:t>cover</w:t>
      </w:r>
      <w:r w:rsidR="005465AC" w:rsidRPr="00AE0B3D">
        <w:rPr>
          <w:rFonts w:cs="Times New Roman"/>
        </w:rPr>
        <w:t>ed</w:t>
      </w:r>
      <w:r w:rsidR="0025160D" w:rsidRPr="00AE0B3D">
        <w:rPr>
          <w:rFonts w:cs="Times New Roman"/>
        </w:rPr>
        <w:t xml:space="preserve"> the relationship between </w:t>
      </w:r>
      <w:r w:rsidR="0087121D" w:rsidRPr="00AE0B3D">
        <w:rPr>
          <w:rFonts w:cs="Times New Roman"/>
        </w:rPr>
        <w:t xml:space="preserve">the </w:t>
      </w:r>
      <w:r w:rsidR="00CE0E93" w:rsidRPr="00AE0B3D">
        <w:rPr>
          <w:rFonts w:cs="Times New Roman"/>
        </w:rPr>
        <w:t xml:space="preserve">management </w:t>
      </w:r>
      <w:r w:rsidR="0025160D" w:rsidRPr="00AE0B3D">
        <w:rPr>
          <w:rFonts w:cs="Times New Roman"/>
          <w:noProof/>
        </w:rPr>
        <w:t>remuneration</w:t>
      </w:r>
      <w:r w:rsidR="0025160D" w:rsidRPr="00AE0B3D">
        <w:rPr>
          <w:rFonts w:cs="Times New Roman"/>
        </w:rPr>
        <w:t xml:space="preserve"> and organization </w:t>
      </w:r>
      <w:r w:rsidR="009A5259" w:rsidRPr="00AE0B3D">
        <w:rPr>
          <w:rFonts w:cs="Times New Roman"/>
        </w:rPr>
        <w:t>fin</w:t>
      </w:r>
      <w:r w:rsidR="00E41691" w:rsidRPr="00AE0B3D">
        <w:rPr>
          <w:rFonts w:cs="Times New Roman"/>
        </w:rPr>
        <w:t xml:space="preserve">ancial </w:t>
      </w:r>
      <w:r w:rsidR="0025160D" w:rsidRPr="00AE0B3D">
        <w:rPr>
          <w:rFonts w:cs="Times New Roman"/>
        </w:rPr>
        <w:t>performance</w:t>
      </w:r>
      <w:r w:rsidR="00E41691" w:rsidRPr="00AE0B3D">
        <w:rPr>
          <w:rFonts w:cs="Times New Roman"/>
        </w:rPr>
        <w:t xml:space="preserve"> and related themes</w:t>
      </w:r>
      <w:r w:rsidR="0025160D" w:rsidRPr="00AE0B3D">
        <w:rPr>
          <w:rFonts w:cs="Times New Roman"/>
        </w:rPr>
        <w:t xml:space="preserve"> of the selected companies</w:t>
      </w:r>
      <w:r w:rsidR="00E41691" w:rsidRPr="00AE0B3D">
        <w:rPr>
          <w:rFonts w:cs="Times New Roman"/>
        </w:rPr>
        <w:t xml:space="preserve"> in the </w:t>
      </w:r>
      <w:r w:rsidR="00D62943" w:rsidRPr="00AE0B3D">
        <w:rPr>
          <w:rFonts w:cs="Times New Roman"/>
        </w:rPr>
        <w:t xml:space="preserve">different </w:t>
      </w:r>
      <w:r w:rsidR="00E41691" w:rsidRPr="00AE0B3D">
        <w:rPr>
          <w:rFonts w:cs="Times New Roman"/>
        </w:rPr>
        <w:t>sector</w:t>
      </w:r>
      <w:r w:rsidR="00F65093" w:rsidRPr="00AE0B3D">
        <w:rPr>
          <w:rFonts w:cs="Times New Roman"/>
        </w:rPr>
        <w:t>s</w:t>
      </w:r>
      <w:r w:rsidR="005465AC" w:rsidRPr="00AE0B3D">
        <w:rPr>
          <w:rFonts w:cs="Times New Roman"/>
        </w:rPr>
        <w:t xml:space="preserve"> as categorized on NSE</w:t>
      </w:r>
      <w:r w:rsidR="0025160D" w:rsidRPr="00AE0B3D">
        <w:rPr>
          <w:rFonts w:cs="Times New Roman"/>
        </w:rPr>
        <w:t>.</w:t>
      </w:r>
      <w:r w:rsidR="00695952" w:rsidRPr="00AE0B3D">
        <w:rPr>
          <w:rFonts w:cs="Times New Roman"/>
        </w:rPr>
        <w:t xml:space="preserve"> </w:t>
      </w:r>
      <w:r w:rsidR="0025160D" w:rsidRPr="00AE0B3D">
        <w:rPr>
          <w:rFonts w:cs="Times New Roman"/>
        </w:rPr>
        <w:t>Th</w:t>
      </w:r>
      <w:r w:rsidR="00605C8F" w:rsidRPr="00AE0B3D">
        <w:rPr>
          <w:rFonts w:cs="Times New Roman"/>
        </w:rPr>
        <w:t xml:space="preserve">e research </w:t>
      </w:r>
      <w:r w:rsidR="00962B4F" w:rsidRPr="00AE0B3D">
        <w:rPr>
          <w:rFonts w:cs="Times New Roman"/>
        </w:rPr>
        <w:t>was</w:t>
      </w:r>
      <w:r w:rsidR="00390CC9" w:rsidRPr="00AE0B3D">
        <w:rPr>
          <w:rFonts w:cs="Times New Roman"/>
        </w:rPr>
        <w:t xml:space="preserve"> based</w:t>
      </w:r>
      <w:r w:rsidR="00605C8F" w:rsidRPr="00AE0B3D">
        <w:rPr>
          <w:rFonts w:cs="Times New Roman"/>
        </w:rPr>
        <w:t xml:space="preserve"> on </w:t>
      </w:r>
      <w:r w:rsidR="00181233" w:rsidRPr="00AE0B3D">
        <w:rPr>
          <w:rFonts w:cs="Times New Roman"/>
        </w:rPr>
        <w:t xml:space="preserve">utilisation of secondary data that </w:t>
      </w:r>
      <w:r w:rsidR="009D7599" w:rsidRPr="00AE0B3D">
        <w:rPr>
          <w:rFonts w:cs="Times New Roman"/>
        </w:rPr>
        <w:t>was</w:t>
      </w:r>
      <w:r w:rsidR="00181233" w:rsidRPr="00AE0B3D">
        <w:rPr>
          <w:rFonts w:cs="Times New Roman"/>
        </w:rPr>
        <w:t xml:space="preserve"> sourced from the annual financial reports of the selected companies.</w:t>
      </w:r>
      <w:r w:rsidR="00841B67" w:rsidRPr="00AE0B3D">
        <w:rPr>
          <w:rFonts w:cs="Times New Roman"/>
        </w:rPr>
        <w:t xml:space="preserve"> The data collected include</w:t>
      </w:r>
      <w:r w:rsidR="000768E4" w:rsidRPr="00AE0B3D">
        <w:rPr>
          <w:rFonts w:cs="Times New Roman"/>
        </w:rPr>
        <w:t>d</w:t>
      </w:r>
      <w:r w:rsidR="00841B67" w:rsidRPr="00AE0B3D">
        <w:rPr>
          <w:rFonts w:cs="Times New Roman"/>
        </w:rPr>
        <w:t xml:space="preserve"> management remuneration</w:t>
      </w:r>
      <w:r w:rsidR="00050102" w:rsidRPr="00AE0B3D">
        <w:rPr>
          <w:rFonts w:cs="Times New Roman"/>
        </w:rPr>
        <w:t xml:space="preserve"> </w:t>
      </w:r>
      <w:r w:rsidR="00F93B03" w:rsidRPr="00AE0B3D">
        <w:rPr>
          <w:rFonts w:cs="Times New Roman"/>
        </w:rPr>
        <w:t>that is the</w:t>
      </w:r>
      <w:r w:rsidR="00050102" w:rsidRPr="00AE0B3D">
        <w:rPr>
          <w:rFonts w:cs="Times New Roman"/>
        </w:rPr>
        <w:t xml:space="preserve"> CEO/director salary, bonus, shares paid</w:t>
      </w:r>
      <w:r w:rsidR="009D5C2B" w:rsidRPr="00AE0B3D">
        <w:rPr>
          <w:rFonts w:cs="Times New Roman"/>
        </w:rPr>
        <w:t xml:space="preserve"> and benefits,</w:t>
      </w:r>
      <w:r w:rsidR="00181233" w:rsidRPr="00AE0B3D">
        <w:rPr>
          <w:rFonts w:cs="Times New Roman"/>
        </w:rPr>
        <w:t xml:space="preserve"> </w:t>
      </w:r>
      <w:r w:rsidR="00841B67" w:rsidRPr="00AE0B3D">
        <w:rPr>
          <w:rFonts w:cs="Times New Roman"/>
        </w:rPr>
        <w:t xml:space="preserve">and financial performance that include </w:t>
      </w:r>
      <w:r w:rsidR="00050102" w:rsidRPr="00AE0B3D">
        <w:rPr>
          <w:rFonts w:cs="Times New Roman"/>
        </w:rPr>
        <w:t xml:space="preserve">ROE and </w:t>
      </w:r>
      <w:r w:rsidR="00295CA1">
        <w:rPr>
          <w:rFonts w:cs="Times New Roman"/>
        </w:rPr>
        <w:t>ROA</w:t>
      </w:r>
    </w:p>
    <w:p w14:paraId="17B9F88A" w14:textId="77777777" w:rsidR="00456A7F" w:rsidRPr="00AE0B3D" w:rsidRDefault="00456A7F" w:rsidP="00124872">
      <w:pPr>
        <w:pStyle w:val="Heading2"/>
        <w:rPr>
          <w:rFonts w:cs="Times New Roman"/>
        </w:rPr>
      </w:pPr>
      <w:bookmarkStart w:id="36" w:name="_Toc78067506"/>
      <w:r w:rsidRPr="00AE0B3D">
        <w:rPr>
          <w:rFonts w:cs="Times New Roman"/>
        </w:rPr>
        <w:t>Limitations</w:t>
      </w:r>
      <w:bookmarkEnd w:id="36"/>
      <w:r w:rsidRPr="00AE0B3D">
        <w:rPr>
          <w:rFonts w:cs="Times New Roman"/>
        </w:rPr>
        <w:t xml:space="preserve"> </w:t>
      </w:r>
    </w:p>
    <w:p w14:paraId="54808838" w14:textId="69FF876E" w:rsidR="00A17571" w:rsidRPr="00AE0B3D" w:rsidRDefault="00243755" w:rsidP="00F93B03">
      <w:r w:rsidRPr="00AE0B3D">
        <w:t xml:space="preserve"> </w:t>
      </w:r>
      <w:r w:rsidR="007662E0" w:rsidRPr="00AE0B3D">
        <w:t>The target compan</w:t>
      </w:r>
      <w:r w:rsidR="00F65093" w:rsidRPr="00AE0B3D">
        <w:t>ies</w:t>
      </w:r>
      <w:r w:rsidR="007662E0" w:rsidRPr="00AE0B3D">
        <w:t xml:space="preserve"> </w:t>
      </w:r>
      <w:r w:rsidR="007C4F55" w:rsidRPr="00AE0B3D">
        <w:t>were</w:t>
      </w:r>
      <w:r w:rsidR="007662E0" w:rsidRPr="00AE0B3D">
        <w:t xml:space="preserve"> from</w:t>
      </w:r>
      <w:r w:rsidR="00083821" w:rsidRPr="00AE0B3D">
        <w:t xml:space="preserve"> different industries</w:t>
      </w:r>
      <w:r w:rsidR="007662E0" w:rsidRPr="00AE0B3D">
        <w:t xml:space="preserve"> thus the finding may not be </w:t>
      </w:r>
      <w:r w:rsidR="00EF7D42" w:rsidRPr="00AE0B3D">
        <w:t>suitable in generalizing the relationship between the researched variables in other sectors</w:t>
      </w:r>
      <w:r w:rsidR="00083821" w:rsidRPr="00AE0B3D">
        <w:t xml:space="preserve"> </w:t>
      </w:r>
      <w:r w:rsidR="00083821" w:rsidRPr="00AE0B3D">
        <w:lastRenderedPageBreak/>
        <w:t>not incorporated</w:t>
      </w:r>
      <w:r w:rsidR="00EF7D42" w:rsidRPr="00AE0B3D">
        <w:t xml:space="preserve"> </w:t>
      </w:r>
      <w:r w:rsidR="00AF745F">
        <w:t xml:space="preserve">in the study. </w:t>
      </w:r>
      <w:r w:rsidR="00F54050">
        <w:t>Moreover</w:t>
      </w:r>
      <w:r w:rsidR="00AF745F">
        <w:t xml:space="preserve">, the findings may not be applicable in </w:t>
      </w:r>
      <w:r w:rsidR="00EF7D42" w:rsidRPr="00AE0B3D">
        <w:t xml:space="preserve">other parts of the world. </w:t>
      </w:r>
    </w:p>
    <w:p w14:paraId="61F6AE20" w14:textId="4A6B80E0" w:rsidR="00AA373E" w:rsidRPr="00AE0B3D" w:rsidRDefault="0072520E" w:rsidP="00AA373E">
      <w:pPr>
        <w:pStyle w:val="Heading2"/>
        <w:rPr>
          <w:rFonts w:cs="Times New Roman"/>
        </w:rPr>
      </w:pPr>
      <w:bookmarkStart w:id="37" w:name="_Toc78067507"/>
      <w:r>
        <w:rPr>
          <w:rFonts w:cs="Times New Roman"/>
        </w:rPr>
        <w:t xml:space="preserve">Operational </w:t>
      </w:r>
      <w:r w:rsidR="00D05DF6" w:rsidRPr="00AE0B3D">
        <w:rPr>
          <w:rFonts w:cs="Times New Roman"/>
        </w:rPr>
        <w:t>Definition</w:t>
      </w:r>
      <w:r w:rsidR="00AA373E" w:rsidRPr="00AE0B3D">
        <w:rPr>
          <w:rFonts w:cs="Times New Roman"/>
        </w:rPr>
        <w:t xml:space="preserve"> of Terms</w:t>
      </w:r>
      <w:bookmarkEnd w:id="37"/>
      <w:r w:rsidR="00AA373E" w:rsidRPr="00AE0B3D">
        <w:rPr>
          <w:rFonts w:cs="Times New Roman"/>
        </w:rPr>
        <w:tab/>
      </w:r>
    </w:p>
    <w:p w14:paraId="71B596DB" w14:textId="73B9FDE3" w:rsidR="00F517A2" w:rsidRPr="00AE0B3D" w:rsidRDefault="00F517A2" w:rsidP="00F517A2">
      <w:pPr>
        <w:ind w:firstLine="0"/>
        <w:jc w:val="left"/>
        <w:rPr>
          <w:rFonts w:cs="Times New Roman"/>
        </w:rPr>
      </w:pPr>
      <w:r w:rsidRPr="00AE0B3D">
        <w:rPr>
          <w:rFonts w:cs="Times New Roman"/>
          <w:b/>
        </w:rPr>
        <w:t>Benefits:</w:t>
      </w:r>
      <w:r w:rsidRPr="00AE0B3D">
        <w:rPr>
          <w:rFonts w:cs="Times New Roman"/>
        </w:rPr>
        <w:t xml:space="preserve"> refers to the payment that </w:t>
      </w:r>
      <w:r w:rsidR="00EF625F" w:rsidRPr="00AE0B3D">
        <w:rPr>
          <w:rFonts w:cs="Times New Roman"/>
        </w:rPr>
        <w:t xml:space="preserve">employees of a listed company </w:t>
      </w:r>
      <w:r w:rsidRPr="00AE0B3D">
        <w:rPr>
          <w:rFonts w:cs="Times New Roman"/>
        </w:rPr>
        <w:t>are entitle to due to advantage or profit gained during their course of work</w:t>
      </w:r>
      <w:r w:rsidR="008327CD">
        <w:rPr>
          <w:rFonts w:cs="Times New Roman"/>
        </w:rPr>
        <w:t xml:space="preserve"> </w:t>
      </w:r>
      <w:r w:rsidR="008327CD">
        <w:rPr>
          <w:lang w:val="en-US"/>
        </w:rPr>
        <w:fldChar w:fldCharType="begin" w:fldLock="1"/>
      </w:r>
      <w:r w:rsidR="008327CD">
        <w:rPr>
          <w:lang w:val="en-US"/>
        </w:rPr>
        <w:instrText>ADDIN CSL_CITATION {"citationItems":[{"id":"ITEM-1","itemData":{"author":[{"dropping-particle":"","family":"Shields","given":"J","non-dropping-particle":"","parse-names":false,"suffix":""},{"dropping-particle":"","family":"Brown","given":"M","non-dropping-particle":"","parse-names":false,"suffix":""},{"dropping-particle":"","family":"Kaine","given":"S","non-dropping-particle":"","parse-names":false,"suffix":""},{"dropping-particle":"","family":"Dolle-Samuel","given":"C","non-dropping-particle":"","parse-names":false,"suffix":""}],"id":"ITEM-1","issued":{"date-parts":[["2015"]]},"title":"Managing employee performance ; reward: Concepts, practices, strategies","type":"book"},"uris":["http://www.mendeley.com/documents/?uuid=18d3c56b-3582-3986-94be-019e571d5a04"]}],"mendeley":{"formattedCitation":"(Shields et al., 2015)","plainTextFormattedCitation":"(Shields et al., 2015)","previouslyFormattedCitation":"(Shields et al., 2015)"},"properties":{"noteIndex":0},"schema":"https://github.com/citation-style-language/schema/raw/master/csl-citation.json"}</w:instrText>
      </w:r>
      <w:r w:rsidR="008327CD">
        <w:rPr>
          <w:lang w:val="en-US"/>
        </w:rPr>
        <w:fldChar w:fldCharType="separate"/>
      </w:r>
      <w:r w:rsidR="008327CD">
        <w:rPr>
          <w:noProof/>
          <w:lang w:val="en-US"/>
        </w:rPr>
        <w:t>(Shields et al., 2015)</w:t>
      </w:r>
      <w:r w:rsidR="008327CD">
        <w:rPr>
          <w:lang w:val="en-US"/>
        </w:rPr>
        <w:fldChar w:fldCharType="end"/>
      </w:r>
      <w:r w:rsidR="008327CD">
        <w:rPr>
          <w:lang w:val="en-US"/>
        </w:rPr>
        <w:t>.</w:t>
      </w:r>
      <w:r w:rsidR="008327CD">
        <w:rPr>
          <w:rFonts w:cs="Times New Roman"/>
        </w:rPr>
        <w:t xml:space="preserve"> </w:t>
      </w:r>
      <w:r w:rsidR="005D4854">
        <w:rPr>
          <w:rFonts w:cs="Times New Roman"/>
        </w:rPr>
        <w:t>To</w:t>
      </w:r>
      <w:r w:rsidR="008327CD">
        <w:rPr>
          <w:rFonts w:cs="Times New Roman"/>
        </w:rPr>
        <w:t xml:space="preserve"> this research, benefit was defined as the </w:t>
      </w:r>
      <w:r w:rsidR="00E43005">
        <w:rPr>
          <w:rFonts w:cs="Times New Roman"/>
        </w:rPr>
        <w:t>payment that to</w:t>
      </w:r>
      <w:r w:rsidR="005D4854">
        <w:rPr>
          <w:rFonts w:cs="Times New Roman"/>
        </w:rPr>
        <w:t>p</w:t>
      </w:r>
      <w:r w:rsidR="00E43005">
        <w:rPr>
          <w:rFonts w:cs="Times New Roman"/>
        </w:rPr>
        <w:t xml:space="preserve"> management was entitled to due to the advantage or profit organisation gained while working in public listed companies. </w:t>
      </w:r>
    </w:p>
    <w:p w14:paraId="0EAC6E11" w14:textId="711E1D28" w:rsidR="008D52C4" w:rsidRPr="00AE0B3D" w:rsidRDefault="00F517A2" w:rsidP="00F517A2">
      <w:pPr>
        <w:ind w:firstLine="0"/>
        <w:jc w:val="left"/>
        <w:rPr>
          <w:rFonts w:cs="Times New Roman"/>
        </w:rPr>
      </w:pPr>
      <w:r w:rsidRPr="00AE0B3D">
        <w:rPr>
          <w:rFonts w:cs="Times New Roman"/>
          <w:b/>
        </w:rPr>
        <w:t>Bonus:</w:t>
      </w:r>
      <w:r w:rsidRPr="00AE0B3D">
        <w:rPr>
          <w:rFonts w:cs="Times New Roman"/>
        </w:rPr>
        <w:t xml:space="preserve"> refers to the rewards that an employee</w:t>
      </w:r>
      <w:r w:rsidR="00EF625F" w:rsidRPr="00AE0B3D">
        <w:rPr>
          <w:rFonts w:cs="Times New Roman"/>
        </w:rPr>
        <w:t xml:space="preserve"> of a listed company</w:t>
      </w:r>
      <w:r w:rsidRPr="00AE0B3D">
        <w:rPr>
          <w:rFonts w:cs="Times New Roman"/>
        </w:rPr>
        <w:t xml:space="preserve"> is provided above the normal salary for an achievement or performance</w:t>
      </w:r>
      <w:r w:rsidR="00E66E00">
        <w:rPr>
          <w:rFonts w:cs="Times New Roman"/>
        </w:rPr>
        <w:t xml:space="preserve"> </w:t>
      </w:r>
      <w:r w:rsidR="00E66E00">
        <w:rPr>
          <w:lang w:val="en-US"/>
        </w:rPr>
        <w:fldChar w:fldCharType="begin" w:fldLock="1"/>
      </w:r>
      <w:r w:rsidR="003265D2">
        <w:rPr>
          <w:lang w:val="en-US"/>
        </w:rPr>
        <w:instrText>ADDIN CSL_CITATION {"citationItems":[{"id":"ITEM-1","itemData":{"DOI":"10.17485/ijst/2011/v4i12/30326","ISSN":"09745645","abstract":"Employee motivation is one of the important factors that can help the employer to improve employee and organizational performance. Different theories of motivation are discussed. The paper concludes that employee retention can be practiced better by motivating the employees in the following aspects: Open communication, Employee reward program, Career development program, Performance based bonus, Recreation facilities, Gifts at some occasions.","author":[{"dropping-particle":"","family":"Sandhya","given":"K","non-dropping-particle":"","parse-names":false,"suffix":""},{"dropping-particle":"","family":"Kumar","given":"Pradeep D","non-dropping-particle":"","parse-names":false,"suffix":""}],"container-title":"Indian Journal of Science and Technology","id":"ITEM-1","issue":"12","issued":{"date-parts":[["2011"]]},"page":"1778-1782","title":"Employee retention by motivation","type":"article-journal","volume":"4"},"uris":["http://www.mendeley.com/documents/?uuid=d0d0db38-47af-4e27-8413-ffec70a6b78a"]}],"mendeley":{"formattedCitation":"(Sandhya &amp; Kumar, 2011)","manualFormatting":"(Sandhya &amp; Kumar, 2011)","plainTextFormattedCitation":"(Sandhya &amp; Kumar, 2011)","previouslyFormattedCitation":"(Sandhya &amp; Kumar, 2011)"},"properties":{"noteIndex":0},"schema":"https://github.com/citation-style-language/schema/raw/master/csl-citation.json"}</w:instrText>
      </w:r>
      <w:r w:rsidR="00E66E00">
        <w:rPr>
          <w:lang w:val="en-US"/>
        </w:rPr>
        <w:fldChar w:fldCharType="separate"/>
      </w:r>
      <w:r w:rsidR="00E66E00">
        <w:rPr>
          <w:noProof/>
          <w:lang w:val="en-US"/>
        </w:rPr>
        <w:t>(Sandhya &amp; Kumar, 2011)</w:t>
      </w:r>
      <w:r w:rsidR="00E66E00">
        <w:rPr>
          <w:lang w:val="en-US"/>
        </w:rPr>
        <w:fldChar w:fldCharType="end"/>
      </w:r>
      <w:r w:rsidRPr="00AE0B3D">
        <w:rPr>
          <w:rFonts w:cs="Times New Roman"/>
        </w:rPr>
        <w:t>.</w:t>
      </w:r>
      <w:r w:rsidR="008327CD">
        <w:rPr>
          <w:rFonts w:cs="Times New Roman"/>
        </w:rPr>
        <w:t xml:space="preserve"> For the current study, bonus refer to reward that was provided for the top management of the public listed companies. </w:t>
      </w:r>
    </w:p>
    <w:p w14:paraId="6A66932F" w14:textId="671F777E" w:rsidR="009F1C70" w:rsidRPr="00AE0B3D" w:rsidRDefault="009F1C70" w:rsidP="00B30FB0">
      <w:pPr>
        <w:ind w:firstLine="0"/>
        <w:jc w:val="left"/>
        <w:rPr>
          <w:rFonts w:cs="Times New Roman"/>
        </w:rPr>
      </w:pPr>
      <w:r w:rsidRPr="00AE0B3D">
        <w:rPr>
          <w:rFonts w:cs="Times New Roman"/>
          <w:b/>
        </w:rPr>
        <w:t>Financial performance</w:t>
      </w:r>
      <w:r w:rsidRPr="00AE0B3D">
        <w:rPr>
          <w:rFonts w:cs="Times New Roman"/>
        </w:rPr>
        <w:t>: Measur</w:t>
      </w:r>
      <w:r w:rsidR="008A2B51" w:rsidRPr="00AE0B3D">
        <w:rPr>
          <w:rFonts w:cs="Times New Roman"/>
        </w:rPr>
        <w:t>ement of</w:t>
      </w:r>
      <w:r w:rsidRPr="00AE0B3D">
        <w:rPr>
          <w:rFonts w:cs="Times New Roman"/>
        </w:rPr>
        <w:t xml:space="preserve"> the outcome of </w:t>
      </w:r>
      <w:r w:rsidR="00EF625F" w:rsidRPr="00AE0B3D">
        <w:rPr>
          <w:rFonts w:cs="Times New Roman"/>
        </w:rPr>
        <w:t xml:space="preserve">listed </w:t>
      </w:r>
      <w:r w:rsidRPr="00AE0B3D">
        <w:rPr>
          <w:rFonts w:cs="Times New Roman"/>
        </w:rPr>
        <w:t>organisation policies and resource mobilisation in monetary terms</w:t>
      </w:r>
      <w:r w:rsidR="008A2B51" w:rsidRPr="00AE0B3D">
        <w:rPr>
          <w:rFonts w:cs="Times New Roman"/>
        </w:rPr>
        <w:t xml:space="preserve"> for organisation listed on the NSE</w:t>
      </w:r>
      <w:r w:rsidR="0010588B">
        <w:rPr>
          <w:rFonts w:cs="Times New Roman"/>
        </w:rPr>
        <w:t xml:space="preserve"> </w:t>
      </w:r>
      <w:r w:rsidR="0010588B">
        <w:rPr>
          <w:rFonts w:cs="Times New Roman"/>
        </w:rPr>
        <w:fldChar w:fldCharType="begin" w:fldLock="1"/>
      </w:r>
      <w:r w:rsidR="0010588B">
        <w:rPr>
          <w:rFonts w:cs="Times New Roman"/>
        </w:rPr>
        <w:instrText>ADDIN CSL_CITATION {"citationItems":[{"id":"ITEM-1","itemData":{"author":[{"dropping-particle":"","family":"Trivedi","given":"S","non-dropping-particle":"","parse-names":false,"suffix":""}],"id":"ITEM-1","issued":{"date-parts":[["2014"]]},"title":"Financial Performance Analysis Conceptual Framework","type":"article-journal"},"uris":["http://www.mendeley.com/documents/?uuid=81f5cba5-dc54-3ea5-a680-f60e736de429"]}],"mendeley":{"formattedCitation":"(Trivedi, 2014)","plainTextFormattedCitation":"(Trivedi, 2014)","previouslyFormattedCitation":"(Trivedi, 2014)"},"properties":{"noteIndex":0},"schema":"https://github.com/citation-style-language/schema/raw/master/csl-citation.json"}</w:instrText>
      </w:r>
      <w:r w:rsidR="0010588B">
        <w:rPr>
          <w:rFonts w:cs="Times New Roman"/>
        </w:rPr>
        <w:fldChar w:fldCharType="separate"/>
      </w:r>
      <w:r w:rsidR="0010588B">
        <w:rPr>
          <w:rFonts w:cs="Times New Roman"/>
          <w:noProof/>
        </w:rPr>
        <w:t>(Trivedi, 2014)</w:t>
      </w:r>
      <w:r w:rsidR="0010588B">
        <w:rPr>
          <w:rFonts w:cs="Times New Roman"/>
        </w:rPr>
        <w:fldChar w:fldCharType="end"/>
      </w:r>
      <w:r w:rsidR="0010588B">
        <w:rPr>
          <w:rFonts w:cs="Times New Roman"/>
        </w:rPr>
        <w:t>.</w:t>
      </w:r>
      <w:r w:rsidR="00D51842" w:rsidRPr="00AE0B3D">
        <w:rPr>
          <w:rFonts w:cs="Times New Roman"/>
        </w:rPr>
        <w:t xml:space="preserve"> Financial performance measured as profit and return on </w:t>
      </w:r>
      <w:r w:rsidR="001911E5" w:rsidRPr="00AE0B3D">
        <w:rPr>
          <w:rFonts w:cs="Times New Roman"/>
        </w:rPr>
        <w:t>investment</w:t>
      </w:r>
      <w:r w:rsidR="00D51842" w:rsidRPr="00AE0B3D">
        <w:rPr>
          <w:rFonts w:cs="Times New Roman"/>
        </w:rPr>
        <w:t xml:space="preserve"> </w:t>
      </w:r>
      <w:r w:rsidR="001911E5" w:rsidRPr="00AE0B3D">
        <w:rPr>
          <w:rFonts w:cs="Times New Roman"/>
        </w:rPr>
        <w:t xml:space="preserve">of listed companies in NSE. </w:t>
      </w:r>
    </w:p>
    <w:p w14:paraId="0833DC24" w14:textId="3D381542" w:rsidR="00F517A2" w:rsidRPr="00AE0B3D" w:rsidRDefault="00F517A2" w:rsidP="00F517A2">
      <w:pPr>
        <w:ind w:firstLine="0"/>
        <w:jc w:val="left"/>
        <w:rPr>
          <w:rFonts w:cs="Times New Roman"/>
        </w:rPr>
      </w:pPr>
      <w:r w:rsidRPr="00AE0B3D">
        <w:rPr>
          <w:rFonts w:cs="Times New Roman"/>
          <w:b/>
        </w:rPr>
        <w:t>Profitability:</w:t>
      </w:r>
      <w:r w:rsidRPr="00AE0B3D">
        <w:rPr>
          <w:rFonts w:cs="Times New Roman"/>
        </w:rPr>
        <w:t xml:space="preserve"> Refers to the financial gain that </w:t>
      </w:r>
      <w:r w:rsidR="0022548A" w:rsidRPr="00AE0B3D">
        <w:rPr>
          <w:rFonts w:cs="Times New Roman"/>
        </w:rPr>
        <w:t>a</w:t>
      </w:r>
      <w:r w:rsidR="008A2B51" w:rsidRPr="00AE0B3D">
        <w:rPr>
          <w:rFonts w:cs="Times New Roman"/>
        </w:rPr>
        <w:t xml:space="preserve"> company listed on NSE </w:t>
      </w:r>
      <w:r w:rsidR="007C4F55" w:rsidRPr="00AE0B3D">
        <w:rPr>
          <w:rFonts w:cs="Times New Roman"/>
        </w:rPr>
        <w:t>incurred</w:t>
      </w:r>
      <w:r w:rsidRPr="00AE0B3D">
        <w:rPr>
          <w:rFonts w:cs="Times New Roman"/>
        </w:rPr>
        <w:t xml:space="preserve"> in its operations</w:t>
      </w:r>
      <w:r w:rsidR="009947E0">
        <w:rPr>
          <w:rFonts w:cs="Times New Roman"/>
        </w:rPr>
        <w:t xml:space="preserve"> </w:t>
      </w:r>
      <w:r w:rsidR="009947E0">
        <w:rPr>
          <w:rFonts w:cs="Times New Roman"/>
          <w:lang w:val="en-US"/>
        </w:rPr>
        <w:fldChar w:fldCharType="begin" w:fldLock="1"/>
      </w:r>
      <w:r w:rsidR="009947E0">
        <w:rPr>
          <w:rFonts w:cs="Times New Roman"/>
          <w:lang w:val="en-US"/>
        </w:rPr>
        <w:instrText>ADDIN CSL_CITATION {"citationItems":[{"id":"ITEM-1","itemData":{"DOI":"10.15520/jbme.2015.vol3.iss11.158.pp33-40","ISBN":"2146-4138","ISSN":"2146-4138","author":[{"dropping-particle":"","family":"Ongore","given":"Vincent Okoth;","non-dropping-particle":"","parse-names":false,"suffix":""},{"dropping-particle":"","family":"Kusa","given":"Gemechu Berhanu","non-dropping-particle":"","parse-names":false,"suffix":""}],"container-title":"International journal of economics and financial","id":"ITEM-1","issue":"1","issued":{"date-parts":[["2013"]]},"page":"237-252","title":"Determinants of financial performance of commercial banks in Kenya","type":"article-journal","volume":"3"},"uris":["http://www.mendeley.com/documents/?uuid=1ac903a5-40e3-4abb-aa43-5228c90fc504"]}],"mendeley":{"formattedCitation":"(Vincent Okoth; Ongore &amp; Kusa, 2013)","manualFormatting":"(Ongore &amp; Kusa, 2013)","plainTextFormattedCitation":"(Vincent Okoth; Ongore &amp; Kusa, 2013)","previouslyFormattedCitation":"(Vincent Okoth; Ongore &amp; Kusa, 2013)"},"properties":{"noteIndex":0},"schema":"https://github.com/citation-style-language/schema/raw/master/csl-citation.json"}</w:instrText>
      </w:r>
      <w:r w:rsidR="009947E0">
        <w:rPr>
          <w:rFonts w:cs="Times New Roman"/>
          <w:lang w:val="en-US"/>
        </w:rPr>
        <w:fldChar w:fldCharType="separate"/>
      </w:r>
      <w:r w:rsidR="009947E0">
        <w:rPr>
          <w:rFonts w:cs="Times New Roman"/>
          <w:noProof/>
          <w:lang w:val="en-US"/>
        </w:rPr>
        <w:t>(Ongore &amp; Kusa, 2013)</w:t>
      </w:r>
      <w:r w:rsidR="009947E0">
        <w:rPr>
          <w:rFonts w:cs="Times New Roman"/>
          <w:lang w:val="en-US"/>
        </w:rPr>
        <w:fldChar w:fldCharType="end"/>
      </w:r>
      <w:r w:rsidR="009947E0">
        <w:rPr>
          <w:rFonts w:cs="Times New Roman"/>
          <w:lang w:val="en-US"/>
        </w:rPr>
        <w:t>.</w:t>
      </w:r>
      <w:r w:rsidR="0022548A" w:rsidRPr="00AE0B3D">
        <w:rPr>
          <w:rFonts w:cs="Times New Roman"/>
        </w:rPr>
        <w:t xml:space="preserve"> </w:t>
      </w:r>
    </w:p>
    <w:p w14:paraId="5B88112E" w14:textId="6505122C" w:rsidR="00AA373E" w:rsidRPr="00AE0B3D" w:rsidRDefault="00AA373E" w:rsidP="00B30FB0">
      <w:pPr>
        <w:ind w:firstLine="0"/>
        <w:jc w:val="left"/>
        <w:rPr>
          <w:rFonts w:cs="Times New Roman"/>
        </w:rPr>
      </w:pPr>
      <w:r w:rsidRPr="00AE0B3D">
        <w:rPr>
          <w:rFonts w:cs="Times New Roman"/>
          <w:b/>
        </w:rPr>
        <w:t>Remuneration</w:t>
      </w:r>
      <w:r w:rsidRPr="00AE0B3D">
        <w:rPr>
          <w:rFonts w:cs="Times New Roman"/>
        </w:rPr>
        <w:t>: Refers to compensation paid for service or work done</w:t>
      </w:r>
      <w:r w:rsidR="00291E48">
        <w:rPr>
          <w:rFonts w:cs="Times New Roman"/>
        </w:rPr>
        <w:t xml:space="preserve"> </w:t>
      </w:r>
      <w:r w:rsidR="00291E48">
        <w:rPr>
          <w:rFonts w:cs="Times New Roman"/>
        </w:rPr>
        <w:fldChar w:fldCharType="begin" w:fldLock="1"/>
      </w:r>
      <w:r w:rsidR="00291E48">
        <w:rPr>
          <w:rFonts w:cs="Times New Roman"/>
        </w:rPr>
        <w:instrText>ADDIN CSL_CITATION {"citationItems":[{"id":"ITEM-1","itemData":{"author":[{"dropping-particle":"","family":"Bach","given":"S","non-dropping-particle":"","parse-names":false,"suffix":""}],"id":"ITEM-1","issued":{"date-parts":[["2009"]]},"title":"Managing human resources: personnel management in transition","type":"book"},"uris":["http://www.mendeley.com/documents/?uuid=12fc6f55-ac76-310a-bca5-086eaae3f1da"]}],"mendeley":{"formattedCitation":"(Bach, 2009)","plainTextFormattedCitation":"(Bach, 2009)","previouslyFormattedCitation":"(Bach, 2009)"},"properties":{"noteIndex":0},"schema":"https://github.com/citation-style-language/schema/raw/master/csl-citation.json"}</w:instrText>
      </w:r>
      <w:r w:rsidR="00291E48">
        <w:rPr>
          <w:rFonts w:cs="Times New Roman"/>
        </w:rPr>
        <w:fldChar w:fldCharType="separate"/>
      </w:r>
      <w:r w:rsidR="00291E48">
        <w:rPr>
          <w:rFonts w:cs="Times New Roman"/>
          <w:noProof/>
        </w:rPr>
        <w:t>(Bach, 2009)</w:t>
      </w:r>
      <w:r w:rsidR="00291E48">
        <w:rPr>
          <w:rFonts w:cs="Times New Roman"/>
        </w:rPr>
        <w:fldChar w:fldCharType="end"/>
      </w:r>
      <w:r w:rsidR="00291E48">
        <w:rPr>
          <w:rFonts w:cs="Times New Roman"/>
        </w:rPr>
        <w:t>.</w:t>
      </w:r>
    </w:p>
    <w:p w14:paraId="37C48367" w14:textId="6C9D81EF" w:rsidR="00B270CC" w:rsidRDefault="00B270CC" w:rsidP="00B30FB0">
      <w:pPr>
        <w:ind w:firstLine="0"/>
        <w:jc w:val="left"/>
        <w:rPr>
          <w:rFonts w:cs="Times New Roman"/>
        </w:rPr>
      </w:pPr>
      <w:r w:rsidRPr="00AE0B3D">
        <w:rPr>
          <w:rFonts w:cs="Times New Roman"/>
          <w:b/>
          <w:bCs/>
        </w:rPr>
        <w:t>Management remuneration:</w:t>
      </w:r>
      <w:r w:rsidR="00402488" w:rsidRPr="00AE0B3D">
        <w:rPr>
          <w:rFonts w:cs="Times New Roman"/>
          <w:b/>
          <w:bCs/>
        </w:rPr>
        <w:t xml:space="preserve"> </w:t>
      </w:r>
      <w:r w:rsidR="00402488" w:rsidRPr="00AE0B3D">
        <w:rPr>
          <w:rFonts w:cs="Times New Roman"/>
        </w:rPr>
        <w:t>In this study</w:t>
      </w:r>
      <w:r w:rsidR="00125EA4">
        <w:rPr>
          <w:rFonts w:cs="Times New Roman"/>
        </w:rPr>
        <w:t>, management remuneration</w:t>
      </w:r>
      <w:r w:rsidR="00402488" w:rsidRPr="00AE0B3D">
        <w:rPr>
          <w:rFonts w:cs="Times New Roman"/>
        </w:rPr>
        <w:t xml:space="preserve"> refers to total reward</w:t>
      </w:r>
      <w:r w:rsidR="00125EA4">
        <w:rPr>
          <w:rFonts w:cs="Times New Roman"/>
        </w:rPr>
        <w:t xml:space="preserve"> that the</w:t>
      </w:r>
      <w:r w:rsidR="0016588D" w:rsidRPr="00AE0B3D">
        <w:rPr>
          <w:rFonts w:cs="Times New Roman"/>
        </w:rPr>
        <w:t xml:space="preserve"> head of the organisation </w:t>
      </w:r>
      <w:r w:rsidR="00FE0CAF" w:rsidRPr="00AE0B3D">
        <w:rPr>
          <w:rFonts w:cs="Times New Roman"/>
        </w:rPr>
        <w:t xml:space="preserve">listed in NSE </w:t>
      </w:r>
      <w:r w:rsidR="0016588D" w:rsidRPr="00AE0B3D">
        <w:rPr>
          <w:rFonts w:cs="Times New Roman"/>
        </w:rPr>
        <w:t xml:space="preserve">receives for services rendered </w:t>
      </w:r>
      <w:r w:rsidR="00125EA4">
        <w:rPr>
          <w:rFonts w:cs="Times New Roman"/>
        </w:rPr>
        <w:t>to</w:t>
      </w:r>
      <w:r w:rsidR="00125EA4" w:rsidRPr="00AE0B3D">
        <w:rPr>
          <w:rFonts w:cs="Times New Roman"/>
        </w:rPr>
        <w:t xml:space="preserve"> </w:t>
      </w:r>
      <w:r w:rsidR="0016588D" w:rsidRPr="00AE0B3D">
        <w:rPr>
          <w:rFonts w:cs="Times New Roman"/>
        </w:rPr>
        <w:t xml:space="preserve">the organisation. </w:t>
      </w:r>
      <w:r w:rsidR="00054B81" w:rsidRPr="00AE0B3D">
        <w:rPr>
          <w:rFonts w:cs="Times New Roman"/>
        </w:rPr>
        <w:t xml:space="preserve">Management remuneration is represented by sum of all benefits, </w:t>
      </w:r>
      <w:r w:rsidR="00054B81" w:rsidRPr="00AE0B3D">
        <w:rPr>
          <w:rFonts w:cs="Times New Roman"/>
        </w:rPr>
        <w:lastRenderedPageBreak/>
        <w:t xml:space="preserve">rewards, bonus and salary that </w:t>
      </w:r>
      <w:r w:rsidR="00EE6FDD" w:rsidRPr="00AE0B3D">
        <w:rPr>
          <w:rFonts w:cs="Times New Roman"/>
        </w:rPr>
        <w:t xml:space="preserve">the employees in management capacity receive for </w:t>
      </w:r>
      <w:r w:rsidR="00B1665B" w:rsidRPr="00AE0B3D">
        <w:rPr>
          <w:rFonts w:cs="Times New Roman"/>
        </w:rPr>
        <w:t xml:space="preserve">service rendered in a listed company. </w:t>
      </w:r>
    </w:p>
    <w:p w14:paraId="39DD858A" w14:textId="0D77E59E" w:rsidR="007668F1" w:rsidRDefault="007668F1" w:rsidP="00B30FB0">
      <w:pPr>
        <w:ind w:firstLine="0"/>
        <w:jc w:val="left"/>
        <w:rPr>
          <w:rFonts w:cs="Times New Roman"/>
        </w:rPr>
      </w:pPr>
      <w:r w:rsidRPr="00142F12">
        <w:rPr>
          <w:rFonts w:cs="Times New Roman"/>
          <w:b/>
          <w:lang w:val="en-US"/>
        </w:rPr>
        <w:t>Return on Assets:</w:t>
      </w:r>
      <w:r>
        <w:rPr>
          <w:rFonts w:cs="Times New Roman"/>
          <w:lang w:val="en-US"/>
        </w:rPr>
        <w:t xml:space="preserve">  refers to the ratio of organization income to the total asset it owns</w:t>
      </w:r>
      <w:r w:rsidR="009947E0">
        <w:rPr>
          <w:rFonts w:cs="Times New Roman"/>
          <w:lang w:val="en-US"/>
        </w:rPr>
        <w:t xml:space="preserve"> </w:t>
      </w:r>
      <w:r w:rsidR="009947E0">
        <w:rPr>
          <w:rFonts w:cs="Times New Roman"/>
          <w:lang w:val="en-US"/>
        </w:rPr>
        <w:fldChar w:fldCharType="begin" w:fldLock="1"/>
      </w:r>
      <w:r w:rsidR="009947E0">
        <w:rPr>
          <w:rFonts w:cs="Times New Roman"/>
          <w:lang w:val="en-US"/>
        </w:rPr>
        <w:instrText>ADDIN CSL_CITATION {"citationItems":[{"id":"ITEM-1","itemData":{"DOI":"10.1016/j.jbusres.2014.06.024","ISBN":"01482963","ISSN":"01482963","PMID":"99792656","abstract":"Direct relationship between corporate social responsibility (CSR) and firm performance has been examined by many scholars, but this direct test seems to be spurious and imprecise. This is because many factors indirectly influence this relation. Therefore, this study considers sustainable competitive advantage, reputation, and customer satisfaction as three probable mediators in the relationship between CSR and firm performance. The findings from 205 Iranian manufacturing and consumer product firms reveal that the link between CSR and firm performance is a fully mediated relationship. The positive effect of CSR on firm performance is due to the positive effect CSR has on competitive advantage, reputation, and customer satisfaction. The final findings show that only reputation and competitive advantage mediate the relationship between CSR and firm performance. Taken together, these findings suggest a role for CSR in indirectly promoting firm performance through enhancing reputation and competitive advantage while improving the level of customer satisfaction.","author":[{"dropping-particle":"","family":"Saeidi","given":"Sayedeh Parastoo","non-dropping-particle":"","parse-names":false,"suffix":""},{"dropping-particle":"","family":"Sofian","given":"Saudah","non-dropping-particle":"","parse-names":false,"suffix":""},{"dropping-particle":"","family":"Saeidi","given":"Parvaneh","non-dropping-particle":"","parse-names":false,"suffix":""},{"dropping-particle":"","family":"Saeidi","given":"Sayyedeh Parisa","non-dropping-particle":"","parse-names":false,"suffix":""},{"dropping-particle":"","family":"Saaeidi","given":"Seyyed Alireza","non-dropping-particle":"","parse-names":false,"suffix":""}],"container-title":"Journal of Business Research","id":"ITEM-1","issue":"2","issued":{"date-parts":[["2015"]]},"page":"341-350","title":"How does corporate social responsibility contribute to firm financial performance? The mediating role of competitive advantage, reputation, and customer satisfaction","type":"article-journal","volume":"68"},"uris":["http://www.mendeley.com/documents/?uuid=ac5bbf34-f3cf-4f42-9010-b85d8398632c"]}],"mendeley":{"formattedCitation":"(Saeidi et al., 2015)","plainTextFormattedCitation":"(Saeidi et al., 2015)","previouslyFormattedCitation":"(Saeidi et al., 2015)"},"properties":{"noteIndex":0},"schema":"https://github.com/citation-style-language/schema/raw/master/csl-citation.json"}</w:instrText>
      </w:r>
      <w:r w:rsidR="009947E0">
        <w:rPr>
          <w:rFonts w:cs="Times New Roman"/>
          <w:lang w:val="en-US"/>
        </w:rPr>
        <w:fldChar w:fldCharType="separate"/>
      </w:r>
      <w:r w:rsidR="009947E0">
        <w:rPr>
          <w:rFonts w:cs="Times New Roman"/>
          <w:noProof/>
          <w:lang w:val="en-US"/>
        </w:rPr>
        <w:t>(Saeidi et al., 2015)</w:t>
      </w:r>
      <w:r w:rsidR="009947E0">
        <w:rPr>
          <w:rFonts w:cs="Times New Roman"/>
          <w:lang w:val="en-US"/>
        </w:rPr>
        <w:fldChar w:fldCharType="end"/>
      </w:r>
      <w:r>
        <w:rPr>
          <w:rFonts w:cs="Times New Roman"/>
          <w:lang w:val="en-US"/>
        </w:rPr>
        <w:t>.</w:t>
      </w:r>
    </w:p>
    <w:p w14:paraId="54F1CB06" w14:textId="28CBB509" w:rsidR="0010588B" w:rsidRPr="00AE0B3D" w:rsidRDefault="0010588B" w:rsidP="00B30FB0">
      <w:pPr>
        <w:ind w:firstLine="0"/>
        <w:jc w:val="left"/>
        <w:rPr>
          <w:rFonts w:cs="Times New Roman"/>
        </w:rPr>
      </w:pPr>
      <w:r w:rsidRPr="00142F12">
        <w:rPr>
          <w:rFonts w:cs="Times New Roman"/>
          <w:b/>
          <w:lang w:val="en-US"/>
        </w:rPr>
        <w:t>Return on equity:</w:t>
      </w:r>
      <w:r>
        <w:rPr>
          <w:rFonts w:cs="Times New Roman"/>
          <w:lang w:val="en-US"/>
        </w:rPr>
        <w:t xml:space="preserve">  refers to a financial ratio of the total profits of the organization to the total investor’s equity in the organization</w:t>
      </w:r>
      <w:r w:rsidR="009947E0">
        <w:rPr>
          <w:rFonts w:cs="Times New Roman"/>
          <w:lang w:val="en-US"/>
        </w:rPr>
        <w:t xml:space="preserve"> </w:t>
      </w:r>
      <w:r w:rsidR="009947E0">
        <w:rPr>
          <w:rFonts w:cs="Times New Roman"/>
          <w:lang w:val="en-US"/>
        </w:rPr>
        <w:fldChar w:fldCharType="begin" w:fldLock="1"/>
      </w:r>
      <w:r w:rsidR="009947E0">
        <w:rPr>
          <w:rFonts w:cs="Times New Roman"/>
          <w:lang w:val="en-US"/>
        </w:rPr>
        <w:instrText>ADDIN CSL_CITATION {"citationItems":[{"id":"ITEM-1","itemData":{"DOI":"10.1016/j.jbusres.2014.06.024","ISBN":"01482963","ISSN":"01482963","PMID":"99792656","abstract":"Direct relationship between corporate social responsibility (CSR) and firm performance has been examined by many scholars, but this direct test seems to be spurious and imprecise. This is because many factors indirectly influence this relation. Therefore, this study considers sustainable competitive advantage, reputation, and customer satisfaction as three probable mediators in the relationship between CSR and firm performance. The findings from 205 Iranian manufacturing and consumer product firms reveal that the link between CSR and firm performance is a fully mediated relationship. The positive effect of CSR on firm performance is due to the positive effect CSR has on competitive advantage, reputation, and customer satisfaction. The final findings show that only reputation and competitive advantage mediate the relationship between CSR and firm performance. Taken together, these findings suggest a role for CSR in indirectly promoting firm performance through enhancing reputation and competitive advantage while improving the level of customer satisfaction.","author":[{"dropping-particle":"","family":"Saeidi","given":"Sayedeh Parastoo","non-dropping-particle":"","parse-names":false,"suffix":""},{"dropping-particle":"","family":"Sofian","given":"Saudah","non-dropping-particle":"","parse-names":false,"suffix":""},{"dropping-particle":"","family":"Saeidi","given":"Parvaneh","non-dropping-particle":"","parse-names":false,"suffix":""},{"dropping-particle":"","family":"Saeidi","given":"Sayyedeh Parisa","non-dropping-particle":"","parse-names":false,"suffix":""},{"dropping-particle":"","family":"Saaeidi","given":"Seyyed Alireza","non-dropping-particle":"","parse-names":false,"suffix":""}],"container-title":"Journal of Business Research","id":"ITEM-1","issue":"2","issued":{"date-parts":[["2015"]]},"page":"341-350","title":"How does corporate social responsibility contribute to firm financial performance? The mediating role of competitive advantage, reputation, and customer satisfaction","type":"article-journal","volume":"68"},"uris":["http://www.mendeley.com/documents/?uuid=ac5bbf34-f3cf-4f42-9010-b85d8398632c"]}],"mendeley":{"formattedCitation":"(Saeidi et al., 2015)","plainTextFormattedCitation":"(Saeidi et al., 2015)","previouslyFormattedCitation":"(Saeidi et al., 2015)"},"properties":{"noteIndex":0},"schema":"https://github.com/citation-style-language/schema/raw/master/csl-citation.json"}</w:instrText>
      </w:r>
      <w:r w:rsidR="009947E0">
        <w:rPr>
          <w:rFonts w:cs="Times New Roman"/>
          <w:lang w:val="en-US"/>
        </w:rPr>
        <w:fldChar w:fldCharType="separate"/>
      </w:r>
      <w:r w:rsidR="009947E0">
        <w:rPr>
          <w:rFonts w:cs="Times New Roman"/>
          <w:noProof/>
          <w:lang w:val="en-US"/>
        </w:rPr>
        <w:t>(Saeidi et al., 2015)</w:t>
      </w:r>
      <w:r w:rsidR="009947E0">
        <w:rPr>
          <w:rFonts w:cs="Times New Roman"/>
          <w:lang w:val="en-US"/>
        </w:rPr>
        <w:fldChar w:fldCharType="end"/>
      </w:r>
      <w:r>
        <w:rPr>
          <w:rFonts w:cs="Times New Roman"/>
          <w:lang w:val="en-US"/>
        </w:rPr>
        <w:t>.</w:t>
      </w:r>
    </w:p>
    <w:p w14:paraId="0E0806AD" w14:textId="3C1D8E88" w:rsidR="002B14F5" w:rsidRPr="00AE0B3D" w:rsidRDefault="009F1C70" w:rsidP="00B30FB0">
      <w:pPr>
        <w:ind w:firstLine="0"/>
        <w:jc w:val="left"/>
        <w:rPr>
          <w:rFonts w:cs="Times New Roman"/>
        </w:rPr>
      </w:pPr>
      <w:r w:rsidRPr="00AE0B3D">
        <w:rPr>
          <w:rFonts w:cs="Times New Roman"/>
          <w:b/>
        </w:rPr>
        <w:t>Return on investment</w:t>
      </w:r>
      <w:r w:rsidR="00085B46" w:rsidRPr="00AE0B3D">
        <w:rPr>
          <w:rFonts w:cs="Times New Roman"/>
        </w:rPr>
        <w:t xml:space="preserve">: refers to a measure </w:t>
      </w:r>
      <w:r w:rsidR="002B14F5" w:rsidRPr="00AE0B3D">
        <w:rPr>
          <w:rFonts w:cs="Times New Roman"/>
        </w:rPr>
        <w:t>of gain or loss that is generated from an investment</w:t>
      </w:r>
      <w:r w:rsidR="0022548A" w:rsidRPr="00AE0B3D">
        <w:rPr>
          <w:rFonts w:cs="Times New Roman"/>
        </w:rPr>
        <w:t xml:space="preserve"> in the public listed company on NSE</w:t>
      </w:r>
      <w:r w:rsidR="0010588B">
        <w:rPr>
          <w:rFonts w:cs="Times New Roman"/>
        </w:rPr>
        <w:t xml:space="preserve"> </w:t>
      </w:r>
      <w:r w:rsidR="0010588B">
        <w:rPr>
          <w:rFonts w:cs="Times New Roman"/>
        </w:rPr>
        <w:fldChar w:fldCharType="begin" w:fldLock="1"/>
      </w:r>
      <w:r w:rsidR="0010588B">
        <w:rPr>
          <w:rFonts w:cs="Times New Roman"/>
        </w:rPr>
        <w:instrText>ADDIN CSL_CITATION {"citationItems":[{"id":"ITEM-1","itemData":{"DOI":"10.1007/s10551-011-1063-y","ISBN":"0167-4544","ISSN":"01674544","PMID":"12658535","abstract":"Sustainability is concerned with the impact of present actions on the ecosystems, societies, and environ-ments of the future. Such concerns should be reflected in the strategic planning of sustainable corporations. Strategic intentions of this nature are operationalized through the adoption of a long-term focus and a more inclusive set of responsibilities focusing on ethical practices, employees, environment, and customers. A central hypothesis, that we test in this paper is that companies which attend to this set of responsibilities under the term superior sustainable practices, have higher financial performance compared to those that do not engage in such practices. The target population of this study consists of the top 100 sustainable global companies in 2008 which have been selected from a universe of 3,000 firms from the developed countries and emerging markets. We find significant higher mean sales growth, return on assets, profit before taxation, and cash flows from operations in some activity sectors of the sample companies compared to the control companies over the period of 2006–2010. Furthermore, our findings show that the higher financial performance of sustainable com-panies has increased and been sustained over the sample. Notwithstanding sample limitation, causal evidence reported in this paper suggests that, there is bi-directional relationship between corporate social responsibilities practices and corporate financial performance.","author":[{"dropping-particle":"","family":"Ameer","given":"Rashid","non-dropping-particle":"","parse-names":false,"suffix":""},{"dropping-particle":"","family":"Othman","given":"Radiah","non-dropping-particle":"","parse-names":false,"suffix":""}],"container-title":"Journal of Business Ethics","id":"ITEM-1","issue":"1","issued":{"date-parts":[["2012"]]},"page":"61-79","title":"Sustainability practices and corporate financial performance: A study based on the top global corporations","type":"article-journal","volume":"108"},"uris":["http://www.mendeley.com/documents/?uuid=fa4319b9-ea84-471e-866f-b08c86fcadf3"]}],"mendeley":{"formattedCitation":"(Ameer &amp; Othman, 2012)","plainTextFormattedCitation":"(Ameer &amp; Othman, 2012)","previouslyFormattedCitation":"(Ameer &amp; Othman, 2012)"},"properties":{"noteIndex":0},"schema":"https://github.com/citation-style-language/schema/raw/master/csl-citation.json"}</w:instrText>
      </w:r>
      <w:r w:rsidR="0010588B">
        <w:rPr>
          <w:rFonts w:cs="Times New Roman"/>
        </w:rPr>
        <w:fldChar w:fldCharType="separate"/>
      </w:r>
      <w:r w:rsidR="0010588B">
        <w:rPr>
          <w:rFonts w:cs="Times New Roman"/>
          <w:noProof/>
        </w:rPr>
        <w:t>(Ameer &amp; Othman, 2012)</w:t>
      </w:r>
      <w:r w:rsidR="0010588B">
        <w:rPr>
          <w:rFonts w:cs="Times New Roman"/>
        </w:rPr>
        <w:fldChar w:fldCharType="end"/>
      </w:r>
      <w:r w:rsidR="002B14F5" w:rsidRPr="00AE0B3D">
        <w:rPr>
          <w:rFonts w:cs="Times New Roman"/>
        </w:rPr>
        <w:t>.</w:t>
      </w:r>
    </w:p>
    <w:p w14:paraId="0E83ED75" w14:textId="5D341930" w:rsidR="00F517A2" w:rsidRPr="00AE0B3D" w:rsidRDefault="00F517A2" w:rsidP="00F517A2">
      <w:pPr>
        <w:pStyle w:val="NormalWeb"/>
        <w:shd w:val="clear" w:color="auto" w:fill="FFFFFF"/>
        <w:spacing w:before="0" w:beforeAutospacing="0" w:after="160" w:afterAutospacing="0" w:line="480" w:lineRule="auto"/>
        <w:rPr>
          <w:rFonts w:ascii="Arial" w:hAnsi="Arial" w:cs="Arial"/>
        </w:rPr>
      </w:pPr>
      <w:r w:rsidRPr="00AE0B3D">
        <w:rPr>
          <w:b/>
        </w:rPr>
        <w:t>Salary:</w:t>
      </w:r>
      <w:r w:rsidRPr="00AE0B3D">
        <w:t xml:space="preserve"> Fixed payment made to</w:t>
      </w:r>
      <w:r w:rsidR="00A8487F" w:rsidRPr="00AE0B3D">
        <w:t xml:space="preserve"> listed company’s</w:t>
      </w:r>
      <w:r w:rsidRPr="00AE0B3D">
        <w:t xml:space="preserve"> employee by employer for the service delivered and mostly presented as annual payment</w:t>
      </w:r>
      <w:r w:rsidR="00291E48">
        <w:t xml:space="preserve"> (</w:t>
      </w:r>
      <w:proofErr w:type="spellStart"/>
      <w:r w:rsidR="00291E48">
        <w:rPr>
          <w:noProof/>
        </w:rPr>
        <w:t>Bussin</w:t>
      </w:r>
      <w:proofErr w:type="spellEnd"/>
      <w:r w:rsidR="00291E48">
        <w:t xml:space="preserve"> </w:t>
      </w:r>
      <w:r w:rsidR="00291E48">
        <w:fldChar w:fldCharType="begin" w:fldLock="1"/>
      </w:r>
      <w:r w:rsidR="00291E48">
        <w:instrText>ADDIN CSL_CITATION {"citationItems":[{"id":"ITEM-1","itemData":{"DOI":"10.17159/2222-3436/2015/v18n2a7","ISBN":"2222-3436 UL - http://www.scielo.org.za/scielo.php?script=sci_arttext&amp;pid=S2222-34362015000200007&amp;nrm=iso","ISSN":"10158812","abstract":"The topic of executive pay-performance sensitivity has resulted in mixed research findings. Literature related to executive remuneration constructs; company performance measures and the underlying theories is critically reviewed in this article. The literature is compared to research findings within the South African context pre; during and post the Global Financial Crisis of 2008. The researcher found similar results in the South African context compared to research in other countries and industries. The research challenges the notion that there is one dominant theory driving CEO compensation. The principal-agent theory; supported by the optimal contract theory; are foremost during periods of strong economic performance; while the influence of managerial power and other behavioural theories appear to prevail during periods of weak economic performance. This article proposes some critical considerations in order to manage this tension.","author":[{"dropping-particle":"","family":"Bussin","given":"Mark","non-dropping-particle":"","parse-names":false,"suffix":""}],"container-title":"South African Journal of Economic and Management Sciences","id":"ITEM-1","issue":"2","issued":{"date-parts":[["2015"]]},"page":"232-244","title":"CEO pay-performance sensitivity in the South African context","type":"article-journal","volume":"18"},"uris":["http://www.mendeley.com/documents/?uuid=66584ae6-afb5-4c3b-83ac-ae2566ecb79b"]}],"mendeley":{"formattedCitation":"(Bussin, 2015)","manualFormatting":"2015)","plainTextFormattedCitation":"(Bussin, 2015)","previouslyFormattedCitation":"(Bussin, 2015)"},"properties":{"noteIndex":0},"schema":"https://github.com/citation-style-language/schema/raw/master/csl-citation.json"}</w:instrText>
      </w:r>
      <w:r w:rsidR="00291E48">
        <w:fldChar w:fldCharType="separate"/>
      </w:r>
      <w:r w:rsidR="00291E48">
        <w:rPr>
          <w:noProof/>
        </w:rPr>
        <w:t>2015)</w:t>
      </w:r>
      <w:r w:rsidR="00291E48">
        <w:fldChar w:fldCharType="end"/>
      </w:r>
      <w:r w:rsidRPr="00AE0B3D">
        <w:t xml:space="preserve">. </w:t>
      </w:r>
      <w:r w:rsidR="00E66E00">
        <w:t xml:space="preserve">The same definition was applied in the current study. </w:t>
      </w:r>
    </w:p>
    <w:p w14:paraId="613C1F1B" w14:textId="62B1304F" w:rsidR="002D54B1" w:rsidRDefault="00F517A2" w:rsidP="007C4F55">
      <w:pPr>
        <w:pStyle w:val="NormalWeb"/>
        <w:shd w:val="clear" w:color="auto" w:fill="FFFFFF"/>
        <w:spacing w:before="0" w:beforeAutospacing="0" w:after="160" w:afterAutospacing="0" w:line="480" w:lineRule="auto"/>
        <w:sectPr w:rsidR="002D54B1" w:rsidSect="00975779">
          <w:pgSz w:w="12240" w:h="15840"/>
          <w:pgMar w:top="1440" w:right="1440" w:bottom="1440" w:left="2160" w:header="720" w:footer="720" w:gutter="0"/>
          <w:cols w:space="720"/>
          <w:docGrid w:linePitch="360"/>
        </w:sectPr>
      </w:pPr>
      <w:r w:rsidRPr="00AE0B3D">
        <w:rPr>
          <w:b/>
        </w:rPr>
        <w:t>Share:</w:t>
      </w:r>
      <w:r w:rsidRPr="00AE0B3D">
        <w:t xml:space="preserve"> refers to one of the equal parts of the capital of a company that entitles the shareholder to profits.</w:t>
      </w:r>
      <w:r w:rsidR="00FE0CAF" w:rsidRPr="00AE0B3D">
        <w:t xml:space="preserve"> It refers to share payment made to the head of an organization listed on NSE</w:t>
      </w:r>
      <w:r w:rsidR="00C6670F">
        <w:t xml:space="preserve"> </w:t>
      </w:r>
      <w:r w:rsidR="00C6670F">
        <w:fldChar w:fldCharType="begin" w:fldLock="1"/>
      </w:r>
      <w:r w:rsidR="00ED34A7">
        <w:instrText>ADDIN CSL_CITATION {"citationItems":[{"id":"ITEM-1","itemData":{"DOI":"10.1108/PR-09-2016-0243","ISBN":"1020150262","ISSN":"00483486","abstract":"Purpose A range of studies have shown that performance is typically higher in organisations with employee share ownership (ESO) schemes in place. Many possible causal mechanisms explaining this relationship have been suggested. These include a reduction in labour turnover, synergies with other forms of productivity-enhancing communication and participation schemes, and synergies with employer-provided training. The paper aims to discuss these issues. Design/methodology/approach This paper empirically assesses these potential linkages using data from the 2004 and 2011 British Workplace Employment Relations Surveys, and provides comparisons with earlier analyses conducted on the 1990 and 1998 versions of the survey. Findings Substantial differences are found between the 2004 and 2011 results: a positive relationship between ESO and workplace productivity and financial performance, observed in 2004, is no longer present in 2011. In both years, ESO is found to have no clear relationship with labour turnover, ...","author":[{"dropping-particle":"","family":"Whitfield","given":"Keith","non-dropping-particle":"","parse-names":false,"suffix":""},{"dropping-particle":"","family":"Pendleton","given":"Andrew","non-dropping-particle":"","parse-names":false,"suffix":""},{"dropping-particle":"","family":"Sengupta","given":"Sukanya","non-dropping-particle":"","parse-names":false,"suffix":""},{"dropping-particle":"","family":"Huxley","given":"Katy","non-dropping-particle":"","parse-names":false,"suffix":""}],"container-title":"Personnel Review","id":"ITEM-1","issue":"7","issued":{"date-parts":[["2017"]]},"page":"1280-1296","title":"Employee share ownership and organisational performance: a tentative opening of the black box","type":"article-journal","volume":"46"},"uris":["http://www.mendeley.com/documents/?uuid=cf2aca95-376c-4eff-aab2-4d57fc7867b2"]}],"mendeley":{"formattedCitation":"(Whitfield et al., 2017)","manualFormatting":"(Whitfield et al., 2017)","plainTextFormattedCitation":"(Whitfield et al., 2017)","previouslyFormattedCitation":"(Whitfield et al., 2017)"},"properties":{"noteIndex":0},"schema":"https://github.com/citation-style-language/schema/raw/master/csl-citation.json"}</w:instrText>
      </w:r>
      <w:r w:rsidR="00C6670F">
        <w:fldChar w:fldCharType="separate"/>
      </w:r>
      <w:r w:rsidR="00C6670F">
        <w:rPr>
          <w:noProof/>
        </w:rPr>
        <w:t>(Whitfield et al., 2017)</w:t>
      </w:r>
      <w:r w:rsidR="00C6670F">
        <w:fldChar w:fldCharType="end"/>
      </w:r>
      <w:r w:rsidR="00C6670F">
        <w:t>.</w:t>
      </w:r>
      <w:r w:rsidR="00FE0CAF" w:rsidRPr="00AE0B3D">
        <w:t>.</w:t>
      </w:r>
    </w:p>
    <w:p w14:paraId="21B85401" w14:textId="77777777" w:rsidR="00FB66A4" w:rsidRPr="00AE0B3D" w:rsidRDefault="00FB66A4" w:rsidP="00005A5C">
      <w:pPr>
        <w:pStyle w:val="Heading1"/>
        <w:ind w:left="432"/>
        <w:rPr>
          <w:rFonts w:cs="Times New Roman"/>
        </w:rPr>
      </w:pPr>
      <w:bookmarkStart w:id="38" w:name="_Toc78067508"/>
      <w:r w:rsidRPr="00AE0B3D">
        <w:rPr>
          <w:rFonts w:cs="Times New Roman"/>
        </w:rPr>
        <w:lastRenderedPageBreak/>
        <w:t>CHAPTER TWO</w:t>
      </w:r>
      <w:bookmarkEnd w:id="38"/>
    </w:p>
    <w:p w14:paraId="377B66C2" w14:textId="77777777" w:rsidR="000D6EEE" w:rsidRPr="00AE0B3D" w:rsidRDefault="00D57B28" w:rsidP="00874C62">
      <w:pPr>
        <w:pStyle w:val="Heading1"/>
        <w:ind w:left="432"/>
        <w:jc w:val="both"/>
        <w:rPr>
          <w:rFonts w:cs="Times New Roman"/>
        </w:rPr>
      </w:pPr>
      <w:bookmarkStart w:id="39" w:name="_Toc78067509"/>
      <w:r w:rsidRPr="00AE0B3D">
        <w:rPr>
          <w:rFonts w:cs="Times New Roman"/>
        </w:rPr>
        <w:t>REVIEW</w:t>
      </w:r>
      <w:r w:rsidR="000D6EEE" w:rsidRPr="00AE0B3D">
        <w:rPr>
          <w:rFonts w:cs="Times New Roman"/>
        </w:rPr>
        <w:t xml:space="preserve"> OF RELATED LITERATURE AND STUDIES</w:t>
      </w:r>
      <w:bookmarkEnd w:id="39"/>
      <w:r w:rsidR="000D6EEE" w:rsidRPr="00AE0B3D">
        <w:rPr>
          <w:rFonts w:cs="Times New Roman"/>
        </w:rPr>
        <w:t xml:space="preserve"> </w:t>
      </w:r>
    </w:p>
    <w:p w14:paraId="1421E364" w14:textId="77777777" w:rsidR="00A60EE8" w:rsidRPr="00AE0B3D" w:rsidRDefault="00A60EE8" w:rsidP="000D6EEE">
      <w:pPr>
        <w:pStyle w:val="Heading2"/>
        <w:rPr>
          <w:rFonts w:cs="Times New Roman"/>
        </w:rPr>
      </w:pPr>
      <w:bookmarkStart w:id="40" w:name="_Toc78067510"/>
      <w:r w:rsidRPr="00AE0B3D">
        <w:rPr>
          <w:rFonts w:cs="Times New Roman"/>
        </w:rPr>
        <w:t>Introduction</w:t>
      </w:r>
      <w:bookmarkEnd w:id="40"/>
    </w:p>
    <w:p w14:paraId="731D2EAB" w14:textId="2903E441" w:rsidR="00562AF4" w:rsidRPr="00AE0B3D" w:rsidRDefault="00083821" w:rsidP="00BB07F8">
      <w:pPr>
        <w:rPr>
          <w:rFonts w:cs="Times New Roman"/>
        </w:rPr>
      </w:pPr>
      <w:r w:rsidRPr="00AE0B3D">
        <w:rPr>
          <w:rFonts w:cs="Times New Roman"/>
        </w:rPr>
        <w:t xml:space="preserve">This chapter present </w:t>
      </w:r>
      <w:r w:rsidRPr="00AE0B3D">
        <w:rPr>
          <w:rFonts w:cs="Times New Roman"/>
          <w:noProof/>
        </w:rPr>
        <w:t>literature</w:t>
      </w:r>
      <w:r w:rsidRPr="00AE0B3D">
        <w:rPr>
          <w:rFonts w:cs="Times New Roman"/>
        </w:rPr>
        <w:t xml:space="preserve"> review </w:t>
      </w:r>
      <w:r w:rsidR="005E7658" w:rsidRPr="00AE0B3D">
        <w:rPr>
          <w:rFonts w:cs="Times New Roman"/>
        </w:rPr>
        <w:t xml:space="preserve">on issues relating to the relationship between </w:t>
      </w:r>
      <w:r w:rsidR="00CE0E93" w:rsidRPr="00AE0B3D">
        <w:rPr>
          <w:rFonts w:cs="Times New Roman"/>
        </w:rPr>
        <w:t xml:space="preserve">management </w:t>
      </w:r>
      <w:r w:rsidR="005E7658" w:rsidRPr="00AE0B3D">
        <w:rPr>
          <w:rFonts w:cs="Times New Roman"/>
        </w:rPr>
        <w:t xml:space="preserve">remuneration and </w:t>
      </w:r>
      <w:r w:rsidR="002F704A" w:rsidRPr="00AE0B3D">
        <w:rPr>
          <w:rFonts w:cs="Times New Roman"/>
        </w:rPr>
        <w:t xml:space="preserve">company’s </w:t>
      </w:r>
      <w:r w:rsidR="00CE0E93" w:rsidRPr="00AE0B3D">
        <w:rPr>
          <w:rFonts w:cs="Times New Roman"/>
        </w:rPr>
        <w:t xml:space="preserve">financial </w:t>
      </w:r>
      <w:r w:rsidR="005E7658" w:rsidRPr="00AE0B3D">
        <w:rPr>
          <w:rFonts w:cs="Times New Roman"/>
        </w:rPr>
        <w:t xml:space="preserve">performance. </w:t>
      </w:r>
      <w:r w:rsidR="00C162CA" w:rsidRPr="00AE0B3D">
        <w:rPr>
          <w:rFonts w:cs="Times New Roman"/>
        </w:rPr>
        <w:t xml:space="preserve">The </w:t>
      </w:r>
      <w:r w:rsidR="0066106B" w:rsidRPr="00AE0B3D">
        <w:rPr>
          <w:rFonts w:cs="Times New Roman"/>
        </w:rPr>
        <w:t>chapter incorporate</w:t>
      </w:r>
      <w:r w:rsidR="00C162CA" w:rsidRPr="00AE0B3D">
        <w:rPr>
          <w:rFonts w:cs="Times New Roman"/>
        </w:rPr>
        <w:t xml:space="preserve"> </w:t>
      </w:r>
      <w:r w:rsidR="006B43AF" w:rsidRPr="00AE0B3D">
        <w:rPr>
          <w:rFonts w:cs="Times New Roman"/>
        </w:rPr>
        <w:t xml:space="preserve">detailed explanation of employee </w:t>
      </w:r>
      <w:r w:rsidR="00B83E24" w:rsidRPr="00AE0B3D">
        <w:rPr>
          <w:rFonts w:cs="Times New Roman"/>
        </w:rPr>
        <w:t>remunerations</w:t>
      </w:r>
      <w:r w:rsidR="006B43AF" w:rsidRPr="00AE0B3D">
        <w:rPr>
          <w:rFonts w:cs="Times New Roman"/>
        </w:rPr>
        <w:t xml:space="preserve">, </w:t>
      </w:r>
      <w:r w:rsidR="00745903" w:rsidRPr="00AE0B3D">
        <w:rPr>
          <w:rFonts w:cs="Times New Roman"/>
        </w:rPr>
        <w:t xml:space="preserve">financial performance and the strategies that have been adopted in </w:t>
      </w:r>
      <w:r w:rsidR="0041206F" w:rsidRPr="00AE0B3D">
        <w:rPr>
          <w:rFonts w:cs="Times New Roman"/>
        </w:rPr>
        <w:t xml:space="preserve">the different forms of </w:t>
      </w:r>
      <w:r w:rsidR="00CE0E93" w:rsidRPr="00AE0B3D">
        <w:rPr>
          <w:rFonts w:cs="Times New Roman"/>
        </w:rPr>
        <w:t xml:space="preserve">management </w:t>
      </w:r>
      <w:r w:rsidR="00B83E24" w:rsidRPr="00AE0B3D">
        <w:rPr>
          <w:rFonts w:cs="Times New Roman"/>
        </w:rPr>
        <w:t>remunerations</w:t>
      </w:r>
      <w:r w:rsidR="0041206F" w:rsidRPr="00AE0B3D">
        <w:rPr>
          <w:rFonts w:cs="Times New Roman"/>
        </w:rPr>
        <w:t xml:space="preserve">. </w:t>
      </w:r>
      <w:r w:rsidR="00562AF4" w:rsidRPr="00AE0B3D">
        <w:rPr>
          <w:rFonts w:cs="Times New Roman"/>
        </w:rPr>
        <w:t xml:space="preserve">The last part </w:t>
      </w:r>
      <w:r w:rsidR="006645E9" w:rsidRPr="00AE0B3D">
        <w:rPr>
          <w:rFonts w:cs="Times New Roman"/>
        </w:rPr>
        <w:t>identifies</w:t>
      </w:r>
      <w:r w:rsidR="00562AF4" w:rsidRPr="00AE0B3D">
        <w:rPr>
          <w:rFonts w:cs="Times New Roman"/>
        </w:rPr>
        <w:t xml:space="preserve"> the existing research gaps that were identified through the </w:t>
      </w:r>
      <w:r w:rsidR="006E58FF" w:rsidRPr="00AE0B3D">
        <w:rPr>
          <w:rFonts w:cs="Times New Roman"/>
        </w:rPr>
        <w:t xml:space="preserve">literature review some of which </w:t>
      </w:r>
      <w:r w:rsidR="007639D3">
        <w:rPr>
          <w:rFonts w:cs="Times New Roman"/>
        </w:rPr>
        <w:t>were</w:t>
      </w:r>
      <w:r w:rsidR="006E58FF" w:rsidRPr="00AE0B3D">
        <w:rPr>
          <w:rFonts w:cs="Times New Roman"/>
        </w:rPr>
        <w:t xml:space="preserve"> answered in this research. </w:t>
      </w:r>
    </w:p>
    <w:p w14:paraId="48E9ADBB" w14:textId="2ED544E1" w:rsidR="00FF4EA9" w:rsidRPr="00AE0B3D" w:rsidRDefault="00CE0E93" w:rsidP="004D125A">
      <w:pPr>
        <w:pStyle w:val="Heading2"/>
      </w:pPr>
      <w:bookmarkStart w:id="41" w:name="_Toc78067511"/>
      <w:r w:rsidRPr="00AE0B3D">
        <w:t xml:space="preserve">Management </w:t>
      </w:r>
      <w:r w:rsidR="004D125A" w:rsidRPr="00AE0B3D">
        <w:t>Remu</w:t>
      </w:r>
      <w:r w:rsidR="00313B26" w:rsidRPr="00AE0B3D">
        <w:t>ne</w:t>
      </w:r>
      <w:r w:rsidR="004D125A" w:rsidRPr="00AE0B3D">
        <w:t>ration strategies</w:t>
      </w:r>
      <w:bookmarkEnd w:id="41"/>
    </w:p>
    <w:p w14:paraId="49D2D1C3" w14:textId="220D9C13" w:rsidR="002B6FF3" w:rsidRDefault="00AD1E9E" w:rsidP="00BD7F46">
      <w:pPr>
        <w:rPr>
          <w:rFonts w:cs="Times New Roman"/>
          <w:noProof/>
        </w:rPr>
        <w:sectPr w:rsidR="002B6FF3" w:rsidSect="00B80C5A">
          <w:pgSz w:w="12240" w:h="15840"/>
          <w:pgMar w:top="2160" w:right="1440" w:bottom="1440" w:left="2160" w:header="720" w:footer="720" w:gutter="0"/>
          <w:cols w:space="720"/>
          <w:docGrid w:linePitch="360"/>
        </w:sectPr>
      </w:pPr>
      <w:r w:rsidRPr="00AE0B3D">
        <w:rPr>
          <w:rFonts w:cs="Times New Roman"/>
        </w:rPr>
        <w:t xml:space="preserve">Remuneration </w:t>
      </w:r>
      <w:r w:rsidR="006F0F09" w:rsidRPr="00AE0B3D">
        <w:rPr>
          <w:rFonts w:cs="Times New Roman"/>
        </w:rPr>
        <w:t xml:space="preserve">describes the manner in which the </w:t>
      </w:r>
      <w:r w:rsidR="00714DE2" w:rsidRPr="00AE0B3D">
        <w:rPr>
          <w:rFonts w:cs="Times New Roman"/>
        </w:rPr>
        <w:t xml:space="preserve">employee </w:t>
      </w:r>
      <w:r w:rsidR="006F0F09" w:rsidRPr="00AE0B3D">
        <w:rPr>
          <w:rFonts w:cs="Times New Roman"/>
        </w:rPr>
        <w:t>is rewarded for the contribution undertaken at the work place</w:t>
      </w:r>
      <w:r w:rsidR="007160AC" w:rsidRPr="00AE0B3D">
        <w:rPr>
          <w:rFonts w:cs="Times New Roman"/>
        </w:rPr>
        <w:t xml:space="preserve"> </w:t>
      </w:r>
      <w:r w:rsidR="007160AC" w:rsidRPr="00AE0B3D">
        <w:rPr>
          <w:rFonts w:cs="Times New Roman"/>
        </w:rPr>
        <w:fldChar w:fldCharType="begin" w:fldLock="1"/>
      </w:r>
      <w:r w:rsidR="000D136F" w:rsidRPr="00AE0B3D">
        <w:rPr>
          <w:rFonts w:cs="Times New Roman"/>
        </w:rPr>
        <w:instrText>ADDIN CSL_CITATION {"citationItems":[{"id":"ITEM-1","itemData":{"DOI":"10.1002/9781119208235.ch12","author":[{"dropping-particle":"","family":"Kessler","given":"Ian","non-dropping-particle":"","parse-names":false,"suffix":""}],"container-title":"Managing Human Resources","id":"ITEM-1","issued":{"date-parts":[["2015","9","12"]]},"page":"243-267","publisher":"John Wiley &amp; Sons, Inc.","publisher-place":"Hoboken, NJ, USA","title":"Remuneration Systems","type":"chapter"},"uris":["http://www.mendeley.com/documents/?uuid=4edea0fc-5c2e-3573-ab85-a53c8633e000"]}],"mendeley":{"formattedCitation":"(Kessler, 2015)","plainTextFormattedCitation":"(Kessler, 2015)","previouslyFormattedCitation":"(Kessler, 2015)"},"properties":{"noteIndex":0},"schema":"https://github.com/citation-style-language/schema/raw/master/csl-citation.json"}</w:instrText>
      </w:r>
      <w:r w:rsidR="007160AC" w:rsidRPr="00AE0B3D">
        <w:rPr>
          <w:rFonts w:cs="Times New Roman"/>
        </w:rPr>
        <w:fldChar w:fldCharType="separate"/>
      </w:r>
      <w:r w:rsidR="007160AC" w:rsidRPr="00AE0B3D">
        <w:rPr>
          <w:rFonts w:cs="Times New Roman"/>
          <w:noProof/>
        </w:rPr>
        <w:t>(Kessler, 2015)</w:t>
      </w:r>
      <w:r w:rsidR="007160AC" w:rsidRPr="00AE0B3D">
        <w:rPr>
          <w:rFonts w:cs="Times New Roman"/>
        </w:rPr>
        <w:fldChar w:fldCharType="end"/>
      </w:r>
      <w:r w:rsidR="006F0F09" w:rsidRPr="00AE0B3D">
        <w:rPr>
          <w:rFonts w:cs="Times New Roman"/>
        </w:rPr>
        <w:t xml:space="preserve">. </w:t>
      </w:r>
      <w:r w:rsidR="000B03F4" w:rsidRPr="00AE0B3D">
        <w:rPr>
          <w:rFonts w:cs="Times New Roman"/>
        </w:rPr>
        <w:t xml:space="preserve">All the contribution of the employee to the </w:t>
      </w:r>
      <w:r w:rsidR="007A2C43" w:rsidRPr="00AE0B3D">
        <w:rPr>
          <w:rFonts w:cs="Times New Roman"/>
        </w:rPr>
        <w:t xml:space="preserve">company </w:t>
      </w:r>
      <w:r w:rsidR="000B03F4" w:rsidRPr="00AE0B3D">
        <w:rPr>
          <w:rFonts w:cs="Times New Roman"/>
        </w:rPr>
        <w:t xml:space="preserve">is exchanged with remuneration. Remuneration can be </w:t>
      </w:r>
      <w:r w:rsidR="000B03F4" w:rsidRPr="00AE0B3D">
        <w:rPr>
          <w:rFonts w:cs="Times New Roman"/>
          <w:noProof/>
        </w:rPr>
        <w:t>extrinsic</w:t>
      </w:r>
      <w:r w:rsidR="000B03F4" w:rsidRPr="00AE0B3D">
        <w:rPr>
          <w:rFonts w:cs="Times New Roman"/>
        </w:rPr>
        <w:t xml:space="preserve"> or intrinsic </w:t>
      </w:r>
      <w:r w:rsidR="001A68F9" w:rsidRPr="00AE0B3D">
        <w:rPr>
          <w:rFonts w:cs="Times New Roman"/>
        </w:rPr>
        <w:t>reward</w:t>
      </w:r>
      <w:r w:rsidR="000B03F4" w:rsidRPr="00AE0B3D">
        <w:rPr>
          <w:rFonts w:cs="Times New Roman"/>
        </w:rPr>
        <w:t xml:space="preserve">. </w:t>
      </w:r>
      <w:r w:rsidR="001A68F9" w:rsidRPr="00AE0B3D">
        <w:rPr>
          <w:rFonts w:cs="Times New Roman"/>
        </w:rPr>
        <w:t>E</w:t>
      </w:r>
      <w:r w:rsidR="00A55CF9" w:rsidRPr="00AE0B3D">
        <w:rPr>
          <w:rFonts w:cs="Times New Roman"/>
        </w:rPr>
        <w:t>xtri</w:t>
      </w:r>
      <w:r w:rsidR="001A68F9" w:rsidRPr="00AE0B3D">
        <w:rPr>
          <w:rFonts w:cs="Times New Roman"/>
        </w:rPr>
        <w:t>nsic refers to the tangible non-monetary and monetary reward that an employee received for work done. The intrinsic rew</w:t>
      </w:r>
      <w:r w:rsidR="006D3611" w:rsidRPr="00AE0B3D">
        <w:rPr>
          <w:rFonts w:cs="Times New Roman"/>
        </w:rPr>
        <w:t>a</w:t>
      </w:r>
      <w:r w:rsidR="001A68F9" w:rsidRPr="00AE0B3D">
        <w:rPr>
          <w:rFonts w:cs="Times New Roman"/>
        </w:rPr>
        <w:t xml:space="preserve">rd refers to the </w:t>
      </w:r>
      <w:r w:rsidR="00767F17" w:rsidRPr="00AE0B3D">
        <w:rPr>
          <w:rFonts w:cs="Times New Roman"/>
        </w:rPr>
        <w:t xml:space="preserve">personal value generated from working such as </w:t>
      </w:r>
      <w:r w:rsidR="002B14F5" w:rsidRPr="00AE0B3D">
        <w:rPr>
          <w:rFonts w:cs="Times New Roman"/>
        </w:rPr>
        <w:t>fulfilment</w:t>
      </w:r>
      <w:r w:rsidR="00767F17" w:rsidRPr="00AE0B3D">
        <w:rPr>
          <w:rFonts w:cs="Times New Roman"/>
        </w:rPr>
        <w:t xml:space="preserve">, experience, </w:t>
      </w:r>
      <w:r w:rsidR="00AC6EB8" w:rsidRPr="00AE0B3D">
        <w:rPr>
          <w:rFonts w:cs="Times New Roman"/>
        </w:rPr>
        <w:t>self-esteem</w:t>
      </w:r>
      <w:r w:rsidR="00767F17" w:rsidRPr="00AE0B3D">
        <w:rPr>
          <w:rFonts w:cs="Times New Roman"/>
        </w:rPr>
        <w:t xml:space="preserve"> among others</w:t>
      </w:r>
      <w:r w:rsidR="000D136F" w:rsidRPr="00AE0B3D">
        <w:rPr>
          <w:rFonts w:cs="Times New Roman"/>
        </w:rPr>
        <w:t xml:space="preserve"> </w:t>
      </w:r>
      <w:r w:rsidR="000D136F" w:rsidRPr="00AE0B3D">
        <w:rPr>
          <w:rFonts w:cs="Times New Roman"/>
        </w:rPr>
        <w:fldChar w:fldCharType="begin" w:fldLock="1"/>
      </w:r>
      <w:r w:rsidR="00691077" w:rsidRPr="00AE0B3D">
        <w:rPr>
          <w:rFonts w:cs="Times New Roman"/>
        </w:rPr>
        <w:instrText>ADDIN CSL_CITATION {"citationItems":[{"id":"ITEM-1","itemData":{"DOI":"10.1002/9781119208235.ch12","author":[{"dropping-particle":"","family":"Kessler","given":"Ian","non-dropping-particle":"","parse-names":false,"suffix":""}],"container-title":"Managing Human Resources","id":"ITEM-1","issued":{"date-parts":[["2015","9","12"]]},"page":"243-267","publisher":"John Wiley &amp; Sons, Inc.","publisher-place":"Hoboken, NJ, USA","title":"Remuneration Systems","type":"chapter"},"uris":["http://www.mendeley.com/documents/?uuid=4edea0fc-5c2e-3573-ab85-a53c8633e000"]}],"mendeley":{"formattedCitation":"(Kessler, 2015)","plainTextFormattedCitation":"(Kessler, 2015)","previouslyFormattedCitation":"(Kessler, 2015)"},"properties":{"noteIndex":0},"schema":"https://github.com/citation-style-language/schema/raw/master/csl-citation.json"}</w:instrText>
      </w:r>
      <w:r w:rsidR="000D136F" w:rsidRPr="00AE0B3D">
        <w:rPr>
          <w:rFonts w:cs="Times New Roman"/>
        </w:rPr>
        <w:fldChar w:fldCharType="separate"/>
      </w:r>
      <w:r w:rsidR="000D136F" w:rsidRPr="00AE0B3D">
        <w:rPr>
          <w:rFonts w:cs="Times New Roman"/>
          <w:noProof/>
        </w:rPr>
        <w:t>(Kessler, 2015)</w:t>
      </w:r>
      <w:r w:rsidR="000D136F" w:rsidRPr="00AE0B3D">
        <w:rPr>
          <w:rFonts w:cs="Times New Roman"/>
        </w:rPr>
        <w:fldChar w:fldCharType="end"/>
      </w:r>
      <w:r w:rsidR="00767F17" w:rsidRPr="00AE0B3D">
        <w:rPr>
          <w:rFonts w:cs="Times New Roman"/>
        </w:rPr>
        <w:t xml:space="preserve">. </w:t>
      </w:r>
      <w:r w:rsidR="0056441E" w:rsidRPr="00AE0B3D">
        <w:rPr>
          <w:rFonts w:cs="Times New Roman"/>
        </w:rPr>
        <w:t>The means by which organization</w:t>
      </w:r>
      <w:r w:rsidR="00C85C38" w:rsidRPr="00AE0B3D">
        <w:rPr>
          <w:rFonts w:cs="Times New Roman"/>
        </w:rPr>
        <w:t>s</w:t>
      </w:r>
      <w:r w:rsidR="0056441E" w:rsidRPr="00AE0B3D">
        <w:rPr>
          <w:rFonts w:cs="Times New Roman"/>
        </w:rPr>
        <w:t xml:space="preserve"> are required to arrive at effort-</w:t>
      </w:r>
      <w:r w:rsidR="00C85C38" w:rsidRPr="00AE0B3D">
        <w:rPr>
          <w:rFonts w:cs="Times New Roman"/>
        </w:rPr>
        <w:t xml:space="preserve">remuneration balance have been a </w:t>
      </w:r>
      <w:r w:rsidR="00C85C38" w:rsidRPr="00AE0B3D">
        <w:rPr>
          <w:rFonts w:cs="Times New Roman"/>
          <w:noProof/>
        </w:rPr>
        <w:t>point</w:t>
      </w:r>
      <w:r w:rsidR="0087121D" w:rsidRPr="00AE0B3D">
        <w:rPr>
          <w:rFonts w:cs="Times New Roman"/>
          <w:noProof/>
        </w:rPr>
        <w:t xml:space="preserve"> of</w:t>
      </w:r>
      <w:r w:rsidR="00C85C38" w:rsidRPr="00AE0B3D">
        <w:rPr>
          <w:rFonts w:cs="Times New Roman"/>
        </w:rPr>
        <w:t xml:space="preserve"> contention and have attracted </w:t>
      </w:r>
      <w:r w:rsidR="0087121D" w:rsidRPr="00AE0B3D">
        <w:rPr>
          <w:rFonts w:cs="Times New Roman"/>
        </w:rPr>
        <w:t xml:space="preserve">the </w:t>
      </w:r>
      <w:r w:rsidR="00C85C38" w:rsidRPr="00AE0B3D">
        <w:rPr>
          <w:rFonts w:cs="Times New Roman"/>
          <w:noProof/>
        </w:rPr>
        <w:t>interest</w:t>
      </w:r>
      <w:r w:rsidR="00C85C38" w:rsidRPr="00AE0B3D">
        <w:rPr>
          <w:rFonts w:cs="Times New Roman"/>
        </w:rPr>
        <w:t xml:space="preserve"> of researchers. Research on </w:t>
      </w:r>
      <w:r w:rsidR="00C85C38" w:rsidRPr="00AE0B3D">
        <w:rPr>
          <w:rFonts w:cs="Times New Roman"/>
          <w:noProof/>
        </w:rPr>
        <w:t>remuneration</w:t>
      </w:r>
      <w:r w:rsidR="00C85C38" w:rsidRPr="00AE0B3D">
        <w:rPr>
          <w:rFonts w:cs="Times New Roman"/>
        </w:rPr>
        <w:t xml:space="preserve"> system </w:t>
      </w:r>
      <w:r w:rsidR="00C85C38" w:rsidRPr="00AE0B3D">
        <w:rPr>
          <w:rFonts w:cs="Times New Roman"/>
          <w:noProof/>
        </w:rPr>
        <w:t>ha</w:t>
      </w:r>
      <w:r w:rsidR="0087121D" w:rsidRPr="00AE0B3D">
        <w:rPr>
          <w:rFonts w:cs="Times New Roman"/>
          <w:noProof/>
        </w:rPr>
        <w:t>s</w:t>
      </w:r>
      <w:r w:rsidR="00C85C38" w:rsidRPr="00AE0B3D">
        <w:rPr>
          <w:rFonts w:cs="Times New Roman"/>
        </w:rPr>
        <w:t xml:space="preserve"> focused on two broad </w:t>
      </w:r>
      <w:r w:rsidR="00AC2D10" w:rsidRPr="00AE0B3D">
        <w:rPr>
          <w:rFonts w:cs="Times New Roman"/>
        </w:rPr>
        <w:t>areas, remuneration</w:t>
      </w:r>
      <w:r w:rsidR="008B03E6" w:rsidRPr="00AE0B3D">
        <w:rPr>
          <w:rFonts w:cs="Times New Roman"/>
        </w:rPr>
        <w:t xml:space="preserve"> based on performance and based on time. </w:t>
      </w:r>
      <w:r w:rsidR="004D2310" w:rsidRPr="00AE0B3D">
        <w:rPr>
          <w:rFonts w:cs="Times New Roman"/>
        </w:rPr>
        <w:t>Strategic</w:t>
      </w:r>
      <w:r w:rsidR="00FE37F7" w:rsidRPr="00AE0B3D">
        <w:rPr>
          <w:rFonts w:cs="Times New Roman"/>
        </w:rPr>
        <w:t xml:space="preserve"> human resource management </w:t>
      </w:r>
      <w:r w:rsidR="00FE37F7" w:rsidRPr="00AE0B3D">
        <w:rPr>
          <w:rFonts w:cs="Times New Roman"/>
          <w:noProof/>
        </w:rPr>
        <w:t>aim</w:t>
      </w:r>
      <w:r w:rsidR="0087121D" w:rsidRPr="00AE0B3D">
        <w:rPr>
          <w:rFonts w:cs="Times New Roman"/>
          <w:noProof/>
        </w:rPr>
        <w:t>s</w:t>
      </w:r>
      <w:r w:rsidR="00FE37F7" w:rsidRPr="00AE0B3D">
        <w:rPr>
          <w:rFonts w:cs="Times New Roman"/>
        </w:rPr>
        <w:t xml:space="preserve"> to link the </w:t>
      </w:r>
    </w:p>
    <w:p w14:paraId="47BABE8B" w14:textId="78F75726" w:rsidR="00CC13BD" w:rsidRPr="00AE0B3D" w:rsidRDefault="00FE37F7" w:rsidP="00142F12">
      <w:pPr>
        <w:ind w:firstLine="0"/>
        <w:rPr>
          <w:rFonts w:cs="Times New Roman"/>
        </w:rPr>
      </w:pPr>
      <w:r w:rsidRPr="00AE0B3D">
        <w:rPr>
          <w:rFonts w:cs="Times New Roman"/>
        </w:rPr>
        <w:lastRenderedPageBreak/>
        <w:t xml:space="preserve">payment strategies to business model to facilitate </w:t>
      </w:r>
      <w:r w:rsidR="0087121D" w:rsidRPr="00AE0B3D">
        <w:rPr>
          <w:rFonts w:cs="Times New Roman"/>
        </w:rPr>
        <w:t xml:space="preserve">the </w:t>
      </w:r>
      <w:r w:rsidRPr="00AE0B3D">
        <w:rPr>
          <w:rFonts w:cs="Times New Roman"/>
          <w:noProof/>
        </w:rPr>
        <w:t>use</w:t>
      </w:r>
      <w:r w:rsidRPr="00AE0B3D">
        <w:rPr>
          <w:rFonts w:cs="Times New Roman"/>
        </w:rPr>
        <w:t xml:space="preserve"> of payment in improving the performance of the business</w:t>
      </w:r>
      <w:r w:rsidR="00691077" w:rsidRPr="00AE0B3D">
        <w:rPr>
          <w:rFonts w:cs="Times New Roman"/>
        </w:rPr>
        <w:t xml:space="preserve"> </w:t>
      </w:r>
      <w:r w:rsidR="00691077" w:rsidRPr="00AE0B3D">
        <w:rPr>
          <w:rFonts w:cs="Times New Roman"/>
        </w:rPr>
        <w:fldChar w:fldCharType="begin" w:fldLock="1"/>
      </w:r>
      <w:r w:rsidR="0063138C" w:rsidRPr="00AE0B3D">
        <w:rPr>
          <w:rFonts w:cs="Times New Roman"/>
        </w:rPr>
        <w:instrText>ADDIN CSL_CITATION {"citationItems":[{"id":"ITEM-1","itemData":{"DOI":"10.1002/9781119208235.ch12","author":[{"dropping-particle":"","family":"Kessler","given":"Ian","non-dropping-particle":"","parse-names":false,"suffix":""}],"container-title":"Managing Human Resources","id":"ITEM-1","issued":{"date-parts":[["2015","9","12"]]},"page":"243-267","publisher":"John Wiley &amp; Sons, Inc.","publisher-place":"Hoboken, NJ, USA","title":"Remuneration Systems","type":"chapter"},"uris":["http://www.mendeley.com/documents/?uuid=4edea0fc-5c2e-3573-ab85-a53c8633e000"]}],"mendeley":{"formattedCitation":"(Kessler, 2015)","plainTextFormattedCitation":"(Kessler, 2015)","previouslyFormattedCitation":"(Kessler, 2015)"},"properties":{"noteIndex":0},"schema":"https://github.com/citation-style-language/schema/raw/master/csl-citation.json"}</w:instrText>
      </w:r>
      <w:r w:rsidR="00691077" w:rsidRPr="00AE0B3D">
        <w:rPr>
          <w:rFonts w:cs="Times New Roman"/>
        </w:rPr>
        <w:fldChar w:fldCharType="separate"/>
      </w:r>
      <w:r w:rsidR="00691077" w:rsidRPr="00AE0B3D">
        <w:rPr>
          <w:rFonts w:cs="Times New Roman"/>
          <w:noProof/>
        </w:rPr>
        <w:t>(Kessler, 2015)</w:t>
      </w:r>
      <w:r w:rsidR="00691077" w:rsidRPr="00AE0B3D">
        <w:rPr>
          <w:rFonts w:cs="Times New Roman"/>
        </w:rPr>
        <w:fldChar w:fldCharType="end"/>
      </w:r>
      <w:r w:rsidRPr="00AE0B3D">
        <w:rPr>
          <w:rFonts w:cs="Times New Roman"/>
        </w:rPr>
        <w:t>.</w:t>
      </w:r>
      <w:r w:rsidR="0001212E" w:rsidRPr="00AE0B3D">
        <w:rPr>
          <w:rFonts w:cs="Times New Roman"/>
        </w:rPr>
        <w:t xml:space="preserve"> The move has </w:t>
      </w:r>
      <w:r w:rsidR="00AA7340" w:rsidRPr="00AE0B3D">
        <w:rPr>
          <w:rFonts w:cs="Times New Roman"/>
        </w:rPr>
        <w:t>broadened</w:t>
      </w:r>
      <w:r w:rsidR="0001212E" w:rsidRPr="00AE0B3D">
        <w:rPr>
          <w:rFonts w:cs="Times New Roman"/>
        </w:rPr>
        <w:t xml:space="preserve"> remuneration scope of employees to incorporate non-monetary value. The </w:t>
      </w:r>
      <w:r w:rsidR="00AA7340" w:rsidRPr="00AE0B3D">
        <w:rPr>
          <w:rFonts w:cs="Times New Roman"/>
        </w:rPr>
        <w:t xml:space="preserve">organization remuneration is detailed in the company’s policies and regulations. </w:t>
      </w:r>
      <w:r w:rsidR="00255C14" w:rsidRPr="00AE0B3D">
        <w:rPr>
          <w:rFonts w:cs="Times New Roman"/>
        </w:rPr>
        <w:t xml:space="preserve">The effectiveness of the remuneration system is crucial </w:t>
      </w:r>
      <w:r w:rsidR="00E96CBC" w:rsidRPr="00AE0B3D">
        <w:rPr>
          <w:rFonts w:cs="Times New Roman"/>
        </w:rPr>
        <w:t xml:space="preserve">for the </w:t>
      </w:r>
      <w:r w:rsidR="0063138C" w:rsidRPr="00AE0B3D">
        <w:rPr>
          <w:rFonts w:cs="Times New Roman"/>
        </w:rPr>
        <w:t>maximizing</w:t>
      </w:r>
      <w:r w:rsidR="00E96CBC" w:rsidRPr="00AE0B3D">
        <w:rPr>
          <w:rFonts w:cs="Times New Roman"/>
        </w:rPr>
        <w:t xml:space="preserve"> </w:t>
      </w:r>
      <w:r w:rsidR="00416BD2" w:rsidRPr="00AE0B3D">
        <w:rPr>
          <w:rFonts w:cs="Times New Roman"/>
        </w:rPr>
        <w:t xml:space="preserve">of </w:t>
      </w:r>
      <w:r w:rsidR="00E96CBC" w:rsidRPr="00AE0B3D">
        <w:rPr>
          <w:rFonts w:cs="Times New Roman"/>
        </w:rPr>
        <w:t xml:space="preserve">its benefits </w:t>
      </w:r>
      <w:r w:rsidR="0063138C" w:rsidRPr="00AE0B3D">
        <w:rPr>
          <w:rFonts w:cs="Times New Roman"/>
        </w:rPr>
        <w:t>in the organisation. E</w:t>
      </w:r>
      <w:r w:rsidR="003E726D" w:rsidRPr="00AE0B3D">
        <w:rPr>
          <w:rFonts w:cs="Times New Roman"/>
        </w:rPr>
        <w:t xml:space="preserve">ffective </w:t>
      </w:r>
      <w:r w:rsidR="00E555A0" w:rsidRPr="00AE0B3D">
        <w:rPr>
          <w:rFonts w:cs="Times New Roman"/>
        </w:rPr>
        <w:t>remuneration</w:t>
      </w:r>
      <w:r w:rsidR="003E726D" w:rsidRPr="00AE0B3D">
        <w:rPr>
          <w:rFonts w:cs="Times New Roman"/>
        </w:rPr>
        <w:t xml:space="preserve"> system is one </w:t>
      </w:r>
      <w:r w:rsidR="00416BD2" w:rsidRPr="00AE0B3D">
        <w:rPr>
          <w:rFonts w:cs="Times New Roman"/>
        </w:rPr>
        <w:t>where</w:t>
      </w:r>
      <w:r w:rsidR="003E726D" w:rsidRPr="00AE0B3D">
        <w:rPr>
          <w:rFonts w:cs="Times New Roman"/>
        </w:rPr>
        <w:t xml:space="preserve"> there is </w:t>
      </w:r>
      <w:r w:rsidR="008679B1" w:rsidRPr="00AE0B3D">
        <w:rPr>
          <w:rFonts w:cs="Times New Roman"/>
        </w:rPr>
        <w:t>a direct</w:t>
      </w:r>
      <w:r w:rsidR="00E555A0" w:rsidRPr="00AE0B3D">
        <w:rPr>
          <w:rFonts w:cs="Times New Roman"/>
        </w:rPr>
        <w:t xml:space="preserve"> relationship between reward and employee effort. </w:t>
      </w:r>
      <w:r w:rsidR="0059190F" w:rsidRPr="00AE0B3D">
        <w:rPr>
          <w:rFonts w:cs="Times New Roman"/>
        </w:rPr>
        <w:t>Pa</w:t>
      </w:r>
      <w:r w:rsidR="008679B1" w:rsidRPr="00AE0B3D">
        <w:rPr>
          <w:rFonts w:cs="Times New Roman"/>
        </w:rPr>
        <w:t xml:space="preserve">y for performance thus can be </w:t>
      </w:r>
      <w:r w:rsidR="00EB4E48" w:rsidRPr="00AE0B3D">
        <w:rPr>
          <w:rFonts w:cs="Times New Roman"/>
        </w:rPr>
        <w:t>an</w:t>
      </w:r>
      <w:r w:rsidR="008679B1" w:rsidRPr="00AE0B3D">
        <w:rPr>
          <w:rFonts w:cs="Times New Roman"/>
        </w:rPr>
        <w:t xml:space="preserve"> efficient system of rewarding the employees for their contribution to the organization</w:t>
      </w:r>
      <w:r w:rsidR="005B56E6" w:rsidRPr="00AE0B3D">
        <w:rPr>
          <w:rFonts w:cs="Times New Roman"/>
        </w:rPr>
        <w:t xml:space="preserve"> </w:t>
      </w:r>
      <w:r w:rsidR="0063138C" w:rsidRPr="00AE0B3D">
        <w:rPr>
          <w:rFonts w:cs="Times New Roman"/>
        </w:rPr>
        <w:fldChar w:fldCharType="begin" w:fldLock="1"/>
      </w:r>
      <w:r w:rsidR="007053FB" w:rsidRPr="00AE0B3D">
        <w:rPr>
          <w:rFonts w:cs="Times New Roman"/>
        </w:rPr>
        <w:instrText>ADDIN CSL_CITATION {"citationItems":[{"id":"ITEM-1","itemData":{"ISBN":"9789551507305","author":[{"dropping-particle":"","family":"Edirisooriya","given":"Waruni Ayesha","non-dropping-particle":"","parse-names":false,"suffix":""}],"container-title":"Proceedings of the 3rd International Conference on Management and Economics","id":"ITEM-1","issue":"February","issued":{"date-parts":[["2014"]]},"page":"311-318","title":"Impact of Rewards on Employee Performance (ElectriCo.)","type":"paper-conference"},"uris":["http://www.mendeley.com/documents/?uuid=10a9f87c-ac41-419d-8f9c-1411e0c33a78"]}],"mendeley":{"formattedCitation":"(Edirisooriya, 2014)","plainTextFormattedCitation":"(Edirisooriya, 2014)","previouslyFormattedCitation":"(Edirisooriya, 2014)"},"properties":{"noteIndex":0},"schema":"https://github.com/citation-style-language/schema/raw/master/csl-citation.json"}</w:instrText>
      </w:r>
      <w:r w:rsidR="0063138C" w:rsidRPr="00AE0B3D">
        <w:rPr>
          <w:rFonts w:cs="Times New Roman"/>
        </w:rPr>
        <w:fldChar w:fldCharType="separate"/>
      </w:r>
      <w:r w:rsidR="0063138C" w:rsidRPr="00AE0B3D">
        <w:rPr>
          <w:rFonts w:cs="Times New Roman"/>
          <w:noProof/>
        </w:rPr>
        <w:t>(Edirisooriya, 2014)</w:t>
      </w:r>
      <w:r w:rsidR="0063138C" w:rsidRPr="00AE0B3D">
        <w:rPr>
          <w:rFonts w:cs="Times New Roman"/>
        </w:rPr>
        <w:fldChar w:fldCharType="end"/>
      </w:r>
      <w:r w:rsidR="003C31EC" w:rsidRPr="00AE0B3D">
        <w:rPr>
          <w:rFonts w:cs="Times New Roman"/>
        </w:rPr>
        <w:t xml:space="preserve">. </w:t>
      </w:r>
      <w:r w:rsidR="00CC3EE7">
        <w:rPr>
          <w:rFonts w:cs="Times New Roman"/>
        </w:rPr>
        <w:t xml:space="preserve">The conclusion of the research is limited to </w:t>
      </w:r>
      <w:r w:rsidR="00CC3EE7" w:rsidRPr="00CC3EE7">
        <w:rPr>
          <w:rFonts w:cs="Times New Roman"/>
        </w:rPr>
        <w:t>Sri Lanka</w:t>
      </w:r>
      <w:r w:rsidR="00CC3EE7">
        <w:rPr>
          <w:rFonts w:cs="Times New Roman"/>
        </w:rPr>
        <w:t xml:space="preserve"> and to only one </w:t>
      </w:r>
      <w:r w:rsidR="0034597C">
        <w:rPr>
          <w:rFonts w:cs="Times New Roman"/>
        </w:rPr>
        <w:t>company that</w:t>
      </w:r>
      <w:r w:rsidR="00CC3EE7">
        <w:rPr>
          <w:rFonts w:cs="Times New Roman"/>
        </w:rPr>
        <w:t xml:space="preserve"> is </w:t>
      </w:r>
      <w:proofErr w:type="spellStart"/>
      <w:r w:rsidR="00CC3EE7" w:rsidRPr="00CC3EE7">
        <w:rPr>
          <w:rFonts w:cs="Times New Roman"/>
        </w:rPr>
        <w:t>ElectriCo</w:t>
      </w:r>
      <w:proofErr w:type="spellEnd"/>
      <w:r w:rsidR="00CC3EE7">
        <w:rPr>
          <w:rFonts w:cs="Times New Roman"/>
        </w:rPr>
        <w:t xml:space="preserve">. </w:t>
      </w:r>
    </w:p>
    <w:p w14:paraId="0C36BC91" w14:textId="1296C0B3" w:rsidR="002B2071" w:rsidRPr="00AE0B3D" w:rsidRDefault="000B3CB0" w:rsidP="00600B0D">
      <w:r w:rsidRPr="00AE0B3D">
        <w:rPr>
          <w:noProof/>
        </w:rPr>
        <w:t>Bernsten et al.</w:t>
      </w:r>
      <w:r w:rsidR="007053FB" w:rsidRPr="00AE0B3D">
        <w:t xml:space="preserve"> </w:t>
      </w:r>
      <w:r w:rsidR="007053FB" w:rsidRPr="00AE0B3D">
        <w:fldChar w:fldCharType="begin" w:fldLock="1"/>
      </w:r>
      <w:r w:rsidR="00955099">
        <w:instrText>ADDIN CSL_CITATION {"citationItems":[{"id":"ITEM-1","itemData":{"DOI":"10.1016/j.healthpol.2009.11.008","ISSN":"01688510","abstract":"Objectives: Pharmacists provide a wide range of professional services to support the appropriate use of medicines by patients. This study aims to conduct an international, comparative analysis of remuneration models for pharmaceutical professional services. Methods: Information about remuneration models was derived from a literature review and a semi-structured questionnaire completed by experts. Results: Remuneration models differ in the way that pharmacists are paid for professional services beyond dispensing medicines. Also, the scope of services that are remunerated varies. The majority of countries regulate remuneration for services only when the medicine is paid for under the reimbursement scheme. Remuneration of services implies a commitment to assure their quality in some countries. Collaborative practice models have been set up where pharmacists work together with other health care professionals to deliver diagnosis-specific services or services based on the patient's use of medicines. The remuneration of services is influenced by the value of services, budgetary constraints, the payer perspective, and the attitude of physicians, pharmacists and patients. Conclusions: Professional organisations need to formulate a clear strategy for developing and gaining remuneration for pharmaceutical professional services. This implies that pharmacists not only demonstrate the value of services, but also assure their quality. © 2009 Elsevier Ireland Ltd. All rights reserved.","author":[{"dropping-particle":"","family":"Bernsten","given":"Cecilia","non-dropping-particle":"","parse-names":false,"suffix":""},{"dropping-particle":"","family":"Andersson","given":"Karolina","non-dropping-particle":"","parse-names":false,"suffix":""},{"dropping-particle":"","family":"Gariepy","given":"Yves","non-dropping-particle":"","parse-names":false,"suffix":""},{"dropping-particle":"","family":"Simoens","given":"Steven","non-dropping-particle":"","parse-names":false,"suffix":""}],"container-title":"Health Policy","id":"ITEM-1","issue":"1","issued":{"date-parts":[["2010"]]},"page":"1-9","publisher":"Elsevier Ireland Ltd","title":"A comparative analysis of remuneration models for pharmaceutical professional services","type":"article-journal","volume":"95"},"uris":["http://www.mendeley.com/documents/?uuid=1a5459fb-75ed-46fa-a816-cca6d76d3900"]}],"mendeley":{"formattedCitation":"(Bernsten et al., 2010)","manualFormatting":"(2010)","plainTextFormattedCitation":"(Bernsten et al., 2010)","previouslyFormattedCitation":"(Bernsten et al., 2010)"},"properties":{"noteIndex":0},"schema":"https://github.com/citation-style-language/schema/raw/master/csl-citation.json"}</w:instrText>
      </w:r>
      <w:r w:rsidR="007053FB" w:rsidRPr="00AE0B3D">
        <w:fldChar w:fldCharType="separate"/>
      </w:r>
      <w:r w:rsidR="007053FB" w:rsidRPr="00AE0B3D">
        <w:rPr>
          <w:noProof/>
        </w:rPr>
        <w:t>(2010)</w:t>
      </w:r>
      <w:r w:rsidR="007053FB" w:rsidRPr="00AE0B3D">
        <w:fldChar w:fldCharType="end"/>
      </w:r>
      <w:r w:rsidRPr="00AE0B3D">
        <w:t xml:space="preserve"> </w:t>
      </w:r>
      <w:r w:rsidR="003C271C" w:rsidRPr="00AE0B3D">
        <w:t>e</w:t>
      </w:r>
      <w:r w:rsidR="00A6106B" w:rsidRPr="00AE0B3D">
        <w:t>valuat</w:t>
      </w:r>
      <w:r w:rsidR="006536E0" w:rsidRPr="00AE0B3D">
        <w:t xml:space="preserve">ed </w:t>
      </w:r>
      <w:r w:rsidRPr="00AE0B3D">
        <w:t xml:space="preserve">remuneration in pharmaceutical professional services </w:t>
      </w:r>
      <w:r w:rsidR="006536E0" w:rsidRPr="00AE0B3D">
        <w:t xml:space="preserve">and </w:t>
      </w:r>
      <w:r w:rsidRPr="00AE0B3D">
        <w:t xml:space="preserve">identified that it is regulated in different countries through developed policies. Only specific services rendered by the employees can be remunerated. The study also identifies that the perception of the payer, budget constraints, and value of service are the main factors that influence </w:t>
      </w:r>
      <w:r w:rsidR="00B83E24" w:rsidRPr="00AE0B3D">
        <w:t>remuneration</w:t>
      </w:r>
      <w:r w:rsidR="002B2071" w:rsidRPr="00AE0B3D">
        <w:t xml:space="preserve"> </w:t>
      </w:r>
      <w:r w:rsidR="002B2071" w:rsidRPr="00AE0B3D">
        <w:fldChar w:fldCharType="begin" w:fldLock="1"/>
      </w:r>
      <w:r w:rsidR="00001905" w:rsidRPr="00AE0B3D">
        <w:instrText>ADDIN CSL_CITATION {"citationItems":[{"id":"ITEM-1","itemData":{"DOI":"10.1016/j.healthpol.2009.11.008","ISSN":"01688510","abstract":"Objectives: Pharmacists provide a wide range of professional services to support the appropriate use of medicines by patients. This study aims to conduct an international, comparative analysis of remuneration models for pharmaceutical professional services. Methods: Information about remuneration models was derived from a literature review and a semi-structured questionnaire completed by experts. Results: Remuneration models differ in the way that pharmacists are paid for professional services beyond dispensing medicines. Also, the scope of services that are remunerated varies. The majority of countries regulate remuneration for services only when the medicine is paid for under the reimbursement scheme. Remuneration of services implies a commitment to assure their quality in some countries. Collaborative practice models have been set up where pharmacists work together with other health care professionals to deliver diagnosis-specific services or services based on the patient's use of medicines. The remuneration of services is influenced by the value of services, budgetary constraints, the payer perspective, and the attitude of physicians, pharmacists and patients. Conclusions: Professional organisations need to formulate a clear strategy for developing and gaining remuneration for pharmaceutical professional services. This implies that pharmacists not only demonstrate the value of services, but also assure their quality. © 2009 Elsevier Ireland Ltd. All rights reserved.","author":[{"dropping-particle":"","family":"Bernsten","given":"Cecilia","non-dropping-particle":"","parse-names":false,"suffix":""},{"dropping-particle":"","family":"Andersson","given":"Karolina","non-dropping-particle":"","parse-names":false,"suffix":""},{"dropping-particle":"","family":"Gariepy","given":"Yves","non-dropping-particle":"","parse-names":false,"suffix":""},{"dropping-particle":"","family":"Simoens","given":"Steven","non-dropping-particle":"","parse-names":false,"suffix":""}],"container-title":"Health Policy","id":"ITEM-1","issue":"1","issued":{"date-parts":[["2010"]]},"page":"1-9","publisher":"Elsevier Ireland Ltd","title":"A comparative analysis of remuneration models for pharmaceutical professional services","type":"article-journal","volume":"95"},"uris":["http://www.mendeley.com/documents/?uuid=1a5459fb-75ed-46fa-a816-cca6d76d3900"]}],"mendeley":{"formattedCitation":"(Bernsten et al., 2010)","plainTextFormattedCitation":"(Bernsten et al., 2010)","previouslyFormattedCitation":"(Bernsten et al., 2010)"},"properties":{"noteIndex":0},"schema":"https://github.com/citation-style-language/schema/raw/master/csl-citation.json"}</w:instrText>
      </w:r>
      <w:r w:rsidR="002B2071" w:rsidRPr="00AE0B3D">
        <w:fldChar w:fldCharType="separate"/>
      </w:r>
      <w:r w:rsidR="002B2071" w:rsidRPr="00AE0B3D">
        <w:rPr>
          <w:noProof/>
        </w:rPr>
        <w:t>(Bernsten et al., 2010)</w:t>
      </w:r>
      <w:r w:rsidR="002B2071" w:rsidRPr="00AE0B3D">
        <w:fldChar w:fldCharType="end"/>
      </w:r>
      <w:r w:rsidRPr="00AE0B3D">
        <w:t xml:space="preserve">. </w:t>
      </w:r>
      <w:r w:rsidR="0082655E">
        <w:t>The research concludes by recommending formulation of a clear strategy</w:t>
      </w:r>
      <w:r w:rsidR="00983C37">
        <w:t xml:space="preserve"> for developing remuneration in the pharmaceutical sector. Even so, the study was based on systematic review of literature. </w:t>
      </w:r>
    </w:p>
    <w:p w14:paraId="622CABA4" w14:textId="1F27032D" w:rsidR="000B3CB0" w:rsidRPr="00AE0B3D" w:rsidRDefault="00F14BB0" w:rsidP="000B3CB0">
      <w:pPr>
        <w:rPr>
          <w:rFonts w:cs="Times New Roman"/>
        </w:rPr>
      </w:pPr>
      <w:r w:rsidRPr="00AE0B3D">
        <w:rPr>
          <w:rFonts w:cs="Times New Roman"/>
        </w:rPr>
        <w:t>T</w:t>
      </w:r>
      <w:r w:rsidR="000B3CB0" w:rsidRPr="00AE0B3D">
        <w:rPr>
          <w:rFonts w:cs="Times New Roman"/>
        </w:rPr>
        <w:t xml:space="preserve">here </w:t>
      </w:r>
      <w:r w:rsidR="006214B9" w:rsidRPr="00AE0B3D">
        <w:rPr>
          <w:rFonts w:cs="Times New Roman"/>
        </w:rPr>
        <w:t>are</w:t>
      </w:r>
      <w:r w:rsidR="000B3CB0" w:rsidRPr="00AE0B3D">
        <w:rPr>
          <w:rFonts w:cs="Times New Roman"/>
        </w:rPr>
        <w:t xml:space="preserve"> various method</w:t>
      </w:r>
      <w:r w:rsidRPr="00AE0B3D">
        <w:rPr>
          <w:rFonts w:cs="Times New Roman"/>
        </w:rPr>
        <w:t xml:space="preserve">s or strategies </w:t>
      </w:r>
      <w:r w:rsidR="000B3CB0" w:rsidRPr="00AE0B3D">
        <w:rPr>
          <w:rFonts w:cs="Times New Roman"/>
        </w:rPr>
        <w:t xml:space="preserve">through which </w:t>
      </w:r>
      <w:r w:rsidR="000B3CB0" w:rsidRPr="00AE0B3D">
        <w:rPr>
          <w:rFonts w:cs="Times New Roman"/>
          <w:noProof/>
        </w:rPr>
        <w:t>organization</w:t>
      </w:r>
      <w:r w:rsidRPr="00AE0B3D">
        <w:rPr>
          <w:rFonts w:cs="Times New Roman"/>
          <w:noProof/>
        </w:rPr>
        <w:t>s</w:t>
      </w:r>
      <w:r w:rsidR="000B3CB0" w:rsidRPr="00AE0B3D">
        <w:rPr>
          <w:rFonts w:cs="Times New Roman"/>
        </w:rPr>
        <w:t xml:space="preserve"> </w:t>
      </w:r>
      <w:r w:rsidRPr="00AE0B3D">
        <w:rPr>
          <w:rFonts w:cs="Times New Roman"/>
        </w:rPr>
        <w:t>determines the</w:t>
      </w:r>
      <w:r w:rsidR="000B3CB0" w:rsidRPr="00AE0B3D">
        <w:rPr>
          <w:rFonts w:cs="Times New Roman"/>
        </w:rPr>
        <w:t xml:space="preserve"> remuneration to be paid to the executive and other employee</w:t>
      </w:r>
      <w:r w:rsidR="00A87EE2" w:rsidRPr="00AE0B3D">
        <w:rPr>
          <w:rFonts w:cs="Times New Roman"/>
        </w:rPr>
        <w:t xml:space="preserve"> </w:t>
      </w:r>
      <w:r w:rsidR="00A87EE2" w:rsidRPr="00AE0B3D">
        <w:rPr>
          <w:rFonts w:cs="Times New Roman"/>
        </w:rPr>
        <w:fldChar w:fldCharType="begin" w:fldLock="1"/>
      </w:r>
      <w:r w:rsidR="00955099">
        <w:rPr>
          <w:rFonts w:cs="Times New Roman"/>
        </w:rPr>
        <w:instrText>ADDIN CSL_CITATION {"citationItems":[{"id":"ITEM-1","itemData":{"DOI":"10.1002/smj","author":[{"dropping-particle":"","family":"Jordi","given":"Surroca","non-dropping-particle":"","parse-names":false,"suffix":""},{"dropping-particle":"","family":"Diego","given":"Prior","non-dropping-particle":"","parse-names":false,"suffix":""},{"dropping-particle":"","family":"Gine","given":"Josep A. Tribo","non-dropping-particle":"","parse-names":false,"suffix":""}],"container-title":"Strategic Management Journal","id":"ITEM-1","issue":"August","issued":{"date-parts":[["2014"]]},"page":"1194-1214","title":"Using Panel Data DEA to Measure CEOS ’ Focus of Attention: An Application to the Study of Cognitive Group Membership and Performance","type":"article-journal","volume":"1214"},"uris":["http://www.mendeley.com/documents/?uuid=b0e64b5d-7603-437d-ab4b-8ff4ccc0316a"]}],"mendeley":{"formattedCitation":"(Jordi et al., 2014)","manualFormatting":"(Jordi et al., 2014)","plainTextFormattedCitation":"(Jordi et al., 2014)","previouslyFormattedCitation":"(Jordi et al., 2014)"},"properties":{"noteIndex":0},"schema":"https://github.com/citation-style-language/schema/raw/master/csl-citation.json"}</w:instrText>
      </w:r>
      <w:r w:rsidR="00A87EE2" w:rsidRPr="00AE0B3D">
        <w:rPr>
          <w:rFonts w:cs="Times New Roman"/>
        </w:rPr>
        <w:fldChar w:fldCharType="separate"/>
      </w:r>
      <w:r w:rsidR="00F54050">
        <w:rPr>
          <w:rFonts w:cs="Times New Roman"/>
          <w:noProof/>
        </w:rPr>
        <w:t xml:space="preserve">(Jordi </w:t>
      </w:r>
      <w:r w:rsidR="00F54050" w:rsidRPr="006B3E1F">
        <w:rPr>
          <w:rFonts w:cs="Times New Roman"/>
          <w:noProof/>
        </w:rPr>
        <w:t>et al.</w:t>
      </w:r>
      <w:r w:rsidR="00A87EE2" w:rsidRPr="00AE0B3D">
        <w:rPr>
          <w:rFonts w:cs="Times New Roman"/>
          <w:noProof/>
        </w:rPr>
        <w:t>, 2014)</w:t>
      </w:r>
      <w:r w:rsidR="00A87EE2" w:rsidRPr="00AE0B3D">
        <w:rPr>
          <w:rFonts w:cs="Times New Roman"/>
        </w:rPr>
        <w:fldChar w:fldCharType="end"/>
      </w:r>
      <w:r w:rsidR="000B3CB0" w:rsidRPr="00AE0B3D">
        <w:rPr>
          <w:rFonts w:cs="Times New Roman"/>
        </w:rPr>
        <w:t xml:space="preserve">. </w:t>
      </w:r>
      <w:r w:rsidR="00B83E24" w:rsidRPr="00AE0B3D">
        <w:rPr>
          <w:rFonts w:cs="Times New Roman"/>
        </w:rPr>
        <w:t>Remuneration</w:t>
      </w:r>
      <w:r w:rsidR="000B3CB0" w:rsidRPr="00AE0B3D">
        <w:rPr>
          <w:rFonts w:cs="Times New Roman"/>
        </w:rPr>
        <w:t xml:space="preserve"> </w:t>
      </w:r>
      <w:r w:rsidR="0087121D" w:rsidRPr="00AE0B3D">
        <w:rPr>
          <w:rFonts w:cs="Times New Roman"/>
          <w:noProof/>
        </w:rPr>
        <w:t>is</w:t>
      </w:r>
      <w:r w:rsidR="000B3CB0" w:rsidRPr="00AE0B3D">
        <w:rPr>
          <w:rFonts w:cs="Times New Roman"/>
        </w:rPr>
        <w:t xml:space="preserve"> considered to incorporate compensation and other benefits that can be intangible. The </w:t>
      </w:r>
      <w:r w:rsidR="00B83E24" w:rsidRPr="00AE0B3D">
        <w:rPr>
          <w:rFonts w:cs="Times New Roman"/>
        </w:rPr>
        <w:t>remuneration</w:t>
      </w:r>
      <w:r w:rsidR="000B3CB0" w:rsidRPr="00AE0B3D">
        <w:rPr>
          <w:rFonts w:cs="Times New Roman"/>
        </w:rPr>
        <w:t xml:space="preserve"> can be fixed which is usually on </w:t>
      </w:r>
      <w:r w:rsidR="0087121D" w:rsidRPr="00AE0B3D">
        <w:rPr>
          <w:rFonts w:cs="Times New Roman"/>
        </w:rPr>
        <w:t xml:space="preserve">a </w:t>
      </w:r>
      <w:r w:rsidR="000B3CB0" w:rsidRPr="00AE0B3D">
        <w:rPr>
          <w:rFonts w:cs="Times New Roman"/>
          <w:noProof/>
        </w:rPr>
        <w:t>contractual</w:t>
      </w:r>
      <w:r w:rsidR="000B3CB0" w:rsidRPr="00AE0B3D">
        <w:rPr>
          <w:rFonts w:cs="Times New Roman"/>
        </w:rPr>
        <w:t xml:space="preserve"> basis or variable </w:t>
      </w:r>
      <w:r w:rsidR="00B83E24" w:rsidRPr="00AE0B3D">
        <w:rPr>
          <w:rFonts w:cs="Times New Roman"/>
        </w:rPr>
        <w:t>remuneration</w:t>
      </w:r>
      <w:r w:rsidR="000B3CB0" w:rsidRPr="00AE0B3D">
        <w:rPr>
          <w:rFonts w:cs="Times New Roman"/>
        </w:rPr>
        <w:t xml:space="preserve"> that is exposed to discretion based on other factors such as performance. The variable </w:t>
      </w:r>
      <w:r w:rsidR="00B83E24" w:rsidRPr="00AE0B3D">
        <w:rPr>
          <w:rFonts w:cs="Times New Roman"/>
        </w:rPr>
        <w:t>remuneration</w:t>
      </w:r>
      <w:r w:rsidR="000B3CB0" w:rsidRPr="00AE0B3D">
        <w:rPr>
          <w:rFonts w:cs="Times New Roman"/>
        </w:rPr>
        <w:t xml:space="preserve"> can be short term or </w:t>
      </w:r>
      <w:r w:rsidR="00893923" w:rsidRPr="00AE0B3D">
        <w:rPr>
          <w:rFonts w:cs="Times New Roman"/>
        </w:rPr>
        <w:t>long-term</w:t>
      </w:r>
      <w:r w:rsidR="00DC5149" w:rsidRPr="00AE0B3D">
        <w:rPr>
          <w:rFonts w:cs="Times New Roman"/>
        </w:rPr>
        <w:t xml:space="preserve"> </w:t>
      </w:r>
      <w:r w:rsidR="00DC5149" w:rsidRPr="00AE0B3D">
        <w:rPr>
          <w:rFonts w:cs="Times New Roman"/>
        </w:rPr>
        <w:fldChar w:fldCharType="begin" w:fldLock="1"/>
      </w:r>
      <w:r w:rsidR="008F4C1C" w:rsidRPr="00AE0B3D">
        <w:rPr>
          <w:rFonts w:cs="Times New Roman"/>
        </w:rPr>
        <w:instrText>ADDIN CSL_CITATION {"citationItems":[{"id":"ITEM-1","itemData":{"DOI":"10.2308/accr-50292","ISSN":"00014826","abstract":"This study investigates the conditions under which providing relative performance information to employees has a positive effect on performance when compensation is not tied to peer performance. Specifically, I investigate, via an experiment, the effect of relative performance information (present or absent) on performance under two compensation contracts (flat-wage or individual performance-based). Given the presence of relative performance information, I examine the effect of the type of relative performance information (private or public) on performance. Using theory from psychology, I predict and find that relative performance information positively affects performance under the two compensation contracts and that this positive effect is greater under an individual performance-based contract than under a flat-wage contract. I also predict and find that, although both public and private relative performance information have a positive effect on performance, the effect is greater when relative performance information is public.","author":[{"dropping-particle":"","family":"Tafkov","given":"Ivo D.","non-dropping-particle":"","parse-names":false,"suffix":""}],"container-title":"Accounting Review","id":"ITEM-1","issue":"1","issued":{"date-parts":[["2013"]]},"page":"327-350","title":"Private and public relative performance information under different compensation contracts","type":"article-journal","volume":"88"},"uris":["http://www.mendeley.com/documents/?uuid=e1bc20a6-c3b3-45e5-b999-142013ce6f75"]}],"mendeley":{"formattedCitation":"(Tafkov, 2013)","plainTextFormattedCitation":"(Tafkov, 2013)","previouslyFormattedCitation":"(Tafkov, 2013)"},"properties":{"noteIndex":0},"schema":"https://github.com/citation-style-language/schema/raw/master/csl-citation.json"}</w:instrText>
      </w:r>
      <w:r w:rsidR="00DC5149" w:rsidRPr="00AE0B3D">
        <w:rPr>
          <w:rFonts w:cs="Times New Roman"/>
        </w:rPr>
        <w:fldChar w:fldCharType="separate"/>
      </w:r>
      <w:r w:rsidR="00DC5149" w:rsidRPr="00AE0B3D">
        <w:rPr>
          <w:rFonts w:cs="Times New Roman"/>
          <w:noProof/>
        </w:rPr>
        <w:t>(Tafkov, 2013)</w:t>
      </w:r>
      <w:r w:rsidR="00DC5149" w:rsidRPr="00AE0B3D">
        <w:rPr>
          <w:rFonts w:cs="Times New Roman"/>
        </w:rPr>
        <w:fldChar w:fldCharType="end"/>
      </w:r>
      <w:r w:rsidR="000B3CB0" w:rsidRPr="00AE0B3D">
        <w:rPr>
          <w:rFonts w:cs="Times New Roman"/>
        </w:rPr>
        <w:t>. For the long term, some of the strategies utilized can be cash based or equity based long-</w:t>
      </w:r>
      <w:r w:rsidR="000B3CB0" w:rsidRPr="00AE0B3D">
        <w:rPr>
          <w:rFonts w:cs="Times New Roman"/>
        </w:rPr>
        <w:lastRenderedPageBreak/>
        <w:t xml:space="preserve">term </w:t>
      </w:r>
      <w:r w:rsidR="00B83E24" w:rsidRPr="00AE0B3D">
        <w:rPr>
          <w:rFonts w:cs="Times New Roman"/>
        </w:rPr>
        <w:t>remuneration</w:t>
      </w:r>
      <w:r w:rsidR="000B3CB0" w:rsidRPr="00AE0B3D">
        <w:rPr>
          <w:rFonts w:cs="Times New Roman"/>
        </w:rPr>
        <w:t>. The equity based can be associated with being allowed to buy shares, own share options or be legible to share grants. The equity-based strategy is used to link the performance of the employees to the interests of the stockholders</w:t>
      </w:r>
      <w:r w:rsidR="008F4C1C" w:rsidRPr="00AE0B3D">
        <w:rPr>
          <w:rFonts w:cs="Times New Roman"/>
        </w:rPr>
        <w:t xml:space="preserve"> </w:t>
      </w:r>
      <w:r w:rsidR="008F4C1C" w:rsidRPr="00AE0B3D">
        <w:rPr>
          <w:rFonts w:cs="Times New Roman"/>
        </w:rPr>
        <w:fldChar w:fldCharType="begin" w:fldLock="1"/>
      </w:r>
      <w:r w:rsidR="00641ECA" w:rsidRPr="00AE0B3D">
        <w:rPr>
          <w:rFonts w:cs="Times New Roman"/>
        </w:rPr>
        <w:instrText>ADDIN CSL_CITATION {"citationItems":[{"id":"ITEM-1","itemData":{"DOI":"10.1111/corg.12127","ISSN":"14678683","abstract":"Manuscript Type: Empirical Research Question/Issue: This paper investigates whether corporate payout policies (dividends, share repurchases, a combination of dividends and share repurchases, and full earnings retention) are set by CEOs who intend to maximize their personal wealth. Research Findings/Insights: For all listed UK companies we study whether the payout channel choice is affected by investor sentiment, taxation, major shareholder ownership, and in particular the CEO's compensation package. The payout choice has an immediate effect on the value of the CEO's stock options and restricted stock, as anticipated dividends drive down the value of his equity-based pay (if it is not dividend-protected), and share repurchases have a positive impact on pay. By means of a quantile regression approach and nested logit models, we find that CEOs adopt a payout policy that increases the value of their equity-based pay. Theoretical/Academic Implications: Traditional research shows that corporate payout policies cater to shareholder clienteles who have preferences for specific types of payout induced by e.g. differences in taxation on dividends and capital gains, or market sentiment. We demonstrate that it is a CEO's personal wealth as reflected by his compensation package rather than shareholder preferences that has the strongest impact on the payout policy. Practitioner/Policy Implications: This research encourages firms/remuneration consultants to make top management's remuneration packages 'dividend-neutral', in other words to remove the negative impact of the dividends on pay such that the payout and payout channel choice will not be influenced by the CEO's wealth. In addition, this research encourages shareholders to contemplate whether the payout is beneficial for them and to vote on the proposed payout policy at the annual general meetings.","author":[{"dropping-particle":"","family":"Geiler","given":"Philipp","non-dropping-particle":"","parse-names":false,"suffix":""}],"container-title":"Corporate Governance: An International Review","id":"ITEM-1","issued":{"date-parts":[["2013"]]},"title":"Executive Remuneration and the Payout Decision","type":"article-journal","volume":"33"},"uris":["http://www.mendeley.com/documents/?uuid=4793b6d8-99cd-4be2-ab36-bbee49b71bc8"]}],"mendeley":{"formattedCitation":"(Geiler, 2013)","plainTextFormattedCitation":"(Geiler, 2013)","previouslyFormattedCitation":"(Geiler, 2013)"},"properties":{"noteIndex":0},"schema":"https://github.com/citation-style-language/schema/raw/master/csl-citation.json"}</w:instrText>
      </w:r>
      <w:r w:rsidR="008F4C1C" w:rsidRPr="00AE0B3D">
        <w:rPr>
          <w:rFonts w:cs="Times New Roman"/>
        </w:rPr>
        <w:fldChar w:fldCharType="separate"/>
      </w:r>
      <w:r w:rsidR="008F4C1C" w:rsidRPr="00AE0B3D">
        <w:rPr>
          <w:rFonts w:cs="Times New Roman"/>
          <w:noProof/>
        </w:rPr>
        <w:t>(Geiler, 2013)</w:t>
      </w:r>
      <w:r w:rsidR="008F4C1C" w:rsidRPr="00AE0B3D">
        <w:rPr>
          <w:rFonts w:cs="Times New Roman"/>
        </w:rPr>
        <w:fldChar w:fldCharType="end"/>
      </w:r>
      <w:r w:rsidR="000B3CB0" w:rsidRPr="00AE0B3D">
        <w:rPr>
          <w:rFonts w:cs="Times New Roman"/>
        </w:rPr>
        <w:t xml:space="preserve">. There is also the activity based long term incentives which </w:t>
      </w:r>
      <w:r w:rsidR="000B3CB0" w:rsidRPr="00AE0B3D">
        <w:rPr>
          <w:rFonts w:cs="Times New Roman"/>
          <w:noProof/>
        </w:rPr>
        <w:t>is</w:t>
      </w:r>
      <w:r w:rsidR="000B3CB0" w:rsidRPr="00AE0B3D">
        <w:rPr>
          <w:rFonts w:cs="Times New Roman"/>
        </w:rPr>
        <w:t xml:space="preserve"> based on earning from activit</w:t>
      </w:r>
      <w:r w:rsidR="0067738C">
        <w:rPr>
          <w:rFonts w:cs="Times New Roman"/>
        </w:rPr>
        <w:t>ies</w:t>
      </w:r>
      <w:r w:rsidR="000B3CB0" w:rsidRPr="00AE0B3D">
        <w:rPr>
          <w:rFonts w:cs="Times New Roman"/>
        </w:rPr>
        <w:t xml:space="preserve"> undertaken. The activity-based earning can be informed of commission, and piece rates. Other </w:t>
      </w:r>
      <w:r w:rsidR="00B83E24" w:rsidRPr="00AE0B3D">
        <w:rPr>
          <w:rFonts w:cs="Times New Roman"/>
        </w:rPr>
        <w:t>remuneration</w:t>
      </w:r>
      <w:r w:rsidR="000B3CB0" w:rsidRPr="00AE0B3D">
        <w:rPr>
          <w:rFonts w:cs="Times New Roman"/>
        </w:rPr>
        <w:t xml:space="preserve"> incentives that organization adopt includes protection programmes such as healthcare and retirement plan, and experience </w:t>
      </w:r>
      <w:r w:rsidR="00B83E24" w:rsidRPr="00AE0B3D">
        <w:rPr>
          <w:rFonts w:cs="Times New Roman"/>
        </w:rPr>
        <w:t>remuneration</w:t>
      </w:r>
      <w:r w:rsidR="000B3CB0" w:rsidRPr="00AE0B3D">
        <w:rPr>
          <w:rFonts w:cs="Times New Roman"/>
        </w:rPr>
        <w:t xml:space="preserve"> such as training and development, organisation cultures, work environment and acknowledgement</w:t>
      </w:r>
      <w:r w:rsidR="00641ECA" w:rsidRPr="00AE0B3D">
        <w:rPr>
          <w:rFonts w:cs="Times New Roman"/>
        </w:rPr>
        <w:t xml:space="preserve"> </w:t>
      </w:r>
      <w:r w:rsidR="00641ECA" w:rsidRPr="00AE0B3D">
        <w:rPr>
          <w:rFonts w:cs="Times New Roman"/>
        </w:rPr>
        <w:fldChar w:fldCharType="begin" w:fldLock="1"/>
      </w:r>
      <w:r w:rsidR="00955099">
        <w:rPr>
          <w:rFonts w:cs="Times New Roman"/>
        </w:rPr>
        <w:instrText>ADDIN CSL_CITATION {"citationItems":[{"id":"ITEM-1","itemData":{"DOI":"10.1016/j.healthpol.2015.03.005","ISSN":"18726054","PMID":"25823577","abstract":"This paper is a first examination of the development of an alternative to activity-based remuneration in public hospitals, which is currently being tested at nine hospital departments in a Danish region. The objective is to examine the process of delegating the authority of designing new incentive schemes from the principal (the regional government) to the agents (the hospital departments). We adopt a theoretical framework where, when deciding about delegation, the principal should trade off an initiative effect against the potential cost of loss of control. The initiative effect is evaluated by studying the development process and the resulting incentive schemes for each of the departments. Similarly, the potential cost of loss of control is evaluated by assessing the congruence between focus of the new incentive schemes and the principal's objectives. We observe a high impact of the effort incentive in the form of innovative and ambitious selection of projects by the agents, leading to nine very different solutions across departments. However, we also observe some incongruence between the principal's stated objectives and the revealed private interests of the agents. Although this is a baseline study involving high uncertainty about the future, the findings point at some issues with the delegation approach that could lead to inefficient outcomes.","author":[{"dropping-particle":"","family":"Søgaard","given":"Rikke","non-dropping-particle":"","parse-names":false,"suffix":""},{"dropping-particle":"","family":"Kristensen","given":"Søren Rud","non-dropping-particle":"","parse-names":false,"suffix":""},{"dropping-particle":"","family":"Bech","given":"Mickael","non-dropping-particle":"","parse-names":false,"suffix":""}],"container-title":"Health Policy","id":"ITEM-1","issue":"8","issued":{"date-parts":[["2015"]]},"page":"1076-1085","publisher":"Elsevier Ireland Ltd","title":"Incentivising effort in governance of public hospitals: Development of a delegation-based alternative to activity-based remuneration","type":"article-journal","volume":"119"},"uris":["http://www.mendeley.com/documents/?uuid=35dd23b4-72f5-47fd-bb87-7b6ea53e96c1"]},{"id":"ITEM-2","itemData":{"DOI":"10.3109/02813432.2012.711191","ISSN":"02813432","abstract":"OBJECTIVE: In Norway the default payment option for general practice is a patient list system based on private practice, but other options exist. This study aimed to explore whether general practitioners (GPs) prefer private practice or salaried positions.\\n\\nDESIGN: Cross-sectional online survey (QuestBack).\\n\\nSETTING: General practice in Norway.\\n\\nINTERVENTION: Participants were asked whether their current practice was based on (1) private practice in which the GP holds office space, equipment, and employs the staff, (2) private practice in which the GPs hire office space, equipment, or staff from the municipality, (3) salary with bonus arrangements, or (4) salary without bonus arrangement. Furthermore, they were asked which of these options they would prefer if they could choose.\\n\\nSUBJECTS: GPs in Norway (n = 3270).\\n\\nMAIN OUTCOME MEASURES: Proportion of GPs who preferred private practice.\\n\\nRESULTS: Responses were obtained from 1304 GPs (40%). Among these, 75% were currently in private practice, 18% in private practice with some services provided by the municipality, 4% had a fixed salary plus a proportion of service fees, whereas 3% had salary only. Corresponding figures for the preferred option were 52%, 26%, 16%, and 6%, respectively. In multivariate logistic regression analysis, size of municipality, specialty attainment, and number of patients listed were associated with preference for private practice.\\n\\nCONCLUSION: The majority of Norwegian GPs had and preferred private practice, but a significant minority would prefer a salaried position. The current private practice based system in Norway seems best suited to the preferences of experienced GPs in urban communities.","author":[{"dropping-particle":"","family":"Halvorsen","given":"Peder A.","non-dropping-particle":"","parse-names":false,"suffix":""},{"dropping-particle":"","family":"Steinert","given":"Svein","non-dropping-particle":"","parse-names":false,"suffix":""},{"dropping-particle":"","family":"Aaraas","given":"Ivar J.","non-dropping-particle":"","parse-names":false,"suffix":""}],"container-title":"Scandinavian Journal of Primary Health Care","id":"ITEM-2","issue":"4","issued":{"date-parts":[["2012"]]},"page":"229-233","title":"Remuneration and organization in general practice: Do GPs prefer private practice or salaried positions?","type":"article-journal","volume":"30"},"uris":["http://www.mendeley.com/documents/?uuid=6957764e-ffca-4109-9c2e-5d1f1834f85c"]}],"mendeley":{"formattedCitation":"(Halvorsen et al., 2012; Søgaard et al., 2015)","manualFormatting":"(Halvorsen et al., 2012; Søgaard et al., 2015)","plainTextFormattedCitation":"(Halvorsen et al., 2012; Søgaard et al., 2015)","previouslyFormattedCitation":"(Halvorsen et al., 2012; Søgaard et al., 2015)"},"properties":{"noteIndex":0},"schema":"https://github.com/citation-style-language/schema/raw/master/csl-citation.json"}</w:instrText>
      </w:r>
      <w:r w:rsidR="00641ECA" w:rsidRPr="00AE0B3D">
        <w:rPr>
          <w:rFonts w:cs="Times New Roman"/>
        </w:rPr>
        <w:fldChar w:fldCharType="separate"/>
      </w:r>
      <w:r w:rsidR="00641ECA" w:rsidRPr="00AE0B3D">
        <w:rPr>
          <w:rFonts w:cs="Times New Roman"/>
          <w:noProof/>
        </w:rPr>
        <w:t>(Halvorsen</w:t>
      </w:r>
      <w:r w:rsidR="00CE5B67">
        <w:rPr>
          <w:rFonts w:cs="Times New Roman"/>
          <w:noProof/>
        </w:rPr>
        <w:t xml:space="preserve"> </w:t>
      </w:r>
      <w:r w:rsidR="00CE5B67" w:rsidRPr="006B3E1F">
        <w:rPr>
          <w:rFonts w:cs="Times New Roman"/>
          <w:noProof/>
        </w:rPr>
        <w:t>et al.</w:t>
      </w:r>
      <w:r w:rsidR="00CE5B67">
        <w:rPr>
          <w:rFonts w:cs="Times New Roman"/>
          <w:noProof/>
        </w:rPr>
        <w:t xml:space="preserve">, 2012; Søgaard </w:t>
      </w:r>
      <w:r w:rsidR="00CE5B67" w:rsidRPr="006B3E1F">
        <w:rPr>
          <w:rFonts w:cs="Times New Roman"/>
          <w:noProof/>
        </w:rPr>
        <w:t>et al.</w:t>
      </w:r>
      <w:r w:rsidR="00641ECA" w:rsidRPr="00AE0B3D">
        <w:rPr>
          <w:rFonts w:cs="Times New Roman"/>
          <w:noProof/>
        </w:rPr>
        <w:t>, 2015)</w:t>
      </w:r>
      <w:r w:rsidR="00641ECA" w:rsidRPr="00AE0B3D">
        <w:rPr>
          <w:rFonts w:cs="Times New Roman"/>
        </w:rPr>
        <w:fldChar w:fldCharType="end"/>
      </w:r>
      <w:r w:rsidR="00641ECA" w:rsidRPr="00AE0B3D">
        <w:rPr>
          <w:rFonts w:cs="Times New Roman"/>
        </w:rPr>
        <w:t>.</w:t>
      </w:r>
      <w:r w:rsidR="00671D5F" w:rsidRPr="00AE0B3D">
        <w:rPr>
          <w:rFonts w:cs="Times New Roman"/>
        </w:rPr>
        <w:t xml:space="preserve"> E</w:t>
      </w:r>
      <w:r w:rsidR="000B3CB0" w:rsidRPr="00AE0B3D">
        <w:rPr>
          <w:rFonts w:cs="Times New Roman"/>
        </w:rPr>
        <w:t xml:space="preserve">xecutive </w:t>
      </w:r>
      <w:r w:rsidR="00B83E24" w:rsidRPr="00AE0B3D">
        <w:rPr>
          <w:rFonts w:cs="Times New Roman"/>
        </w:rPr>
        <w:t>remuneration</w:t>
      </w:r>
      <w:r w:rsidR="000B3CB0" w:rsidRPr="00AE0B3D">
        <w:rPr>
          <w:rFonts w:cs="Times New Roman"/>
        </w:rPr>
        <w:t xml:space="preserve"> is open to changes due to various factor</w:t>
      </w:r>
      <w:r w:rsidR="00ED1F8E" w:rsidRPr="00AE0B3D">
        <w:rPr>
          <w:rFonts w:cs="Times New Roman"/>
        </w:rPr>
        <w:t>s</w:t>
      </w:r>
      <w:r w:rsidR="000B3CB0" w:rsidRPr="00AE0B3D">
        <w:rPr>
          <w:rFonts w:cs="Times New Roman"/>
        </w:rPr>
        <w:t xml:space="preserve"> that </w:t>
      </w:r>
      <w:r w:rsidR="000B3CB0" w:rsidRPr="00AE0B3D">
        <w:rPr>
          <w:rFonts w:cs="Times New Roman"/>
          <w:noProof/>
        </w:rPr>
        <w:t>include</w:t>
      </w:r>
      <w:r w:rsidR="0087121D" w:rsidRPr="00AE0B3D">
        <w:rPr>
          <w:rFonts w:cs="Times New Roman"/>
          <w:noProof/>
        </w:rPr>
        <w:t>s</w:t>
      </w:r>
      <w:r w:rsidR="000B3CB0" w:rsidRPr="00AE0B3D">
        <w:rPr>
          <w:rFonts w:cs="Times New Roman"/>
        </w:rPr>
        <w:t xml:space="preserve"> improvement of performance, compliance with corporate governance good practices, change in organisation strategy and culture and change in market minimum </w:t>
      </w:r>
      <w:r w:rsidR="00B83E24" w:rsidRPr="00AE0B3D">
        <w:rPr>
          <w:rFonts w:cs="Times New Roman"/>
        </w:rPr>
        <w:t>remuneration</w:t>
      </w:r>
      <w:r w:rsidR="001B30FD" w:rsidRPr="00AE0B3D">
        <w:rPr>
          <w:rFonts w:cs="Times New Roman"/>
        </w:rPr>
        <w:t xml:space="preserve"> </w:t>
      </w:r>
      <w:r w:rsidR="001B30FD" w:rsidRPr="00AE0B3D">
        <w:rPr>
          <w:rFonts w:cs="Times New Roman"/>
        </w:rPr>
        <w:fldChar w:fldCharType="begin" w:fldLock="1"/>
      </w:r>
      <w:r w:rsidR="00FD66EA" w:rsidRPr="00AE0B3D">
        <w:rPr>
          <w:rFonts w:cs="Times New Roman"/>
        </w:rPr>
        <w:instrText>ADDIN CSL_CITATION {"citationItems":[{"id":"ITEM-1","itemData":{"DOI":"10.1111/corg.12127","ISSN":"14678683","abstract":"Manuscript Type: Empirical Research Question/Issue: This paper investigates whether corporate payout policies (dividends, share repurchases, a combination of dividends and share repurchases, and full earnings retention) are set by CEOs who intend to maximize their personal wealth. Research Findings/Insights: For all listed UK companies we study whether the payout channel choice is affected by investor sentiment, taxation, major shareholder ownership, and in particular the CEO's compensation package. The payout choice has an immediate effect on the value of the CEO's stock options and restricted stock, as anticipated dividends drive down the value of his equity-based pay (if it is not dividend-protected), and share repurchases have a positive impact on pay. By means of a quantile regression approach and nested logit models, we find that CEOs adopt a payout policy that increases the value of their equity-based pay. Theoretical/Academic Implications: Traditional research shows that corporate payout policies cater to shareholder clienteles who have preferences for specific types of payout induced by e.g. differences in taxation on dividends and capital gains, or market sentiment. We demonstrate that it is a CEO's personal wealth as reflected by his compensation package rather than shareholder preferences that has the strongest impact on the payout policy. Practitioner/Policy Implications: This research encourages firms/remuneration consultants to make top management's remuneration packages 'dividend-neutral', in other words to remove the negative impact of the dividends on pay such that the payout and payout channel choice will not be influenced by the CEO's wealth. In addition, this research encourages shareholders to contemplate whether the payout is beneficial for them and to vote on the proposed payout policy at the annual general meetings.","author":[{"dropping-particle":"","family":"Geiler","given":"Philipp","non-dropping-particle":"","parse-names":false,"suffix":""}],"container-title":"Corporate Governance: An International Review","id":"ITEM-1","issued":{"date-parts":[["2013"]]},"title":"Executive Remuneration and the Payout Decision","type":"article-journal","volume":"33"},"uris":["http://www.mendeley.com/documents/?uuid=4793b6d8-99cd-4be2-ab36-bbee49b71bc8"]}],"mendeley":{"formattedCitation":"(Geiler, 2013)","plainTextFormattedCitation":"(Geiler, 2013)","previouslyFormattedCitation":"(Geiler, 2013)"},"properties":{"noteIndex":0},"schema":"https://github.com/citation-style-language/schema/raw/master/csl-citation.json"}</w:instrText>
      </w:r>
      <w:r w:rsidR="001B30FD" w:rsidRPr="00AE0B3D">
        <w:rPr>
          <w:rFonts w:cs="Times New Roman"/>
        </w:rPr>
        <w:fldChar w:fldCharType="separate"/>
      </w:r>
      <w:r w:rsidR="001B30FD" w:rsidRPr="00AE0B3D">
        <w:rPr>
          <w:rFonts w:cs="Times New Roman"/>
          <w:noProof/>
        </w:rPr>
        <w:t>(Geiler, 2013)</w:t>
      </w:r>
      <w:r w:rsidR="001B30FD" w:rsidRPr="00AE0B3D">
        <w:rPr>
          <w:rFonts w:cs="Times New Roman"/>
        </w:rPr>
        <w:fldChar w:fldCharType="end"/>
      </w:r>
      <w:r w:rsidR="000B3CB0" w:rsidRPr="00AE0B3D">
        <w:rPr>
          <w:rFonts w:cs="Times New Roman"/>
        </w:rPr>
        <w:t xml:space="preserve">. </w:t>
      </w:r>
    </w:p>
    <w:p w14:paraId="66C1A7EA" w14:textId="62B34DB6" w:rsidR="00561C91" w:rsidRPr="00AE0B3D" w:rsidRDefault="00561C91" w:rsidP="00012323">
      <w:pPr>
        <w:pStyle w:val="Heading3"/>
        <w:jc w:val="center"/>
        <w:rPr>
          <w:lang w:val="en-US"/>
        </w:rPr>
      </w:pPr>
      <w:bookmarkStart w:id="42" w:name="_Toc78067512"/>
      <w:r w:rsidRPr="00AE0B3D">
        <w:rPr>
          <w:lang w:val="en-US"/>
        </w:rPr>
        <w:t xml:space="preserve">Salary, </w:t>
      </w:r>
      <w:r w:rsidR="006645E9" w:rsidRPr="00AE0B3D">
        <w:rPr>
          <w:lang w:val="en-US"/>
        </w:rPr>
        <w:t>bonus,</w:t>
      </w:r>
      <w:r w:rsidRPr="00AE0B3D">
        <w:rPr>
          <w:lang w:val="en-US"/>
        </w:rPr>
        <w:t xml:space="preserve"> and benefit strategy</w:t>
      </w:r>
      <w:bookmarkEnd w:id="42"/>
    </w:p>
    <w:p w14:paraId="206AA0FB" w14:textId="7ECE798E" w:rsidR="00591B28" w:rsidRPr="00AE0B3D" w:rsidRDefault="00CD2DC8" w:rsidP="00561C91">
      <w:pPr>
        <w:rPr>
          <w:noProof/>
          <w:lang w:val="en-US"/>
        </w:rPr>
      </w:pPr>
      <w:r w:rsidRPr="00AE0B3D">
        <w:rPr>
          <w:noProof/>
          <w:lang w:val="en-US"/>
        </w:rPr>
        <w:t xml:space="preserve">Salary, bonus and benefits are some of the  remuneration components that can affect the overall perfomance of </w:t>
      </w:r>
      <w:r w:rsidR="00761EA5" w:rsidRPr="00AE0B3D">
        <w:rPr>
          <w:noProof/>
          <w:lang w:val="en-US"/>
        </w:rPr>
        <w:t xml:space="preserve">an organisation. </w:t>
      </w:r>
      <w:bookmarkStart w:id="43" w:name="_Hlk14873440"/>
      <w:r w:rsidR="00BC068E" w:rsidRPr="00AE0B3D">
        <w:rPr>
          <w:noProof/>
          <w:lang w:val="en-US"/>
        </w:rPr>
        <w:t xml:space="preserve">Klonoski </w:t>
      </w:r>
      <w:r w:rsidR="00BC068E" w:rsidRPr="00AE0B3D">
        <w:rPr>
          <w:noProof/>
          <w:lang w:val="en-US"/>
        </w:rPr>
        <w:fldChar w:fldCharType="begin" w:fldLock="1"/>
      </w:r>
      <w:r w:rsidR="00FB7483" w:rsidRPr="00AE0B3D">
        <w:rPr>
          <w:noProof/>
          <w:lang w:val="en-US"/>
        </w:rPr>
        <w:instrText>ADDIN CSL_CITATION {"citationItems":[{"id":"ITEM-1","itemData":{"DOI":"10.5296/ijhrs.v6i2.9314","abstract":"“Benefits” are offered to employees because they promote job satisfaction and increase organizational commitment. They are generally defined as forms of indirect or non-wage compensation, conceptualizations that are principally useful for accounting and tax purposes. A definition of “benefits” from a managerial perspective can help to clarify how they can be used to achieve employee satisfaction and commitment. This article includes a brief history of benefits, an international comparison of their usage, and a review of their most widely accepted definitions. A new definition of employee benefits is proposed.","author":[{"dropping-particle":"","family":"Klonoski","given":"Robert","non-dropping-particle":"","parse-names":false,"suffix":""}],"container-title":"International Journal of Human Resource Studies","id":"ITEM-1","issue":"2","issued":{"date-parts":[["2016"]]},"page":"52","title":"Defining Employee Benefits: A Managerial Perspective","type":"article-journal","volume":"6"},"uris":["http://www.mendeley.com/documents/?uuid=647f63d8-4405-44ef-b996-633cc52fb69c"]}],"mendeley":{"formattedCitation":"(Klonoski, 2016)","manualFormatting":"(2016)","plainTextFormattedCitation":"(Klonoski, 2016)","previouslyFormattedCitation":"(Klonoski, 2016)"},"properties":{"noteIndex":0},"schema":"https://github.com/citation-style-language/schema/raw/master/csl-citation.json"}</w:instrText>
      </w:r>
      <w:r w:rsidR="00BC068E" w:rsidRPr="00AE0B3D">
        <w:rPr>
          <w:noProof/>
          <w:lang w:val="en-US"/>
        </w:rPr>
        <w:fldChar w:fldCharType="separate"/>
      </w:r>
      <w:r w:rsidR="00BC068E" w:rsidRPr="00AE0B3D">
        <w:rPr>
          <w:noProof/>
          <w:lang w:val="en-US"/>
        </w:rPr>
        <w:t>(2016)</w:t>
      </w:r>
      <w:r w:rsidR="00BC068E" w:rsidRPr="00AE0B3D">
        <w:rPr>
          <w:noProof/>
          <w:lang w:val="en-US"/>
        </w:rPr>
        <w:fldChar w:fldCharType="end"/>
      </w:r>
      <w:bookmarkEnd w:id="43"/>
      <w:r w:rsidR="00240ED8" w:rsidRPr="00AE0B3D">
        <w:rPr>
          <w:noProof/>
          <w:lang w:val="en-US"/>
        </w:rPr>
        <w:t xml:space="preserve"> identified that benefits refers to </w:t>
      </w:r>
      <w:r w:rsidR="003F7124" w:rsidRPr="00AE0B3D">
        <w:rPr>
          <w:noProof/>
          <w:lang w:val="en-US"/>
        </w:rPr>
        <w:t xml:space="preserve">nonmonetary or indirect compensation that the organisation offers to the employees. </w:t>
      </w:r>
      <w:r w:rsidR="004D178F" w:rsidRPr="00AE0B3D">
        <w:rPr>
          <w:noProof/>
          <w:lang w:val="en-US"/>
        </w:rPr>
        <w:t xml:space="preserve">Klonoski </w:t>
      </w:r>
      <w:r w:rsidR="004D178F" w:rsidRPr="00AE0B3D">
        <w:rPr>
          <w:noProof/>
          <w:lang w:val="en-US"/>
        </w:rPr>
        <w:fldChar w:fldCharType="begin" w:fldLock="1"/>
      </w:r>
      <w:r w:rsidR="004D178F" w:rsidRPr="00AE0B3D">
        <w:rPr>
          <w:noProof/>
          <w:lang w:val="en-US"/>
        </w:rPr>
        <w:instrText>ADDIN CSL_CITATION {"citationItems":[{"id":"ITEM-1","itemData":{"DOI":"10.5296/ijhrs.v6i2.9314","abstract":"“Benefits” are offered to employees because they promote job satisfaction and increase organizational commitment. They are generally defined as forms of indirect or non-wage compensation, conceptualizations that are principally useful for accounting and tax purposes. A definition of “benefits” from a managerial perspective can help to clarify how they can be used to achieve employee satisfaction and commitment. This article includes a brief history of benefits, an international comparison of their usage, and a review of their most widely accepted definitions. A new definition of employee benefits is proposed.","author":[{"dropping-particle":"","family":"Klonoski","given":"Robert","non-dropping-particle":"","parse-names":false,"suffix":""}],"container-title":"International Journal of Human Resource Studies","id":"ITEM-1","issue":"2","issued":{"date-parts":[["2016"]]},"page":"52","title":"Defining Employee Benefits: A Managerial Perspective","type":"article-journal","volume":"6"},"uris":["http://www.mendeley.com/documents/?uuid=647f63d8-4405-44ef-b996-633cc52fb69c"]}],"mendeley":{"formattedCitation":"(Klonoski, 2016)","manualFormatting":"(2016)","plainTextFormattedCitation":"(Klonoski, 2016)","previouslyFormattedCitation":"(Klonoski, 2016)"},"properties":{"noteIndex":0},"schema":"https://github.com/citation-style-language/schema/raw/master/csl-citation.json"}</w:instrText>
      </w:r>
      <w:r w:rsidR="004D178F" w:rsidRPr="00AE0B3D">
        <w:rPr>
          <w:noProof/>
          <w:lang w:val="en-US"/>
        </w:rPr>
        <w:fldChar w:fldCharType="separate"/>
      </w:r>
      <w:r w:rsidR="004D178F" w:rsidRPr="00AE0B3D">
        <w:rPr>
          <w:noProof/>
          <w:lang w:val="en-US"/>
        </w:rPr>
        <w:t>(2016)</w:t>
      </w:r>
      <w:r w:rsidR="004D178F" w:rsidRPr="00AE0B3D">
        <w:rPr>
          <w:noProof/>
          <w:lang w:val="en-US"/>
        </w:rPr>
        <w:fldChar w:fldCharType="end"/>
      </w:r>
      <w:r w:rsidR="004D178F">
        <w:rPr>
          <w:noProof/>
          <w:lang w:val="en-US"/>
        </w:rPr>
        <w:t xml:space="preserve"> only focus on the history of benefits and the different definitions that exists in literature. </w:t>
      </w:r>
      <w:r w:rsidR="005335CD" w:rsidRPr="00AE0B3D">
        <w:rPr>
          <w:noProof/>
          <w:lang w:val="en-US"/>
        </w:rPr>
        <w:t xml:space="preserve">Hung and Wang </w:t>
      </w:r>
      <w:r w:rsidR="00FD66EA" w:rsidRPr="00AE0B3D">
        <w:rPr>
          <w:noProof/>
          <w:lang w:val="en-US"/>
        </w:rPr>
        <w:fldChar w:fldCharType="begin" w:fldLock="1"/>
      </w:r>
      <w:r w:rsidR="00BA14EE" w:rsidRPr="00AE0B3D">
        <w:rPr>
          <w:noProof/>
          <w:lang w:val="en-US"/>
        </w:rPr>
        <w:instrText>ADDIN CSL_CITATION {"citationItems":[{"id":"ITEM-1","itemData":{"author":[{"dropping-particle":"","family":"Hung","given":"Elysia","non-dropping-particle":"","parse-names":false,"suffix":""},{"dropping-particle":"","family":"Wang","given":"Kan","non-dropping-particle":"","parse-names":false,"suffix":""}],"container-title":"Cornell University","id":"ITEM-1","issued":{"date-parts":[["2017"]]},"title":"What are the Best in Class Non-Monetary ( e . g . Non-Bonus , Non-Stock , or Non-Salary ) Benefits for Innovation Based Companies ?","type":"article-journal"},"uris":["http://www.mendeley.com/documents/?uuid=9a16585f-219d-4ba4-9d81-61bfda15f6b0"]}],"mendeley":{"formattedCitation":"(Hung &amp; Wang, 2017)","manualFormatting":"(2017)","plainTextFormattedCitation":"(Hung &amp; Wang, 2017)","previouslyFormattedCitation":"(Hung &amp; Wang, 2017)"},"properties":{"noteIndex":0},"schema":"https://github.com/citation-style-language/schema/raw/master/csl-citation.json"}</w:instrText>
      </w:r>
      <w:r w:rsidR="00FD66EA" w:rsidRPr="00AE0B3D">
        <w:rPr>
          <w:noProof/>
          <w:lang w:val="en-US"/>
        </w:rPr>
        <w:fldChar w:fldCharType="separate"/>
      </w:r>
      <w:r w:rsidR="00FD66EA" w:rsidRPr="00AE0B3D">
        <w:rPr>
          <w:noProof/>
          <w:lang w:val="en-US"/>
        </w:rPr>
        <w:t>(2017)</w:t>
      </w:r>
      <w:r w:rsidR="00FD66EA" w:rsidRPr="00AE0B3D">
        <w:rPr>
          <w:noProof/>
          <w:lang w:val="en-US"/>
        </w:rPr>
        <w:fldChar w:fldCharType="end"/>
      </w:r>
      <w:r w:rsidR="005335CD" w:rsidRPr="00AE0B3D">
        <w:rPr>
          <w:noProof/>
          <w:lang w:val="en-US"/>
        </w:rPr>
        <w:t xml:space="preserve"> identified that employee</w:t>
      </w:r>
      <w:r w:rsidR="00340A72" w:rsidRPr="00AE0B3D">
        <w:rPr>
          <w:noProof/>
          <w:lang w:val="en-US"/>
        </w:rPr>
        <w:t>s</w:t>
      </w:r>
      <w:r w:rsidR="009C2202" w:rsidRPr="00AE0B3D">
        <w:rPr>
          <w:noProof/>
          <w:lang w:val="en-US"/>
        </w:rPr>
        <w:t xml:space="preserve"> </w:t>
      </w:r>
      <w:r w:rsidR="00340A72" w:rsidRPr="00AE0B3D">
        <w:rPr>
          <w:noProof/>
          <w:lang w:val="en-US"/>
        </w:rPr>
        <w:t xml:space="preserve">have different </w:t>
      </w:r>
      <w:r w:rsidR="00BB7A86" w:rsidRPr="00AE0B3D">
        <w:rPr>
          <w:noProof/>
          <w:lang w:val="en-US"/>
        </w:rPr>
        <w:t xml:space="preserve"> preference on the ben</w:t>
      </w:r>
      <w:r w:rsidR="008B1B11" w:rsidRPr="00AE0B3D">
        <w:rPr>
          <w:noProof/>
          <w:lang w:val="en-US"/>
        </w:rPr>
        <w:t xml:space="preserve">efit that they percieve to be fair. Benefit can be monetary or non monetary in nature. </w:t>
      </w:r>
      <w:r w:rsidR="00991160" w:rsidRPr="00AE0B3D">
        <w:rPr>
          <w:noProof/>
          <w:lang w:val="en-US"/>
        </w:rPr>
        <w:t xml:space="preserve">Benefits can result in employees moving from one </w:t>
      </w:r>
      <w:r w:rsidR="00FB7393" w:rsidRPr="00AE0B3D">
        <w:rPr>
          <w:noProof/>
          <w:lang w:val="en-US"/>
        </w:rPr>
        <w:t xml:space="preserve">organisation to the other for percieved better working environment. Some of the considered non monetary benefits includes working environment, training, career </w:t>
      </w:r>
      <w:r w:rsidR="00BA14EE" w:rsidRPr="00AE0B3D">
        <w:rPr>
          <w:noProof/>
          <w:lang w:val="en-US"/>
        </w:rPr>
        <w:t>development among others</w:t>
      </w:r>
      <w:bookmarkStart w:id="44" w:name="_Hlk14873462"/>
      <w:r w:rsidR="00615A0C" w:rsidRPr="00AE0B3D">
        <w:rPr>
          <w:noProof/>
          <w:lang w:val="en-US"/>
        </w:rPr>
        <w:t xml:space="preserve"> </w:t>
      </w:r>
      <w:r w:rsidR="00BA14EE" w:rsidRPr="00AE0B3D">
        <w:rPr>
          <w:noProof/>
          <w:lang w:val="en-US"/>
        </w:rPr>
        <w:fldChar w:fldCharType="begin" w:fldLock="1"/>
      </w:r>
      <w:r w:rsidR="00BC068E" w:rsidRPr="00AE0B3D">
        <w:rPr>
          <w:noProof/>
          <w:lang w:val="en-US"/>
        </w:rPr>
        <w:instrText>ADDIN CSL_CITATION {"citationItems":[{"id":"ITEM-1","itemData":{"author":[{"dropping-particle":"","family":"Hung","given":"Elysia","non-dropping-particle":"","parse-names":false,"suffix":""},{"dropping-particle":"","family":"Wang","given":"Kan","non-dropping-particle":"","parse-names":false,"suffix":""}],"container-title":"Cornell University","id":"ITEM-1","issued":{"date-parts":[["2017"]]},"title":"What are the Best in Class Non-Monetary ( e . g . Non-Bonus , Non-Stock , or Non-Salary ) Benefits for Innovation Based Companies ?","type":"article-journal"},"uris":["http://www.mendeley.com/documents/?uuid=9a16585f-219d-4ba4-9d81-61bfda15f6b0"]}],"mendeley":{"formattedCitation":"(Hung &amp; Wang, 2017)","plainTextFormattedCitation":"(Hung &amp; Wang, 2017)","previouslyFormattedCitation":"(Hung &amp; Wang, 2017)"},"properties":{"noteIndex":0},"schema":"https://github.com/citation-style-language/schema/raw/master/csl-citation.json"}</w:instrText>
      </w:r>
      <w:r w:rsidR="00BA14EE" w:rsidRPr="00AE0B3D">
        <w:rPr>
          <w:noProof/>
          <w:lang w:val="en-US"/>
        </w:rPr>
        <w:fldChar w:fldCharType="separate"/>
      </w:r>
      <w:r w:rsidR="00BA14EE" w:rsidRPr="00AE0B3D">
        <w:rPr>
          <w:noProof/>
          <w:lang w:val="en-US"/>
        </w:rPr>
        <w:t>(Hung &amp; Wang, 2017)</w:t>
      </w:r>
      <w:r w:rsidR="00BA14EE" w:rsidRPr="00AE0B3D">
        <w:rPr>
          <w:noProof/>
          <w:lang w:val="en-US"/>
        </w:rPr>
        <w:fldChar w:fldCharType="end"/>
      </w:r>
      <w:r w:rsidR="00BA14EE" w:rsidRPr="00AE0B3D">
        <w:rPr>
          <w:noProof/>
          <w:lang w:val="en-US"/>
        </w:rPr>
        <w:t xml:space="preserve">. </w:t>
      </w:r>
      <w:bookmarkEnd w:id="44"/>
      <w:r w:rsidR="00BA14EE" w:rsidRPr="00AE0B3D">
        <w:rPr>
          <w:noProof/>
          <w:lang w:val="en-US"/>
        </w:rPr>
        <w:t xml:space="preserve">It is thus important for the organisation to develop an efficient non </w:t>
      </w:r>
      <w:r w:rsidR="00BA14EE" w:rsidRPr="00AE0B3D">
        <w:rPr>
          <w:noProof/>
          <w:lang w:val="en-US"/>
        </w:rPr>
        <w:lastRenderedPageBreak/>
        <w:t xml:space="preserve">monetary </w:t>
      </w:r>
      <w:r w:rsidR="008D0030" w:rsidRPr="00AE0B3D">
        <w:rPr>
          <w:noProof/>
          <w:lang w:val="en-US"/>
        </w:rPr>
        <w:t xml:space="preserve">benefits systems that supports employee perfomance and the overall organisation performance. </w:t>
      </w:r>
    </w:p>
    <w:p w14:paraId="40B81C55" w14:textId="020D6168" w:rsidR="009E4EFD" w:rsidRPr="00AE0B3D" w:rsidRDefault="00280EAA" w:rsidP="00561C91">
      <w:pPr>
        <w:rPr>
          <w:noProof/>
          <w:lang w:val="en-US"/>
        </w:rPr>
      </w:pPr>
      <w:r w:rsidRPr="00AE0B3D">
        <w:rPr>
          <w:noProof/>
          <w:lang w:val="en-US"/>
        </w:rPr>
        <w:t xml:space="preserve">Organisations adopt different reward system </w:t>
      </w:r>
      <w:r w:rsidR="00C44841" w:rsidRPr="00AE0B3D">
        <w:rPr>
          <w:noProof/>
          <w:lang w:val="en-US"/>
        </w:rPr>
        <w:t xml:space="preserve">strategies for the purpose of appreciating their employees. </w:t>
      </w:r>
      <w:r w:rsidR="00442A94" w:rsidRPr="00AE0B3D">
        <w:rPr>
          <w:noProof/>
          <w:lang w:val="en-US"/>
        </w:rPr>
        <w:t>In evaluating the reward system of 600 small and medium enterprises from Greece, Bulgaria, Romania, Albania, Kosovo and FYROM countries. The different managers of the companies selected were surveyed through email survey.</w:t>
      </w:r>
      <w:r w:rsidR="00610EAA" w:rsidRPr="00AE0B3D">
        <w:rPr>
          <w:noProof/>
          <w:lang w:val="en-US"/>
        </w:rPr>
        <w:t xml:space="preserve"> Base salary (w</w:t>
      </w:r>
      <w:r w:rsidR="00442A94" w:rsidRPr="00AE0B3D">
        <w:rPr>
          <w:noProof/>
          <w:lang w:val="en-US"/>
        </w:rPr>
        <w:t>age and salary</w:t>
      </w:r>
      <w:r w:rsidR="00610EAA" w:rsidRPr="00AE0B3D">
        <w:rPr>
          <w:noProof/>
          <w:lang w:val="en-US"/>
        </w:rPr>
        <w:t>)</w:t>
      </w:r>
      <w:r w:rsidR="00442A94" w:rsidRPr="00AE0B3D">
        <w:rPr>
          <w:noProof/>
          <w:lang w:val="en-US"/>
        </w:rPr>
        <w:t xml:space="preserve"> were the main reward system that was adopted by majority of the organisations. Other rewards that were identified in the survey include overtime pay, pension benefits and company share provision to the employees. For benefits that was offered to the employees included car parking, sick pay, health care, company car, personal leave, maternity and paternity leave, and annual leave</w:t>
      </w:r>
      <w:r w:rsidR="00FB7483" w:rsidRPr="00AE0B3D">
        <w:rPr>
          <w:noProof/>
          <w:lang w:val="en-US"/>
        </w:rPr>
        <w:t xml:space="preserve"> </w:t>
      </w:r>
      <w:bookmarkStart w:id="45" w:name="_Hlk14874217"/>
      <w:r w:rsidR="00FB7483" w:rsidRPr="00AE0B3D">
        <w:rPr>
          <w:noProof/>
          <w:lang w:val="en-US"/>
        </w:rPr>
        <w:fldChar w:fldCharType="begin" w:fldLock="1"/>
      </w:r>
      <w:r w:rsidR="00955099">
        <w:rPr>
          <w:noProof/>
          <w:lang w:val="en-US"/>
        </w:rPr>
        <w:instrText>ADDIN CSL_CITATION {"citationItems":[{"id":"ITEM-1","itemData":{"DOI":"10.1108/PR-02-2015-0024","ISSN":"00483486","abstract":"Purpose The purpose of this paper is to explore the application of total reward practices in small and medium-sized enterprises (SMEs) in the South-Eastern European (SEE) region and the reward elements positively affecting organisational performance. Design/methodology/approach The sample consists of 199 SMEs operating in SEE countries which are either under economic crisis or transition: Greece, Bulgaria, Romania, Albania, Kosovo and the Former Yugoslav Republic of Macedonia. Findings SMEs in the SEE region are implementing a total rewards model which is characterised by a weaker application of individual aspects and by a stronger application of transactional, relational and communal aspects. Within the communal aspects of the model, the study found three elements of the work environment that positively affect organisational performance; work-life balance, employee involvement voice mechanisms, and organisational culture supporting personal and professional development. Practical implications The study contributes to HR practice; the authors found that a better work environment is positively related to improved organisational performance in these SMEs. This means that in times of economic crisis or transition when HR budgets are limited such non-financial strategies can be a viable alternative to costly financial rewards to such organisations. Originality/value The study contributes to both theory and HR practice by shedding light on how employee rewards are affected in economies under crisis and transition, how SMEs can motivate their employees when faced with significant financial limitations, as well as explores which reward elements can lead to enhanced organisational performance in such organisations.","author":[{"dropping-particle":"","family":"Prouska","given":"Rea","non-dropping-particle":"","parse-names":false,"suffix":""},{"dropping-particle":"","family":"Psychogios","given":"Alexandros G.","non-dropping-particle":"","parse-names":false,"suffix":""},{"dropping-particle":"","family":"Rexhepi","given":"Yllka","non-dropping-particle":"","parse-names":false,"suffix":""}],"container-title":"Personnel Review","id":"ITEM-1","issue":"6","issued":{"date-parts":[["2016"]]},"page":"1259-1280","title":"Rewarding employees in turbulent economies for improved organisational performance: Exploring SMEs in the South-Eastern European region","type":"article-journal","volume":"45"},"uris":["http://www.mendeley.com/documents/?uuid=13d197a0-7934-406e-a800-646ac978690a"]}],"mendeley":{"formattedCitation":"(Prouska et al., 2016)","manualFormatting":"(Prouska et al., 2016)","plainTextFormattedCitation":"(Prouska et al., 2016)","previouslyFormattedCitation":"(Prouska et al., 2016)"},"properties":{"noteIndex":0},"schema":"https://github.com/citation-style-language/schema/raw/master/csl-citation.json"}</w:instrText>
      </w:r>
      <w:r w:rsidR="00FB7483" w:rsidRPr="00AE0B3D">
        <w:rPr>
          <w:noProof/>
          <w:lang w:val="en-US"/>
        </w:rPr>
        <w:fldChar w:fldCharType="separate"/>
      </w:r>
      <w:r w:rsidR="00CE5B67">
        <w:rPr>
          <w:noProof/>
          <w:lang w:val="en-US"/>
        </w:rPr>
        <w:t xml:space="preserve">(Prouska </w:t>
      </w:r>
      <w:r w:rsidR="00CE5B67" w:rsidRPr="006B3E1F">
        <w:rPr>
          <w:rFonts w:cs="Times New Roman"/>
          <w:noProof/>
        </w:rPr>
        <w:t>et al.</w:t>
      </w:r>
      <w:r w:rsidR="00FB7483" w:rsidRPr="00AE0B3D">
        <w:rPr>
          <w:noProof/>
          <w:lang w:val="en-US"/>
        </w:rPr>
        <w:t>, 2016)</w:t>
      </w:r>
      <w:r w:rsidR="00FB7483" w:rsidRPr="00AE0B3D">
        <w:rPr>
          <w:noProof/>
          <w:lang w:val="en-US"/>
        </w:rPr>
        <w:fldChar w:fldCharType="end"/>
      </w:r>
      <w:bookmarkEnd w:id="45"/>
      <w:r w:rsidR="00442A94" w:rsidRPr="00AE0B3D">
        <w:rPr>
          <w:noProof/>
          <w:lang w:val="en-US"/>
        </w:rPr>
        <w:t>.</w:t>
      </w:r>
      <w:r w:rsidR="006F4448" w:rsidRPr="00AE0B3D">
        <w:rPr>
          <w:noProof/>
          <w:lang w:val="en-US"/>
        </w:rPr>
        <w:t xml:space="preserve"> </w:t>
      </w:r>
    </w:p>
    <w:p w14:paraId="2E53A715" w14:textId="1EABFB31" w:rsidR="00561C91" w:rsidRPr="00AE0B3D" w:rsidRDefault="00561C91" w:rsidP="00561C91">
      <w:pPr>
        <w:rPr>
          <w:lang w:val="en-US"/>
        </w:rPr>
      </w:pPr>
      <w:r w:rsidRPr="00AE0B3D">
        <w:rPr>
          <w:lang w:val="en-US"/>
        </w:rPr>
        <w:t>For top management and specialist, the majority of the firms had the basic salary and performance-based bonuses</w:t>
      </w:r>
      <w:r w:rsidR="00F012DA">
        <w:rPr>
          <w:lang w:val="en-US"/>
        </w:rPr>
        <w:t xml:space="preserve"> (</w:t>
      </w:r>
      <w:proofErr w:type="spellStart"/>
      <w:r w:rsidR="00F012DA">
        <w:rPr>
          <w:noProof/>
          <w:lang w:val="en-US"/>
        </w:rPr>
        <w:t>Prouska</w:t>
      </w:r>
      <w:proofErr w:type="spellEnd"/>
      <w:r w:rsidR="00F012DA">
        <w:rPr>
          <w:noProof/>
          <w:lang w:val="en-US"/>
        </w:rPr>
        <w:t xml:space="preserve"> </w:t>
      </w:r>
      <w:r w:rsidR="00F012DA" w:rsidRPr="006B3E1F">
        <w:rPr>
          <w:rFonts w:cs="Times New Roman"/>
          <w:noProof/>
        </w:rPr>
        <w:t>et al.</w:t>
      </w:r>
      <w:r w:rsidR="00F012DA" w:rsidRPr="00AE0B3D">
        <w:rPr>
          <w:noProof/>
          <w:lang w:val="en-US"/>
        </w:rPr>
        <w:t>, 2016</w:t>
      </w:r>
      <w:r w:rsidR="00F012DA">
        <w:rPr>
          <w:noProof/>
          <w:lang w:val="en-US"/>
        </w:rPr>
        <w:t>)</w:t>
      </w:r>
      <w:r w:rsidRPr="00AE0B3D">
        <w:rPr>
          <w:lang w:val="en-US"/>
        </w:rPr>
        <w:t>. The reward strategy varied with the level of employment in the organizations. Formal profit-sharing strategy was also adopted by the majority of the organization. In addition, employees were also rewarded through promotion that was associated with performance evaluation outcome done frequently for manager and annually for the employees in the firms that were surveyed</w:t>
      </w:r>
      <w:r w:rsidR="006F4448" w:rsidRPr="00AE0B3D">
        <w:rPr>
          <w:lang w:val="en-US"/>
        </w:rPr>
        <w:t xml:space="preserve"> </w:t>
      </w:r>
      <w:r w:rsidR="006F4448" w:rsidRPr="00AE0B3D">
        <w:rPr>
          <w:lang w:val="en-US"/>
        </w:rPr>
        <w:fldChar w:fldCharType="begin" w:fldLock="1"/>
      </w:r>
      <w:r w:rsidR="006F4448" w:rsidRPr="00AE0B3D">
        <w:rPr>
          <w:lang w:val="en-US"/>
        </w:rPr>
        <w:instrText>ADDIN CSL_CITATION {"citationItems":[{"id":"ITEM-1","itemData":{"DOI":"10.1108/PR-02-2015-0024","ISSN":"00483486","abstract":"Purpose The purpose of this paper is to explore the application of total reward practices in small and medium-sized enterprises (SMEs) in the South-Eastern European (SEE) region and the reward elements positively affecting organisational performance. Design/methodology/approach The sample consists of 199 SMEs operating in SEE countries which are either under economic crisis or transition: Greece, Bulgaria, Romania, Albania, Kosovo and the Former Yugoslav Republic of Macedonia. Findings SMEs in the SEE region are implementing a total rewards model which is characterised by a weaker application of individual aspects and by a stronger application of transactional, relational and communal aspects. Within the communal aspects of the model, the study found three elements of the work environment that positively affect organisational performance; work-life balance, employee involvement voice mechanisms, and organisational culture supporting personal and professional development. Practical implications The study contributes to HR practice; the authors found that a better work environment is positively related to improved organisational performance in these SMEs. This means that in times of economic crisis or transition when HR budgets are limited such non-financial strategies can be a viable alternative to costly financial rewards to such organisations. Originality/value The study contributes to both theory and HR practice by shedding light on how employee rewards are affected in economies under crisis and transition, how SMEs can motivate their employees when faced with significant financial limitations, as well as explores which reward elements can lead to enhanced organisational performance in such organisations.","author":[{"dropping-particle":"","family":"Prouska","given":"Rea","non-dropping-particle":"","parse-names":false,"suffix":""},{"dropping-particle":"","family":"Psychogios","given":"Alexandros G.","non-dropping-particle":"","parse-names":false,"suffix":""},{"dropping-particle":"","family":"Rexhepi","given":"Yllka","non-dropping-particle":"","parse-names":false,"suffix":""}],"container-title":"Personnel Review","id":"ITEM-1","issue":"6","issued":{"date-parts":[["2016"]]},"page":"1259-1280","title":"Rewarding employees in turbulent economies for improved organisational performance: Exploring SMEs in the South-Eastern European region","type":"article-journal","volume":"45"},"uris":["http://www.mendeley.com/documents/?uuid=13d197a0-7934-406e-a800-646ac978690a"]}],"mendeley":{"formattedCitation":"(Prouska et al., 2016)","plainTextFormattedCitation":"(Prouska et al., 2016)","previouslyFormattedCitation":"(Prouska et al., 2016)"},"properties":{"noteIndex":0},"schema":"https://github.com/citation-style-language/schema/raw/master/csl-citation.json"}</w:instrText>
      </w:r>
      <w:r w:rsidR="006F4448" w:rsidRPr="00AE0B3D">
        <w:rPr>
          <w:lang w:val="en-US"/>
        </w:rPr>
        <w:fldChar w:fldCharType="separate"/>
      </w:r>
      <w:r w:rsidR="006F4448" w:rsidRPr="00AE0B3D">
        <w:rPr>
          <w:noProof/>
          <w:lang w:val="en-US"/>
        </w:rPr>
        <w:t>(Prouska et al., 2016)</w:t>
      </w:r>
      <w:r w:rsidR="006F4448" w:rsidRPr="00AE0B3D">
        <w:rPr>
          <w:lang w:val="en-US"/>
        </w:rPr>
        <w:fldChar w:fldCharType="end"/>
      </w:r>
      <w:r w:rsidRPr="00AE0B3D">
        <w:rPr>
          <w:lang w:val="en-US"/>
        </w:rPr>
        <w:t xml:space="preserve">. </w:t>
      </w:r>
      <w:r w:rsidR="00FD6DEC" w:rsidRPr="00AE0B3D">
        <w:rPr>
          <w:noProof/>
          <w:lang w:val="en-US"/>
        </w:rPr>
        <w:t>Prouska et al.</w:t>
      </w:r>
      <w:r w:rsidR="00FD6DEC">
        <w:rPr>
          <w:noProof/>
          <w:lang w:val="en-US"/>
        </w:rPr>
        <w:t xml:space="preserve"> 2016 findings were limited to organisation in the South East Asia, which may not be applicable in other regions. The research also recommend study on evaluating the role of </w:t>
      </w:r>
      <w:r w:rsidR="004A40F1">
        <w:rPr>
          <w:noProof/>
          <w:lang w:val="en-US"/>
        </w:rPr>
        <w:t>reward use in other country to identify the e</w:t>
      </w:r>
      <w:r w:rsidR="0031414B">
        <w:rPr>
          <w:noProof/>
          <w:lang w:val="en-US"/>
        </w:rPr>
        <w:t xml:space="preserve">fect of country environment differences. </w:t>
      </w:r>
      <w:r w:rsidRPr="00AE0B3D">
        <w:rPr>
          <w:noProof/>
          <w:lang w:val="en-US"/>
        </w:rPr>
        <w:t>Zameer et al.</w:t>
      </w:r>
      <w:r w:rsidR="006F4448" w:rsidRPr="00AE0B3D">
        <w:rPr>
          <w:noProof/>
          <w:lang w:val="en-US"/>
        </w:rPr>
        <w:fldChar w:fldCharType="begin" w:fldLock="1"/>
      </w:r>
      <w:r w:rsidR="00BD7F46">
        <w:rPr>
          <w:noProof/>
          <w:lang w:val="en-US"/>
        </w:rPr>
        <w:instrText>ADDIN CSL_CITATION {"citationItems":[{"id":"ITEM-1","itemData":{"DOI":"10.6007/ijarafms/v4-i1/630","ISSN":"2225-8329","abstract":"Motivation plays an important role in all public and private organizations. Without motivating their employees organizations can't run and can't achieve their goals. Purpose of present study is to explore the impact of motivation on employee's performance of beverage industry in Pakistan. The data for present study has been collected from five major cities of Pakistan using structured questionnaire. Results from present study explores that motivation plays a vital role toward the performance of employees in beverage industry of Pakistan.","author":[{"dropping-particle":"","family":"Zameer","given":"Hashim","non-dropping-particle":"","parse-names":false,"suffix":""},{"dropping-particle":"","family":"Alireza","given":"Shehzad","non-dropping-particle":"","parse-names":false,"suffix":""},{"dropping-particle":"","family":"Nisar","given":"Waqar","non-dropping-particle":"","parse-names":false,"suffix":""},{"dropping-particle":"","family":"Amir","given":"Muhammad","non-dropping-particle":"","parse-names":false,"suffix":""}],"container-title":"International Journal of Academic Research in Accounting, Finance and Management Sciences","id":"ITEM-1","issue":"1","issued":{"date-parts":[["2014"]]},"page":"293-298","title":"The Impact of the Motivation on the Employeeâ</w:instrText>
      </w:r>
      <w:r w:rsidR="00BD7F46">
        <w:rPr>
          <w:rFonts w:cs="Times New Roman"/>
          <w:noProof/>
          <w:lang w:val="en-US"/>
        </w:rPr>
        <w:instrText>™</w:instrText>
      </w:r>
      <w:r w:rsidR="00BD7F46">
        <w:rPr>
          <w:noProof/>
          <w:lang w:val="en-US"/>
        </w:rPr>
        <w:instrText>s Performance in Beverage Industry of Pakistan","type":"article-journal","volume":"4"},"uris":["http://www.mendeley.com/documents/?uuid=76654b53-1b0c-4f7a-be65-9d76183624eb"]}],"mendeley":{"formattedCitation":"(Zameer et al., 2014)","manualFormatting":"( 2014)","plainTextFormattedCitation":"(Zameer et al., 2014)","previouslyFormattedCitation":"(Zameer et al., 2014)"},"properties":{"noteIndex":0},"schema":"https://github.com/citation-style-language/schema/raw/master/csl-citation.json"}</w:instrText>
      </w:r>
      <w:r w:rsidR="006F4448" w:rsidRPr="00AE0B3D">
        <w:rPr>
          <w:noProof/>
          <w:lang w:val="en-US"/>
        </w:rPr>
        <w:fldChar w:fldCharType="separate"/>
      </w:r>
      <w:r w:rsidR="006F4448" w:rsidRPr="00AE0B3D">
        <w:rPr>
          <w:noProof/>
          <w:lang w:val="en-US"/>
        </w:rPr>
        <w:t>( 2014)</w:t>
      </w:r>
      <w:r w:rsidR="006F4448" w:rsidRPr="00AE0B3D">
        <w:rPr>
          <w:noProof/>
          <w:lang w:val="en-US"/>
        </w:rPr>
        <w:fldChar w:fldCharType="end"/>
      </w:r>
      <w:r w:rsidRPr="00AE0B3D">
        <w:rPr>
          <w:lang w:val="en-US"/>
        </w:rPr>
        <w:t xml:space="preserve"> in evaluating the motivation of employees in the beverage industry of Pakistan found that organization utilized multiple motivation for the employees. It includes providing salary and wages, promotion, bonuses, </w:t>
      </w:r>
      <w:r w:rsidR="00607173" w:rsidRPr="00AE0B3D">
        <w:rPr>
          <w:lang w:val="en-US"/>
        </w:rPr>
        <w:t xml:space="preserve">and </w:t>
      </w:r>
      <w:r w:rsidRPr="00AE0B3D">
        <w:rPr>
          <w:lang w:val="en-US"/>
        </w:rPr>
        <w:lastRenderedPageBreak/>
        <w:t xml:space="preserve">encouragements (health insurance, </w:t>
      </w:r>
      <w:r w:rsidR="006645E9" w:rsidRPr="00AE0B3D">
        <w:rPr>
          <w:lang w:val="en-US"/>
        </w:rPr>
        <w:t>t</w:t>
      </w:r>
      <w:r w:rsidR="006645E9">
        <w:rPr>
          <w:lang w:val="en-US"/>
        </w:rPr>
        <w:t>ravel,</w:t>
      </w:r>
      <w:r w:rsidR="009D7D72">
        <w:rPr>
          <w:lang w:val="en-US"/>
        </w:rPr>
        <w:t xml:space="preserve"> and housing allowances).</w:t>
      </w:r>
      <w:r w:rsidR="0031414B">
        <w:rPr>
          <w:lang w:val="en-US"/>
        </w:rPr>
        <w:t xml:space="preserve"> Motivation was identified to influence the performance of the employees. Even so, the conclusion </w:t>
      </w:r>
      <w:r w:rsidR="007B148D">
        <w:rPr>
          <w:lang w:val="en-US"/>
        </w:rPr>
        <w:t xml:space="preserve">is based on the beverage industry of Pakistan, and from the perception of the </w:t>
      </w:r>
      <w:r w:rsidR="00B62AC6">
        <w:rPr>
          <w:lang w:val="en-US"/>
        </w:rPr>
        <w:t xml:space="preserve">surveyed respondents. </w:t>
      </w:r>
    </w:p>
    <w:p w14:paraId="1ECA38D8" w14:textId="3E854EC4" w:rsidR="00B62AC6" w:rsidRDefault="000D76EE" w:rsidP="00561C91">
      <w:pPr>
        <w:rPr>
          <w:lang w:val="en-US"/>
        </w:rPr>
      </w:pPr>
      <w:r w:rsidRPr="00AE0B3D">
        <w:rPr>
          <w:noProof/>
          <w:lang w:val="en-US"/>
        </w:rPr>
        <w:t xml:space="preserve">Nyaribo and Nyakundi </w:t>
      </w:r>
      <w:r w:rsidR="00BA3A03" w:rsidRPr="00AE0B3D">
        <w:rPr>
          <w:noProof/>
          <w:lang w:val="en-US"/>
        </w:rPr>
        <w:fldChar w:fldCharType="begin" w:fldLock="1"/>
      </w:r>
      <w:r w:rsidR="00B7095D" w:rsidRPr="00AE0B3D">
        <w:rPr>
          <w:noProof/>
          <w:lang w:val="en-US"/>
        </w:rPr>
        <w:instrText>ADDIN CSL_CITATION {"citationItems":[{"id":"ITEM-1","itemData":{"author":[{"dropping-particle":"","family":"Nyaribo","given":"Oburu Lewis","non-dropping-particle":"","parse-names":false,"suffix":""},{"dropping-particle":"","family":"Nyakundi","given":"Atambo Wallace","non-dropping-particle":"","parse-names":false,"suffix":""}],"container-title":"Imperial Journal of Interdisciplinary Research (IJIR)","id":"ITEM-1","issue":"6","issued":{"date-parts":[["2016"]]},"page":"103-126","title":"The Effect of Non-Financial Compensation on Employee Performance of Micro-Finance Institutions: A Case of Wakenya Pamoja Sacco, Kisii County, Kenya","type":"article-journal","volume":"2"},"uris":["http://www.mendeley.com/documents/?uuid=c2bd51ef-a788-423f-9058-c8b1d4123b57"]}],"mendeley":{"formattedCitation":"(Nyaribo &amp; Nyakundi, 2016)","manualFormatting":"(2016)","plainTextFormattedCitation":"(Nyaribo &amp; Nyakundi, 2016)","previouslyFormattedCitation":"(Nyaribo &amp; Nyakundi, 2016)"},"properties":{"noteIndex":0},"schema":"https://github.com/citation-style-language/schema/raw/master/csl-citation.json"}</w:instrText>
      </w:r>
      <w:r w:rsidR="00BA3A03" w:rsidRPr="00AE0B3D">
        <w:rPr>
          <w:noProof/>
          <w:lang w:val="en-US"/>
        </w:rPr>
        <w:fldChar w:fldCharType="separate"/>
      </w:r>
      <w:r w:rsidR="00BA3A03" w:rsidRPr="00AE0B3D">
        <w:rPr>
          <w:noProof/>
          <w:lang w:val="en-US"/>
        </w:rPr>
        <w:t>(2016)</w:t>
      </w:r>
      <w:r w:rsidR="00BA3A03" w:rsidRPr="00AE0B3D">
        <w:rPr>
          <w:noProof/>
          <w:lang w:val="en-US"/>
        </w:rPr>
        <w:fldChar w:fldCharType="end"/>
      </w:r>
      <w:r w:rsidR="00BA3A03" w:rsidRPr="00AE0B3D">
        <w:rPr>
          <w:noProof/>
          <w:lang w:val="en-US"/>
        </w:rPr>
        <w:t xml:space="preserve"> </w:t>
      </w:r>
      <w:r w:rsidR="00561C91" w:rsidRPr="00AE0B3D">
        <w:rPr>
          <w:lang w:val="en-US"/>
        </w:rPr>
        <w:t xml:space="preserve">identified that non-financial compensation can be used to assess the impact of </w:t>
      </w:r>
      <w:r w:rsidR="00B83E24" w:rsidRPr="00AE0B3D">
        <w:rPr>
          <w:lang w:val="en-US"/>
        </w:rPr>
        <w:t>remuneration</w:t>
      </w:r>
      <w:r w:rsidR="00561C91" w:rsidRPr="00AE0B3D">
        <w:rPr>
          <w:lang w:val="en-US"/>
        </w:rPr>
        <w:t xml:space="preserve"> on the performance of the organization. Some of the non-financial compensation included working environment, training, career development, empowerments, participation, </w:t>
      </w:r>
      <w:r w:rsidR="00B83E24" w:rsidRPr="00AE0B3D">
        <w:rPr>
          <w:lang w:val="en-US"/>
        </w:rPr>
        <w:t>and recognition</w:t>
      </w:r>
      <w:r w:rsidR="00561C91" w:rsidRPr="00AE0B3D">
        <w:rPr>
          <w:lang w:val="en-US"/>
        </w:rPr>
        <w:t xml:space="preserve"> among others. The non-financial </w:t>
      </w:r>
      <w:r w:rsidR="00B83E24" w:rsidRPr="00AE0B3D">
        <w:rPr>
          <w:lang w:val="en-US"/>
        </w:rPr>
        <w:t>remuneration</w:t>
      </w:r>
      <w:r w:rsidR="00561C91" w:rsidRPr="00AE0B3D">
        <w:rPr>
          <w:lang w:val="en-US"/>
        </w:rPr>
        <w:t xml:space="preserve"> of the organization was identified to impact the employee and organization performance. </w:t>
      </w:r>
      <w:r w:rsidR="002D6C5A">
        <w:rPr>
          <w:lang w:val="en-US"/>
        </w:rPr>
        <w:t xml:space="preserve">The findings and conclusion that are put forward in the research is limited to the case study of </w:t>
      </w:r>
      <w:proofErr w:type="spellStart"/>
      <w:r w:rsidR="002D6C5A" w:rsidRPr="002D6C5A">
        <w:rPr>
          <w:lang w:val="en-US"/>
        </w:rPr>
        <w:t>Wakenya</w:t>
      </w:r>
      <w:proofErr w:type="spellEnd"/>
      <w:r w:rsidR="002D6C5A" w:rsidRPr="002D6C5A">
        <w:rPr>
          <w:lang w:val="en-US"/>
        </w:rPr>
        <w:t xml:space="preserve"> Pamoja Sacco, </w:t>
      </w:r>
      <w:proofErr w:type="spellStart"/>
      <w:r w:rsidR="002D6C5A" w:rsidRPr="002D6C5A">
        <w:rPr>
          <w:lang w:val="en-US"/>
        </w:rPr>
        <w:t>Kisii</w:t>
      </w:r>
      <w:proofErr w:type="spellEnd"/>
      <w:r w:rsidR="002D6C5A" w:rsidRPr="002D6C5A">
        <w:rPr>
          <w:lang w:val="en-US"/>
        </w:rPr>
        <w:t xml:space="preserve"> County, Kenya</w:t>
      </w:r>
      <w:r w:rsidR="0063775E">
        <w:rPr>
          <w:lang w:val="en-US"/>
        </w:rPr>
        <w:t xml:space="preserve">. The study only utilized information from one company which may not be applicable to other organization in Kenya or other parts of the world. </w:t>
      </w:r>
    </w:p>
    <w:p w14:paraId="58A63532" w14:textId="4EF389B7" w:rsidR="00550394" w:rsidRPr="00AE0B3D" w:rsidRDefault="00561C91" w:rsidP="00561C91">
      <w:pPr>
        <w:rPr>
          <w:lang w:val="en-US"/>
        </w:rPr>
      </w:pPr>
      <w:r w:rsidRPr="00AE0B3D">
        <w:rPr>
          <w:noProof/>
          <w:lang w:val="en-US"/>
        </w:rPr>
        <w:t>Shields et al.</w:t>
      </w:r>
      <w:r w:rsidR="00B7095D" w:rsidRPr="00AE0B3D">
        <w:rPr>
          <w:noProof/>
          <w:lang w:val="en-US"/>
        </w:rPr>
        <w:t xml:space="preserve"> </w:t>
      </w:r>
      <w:r w:rsidR="00B7095D" w:rsidRPr="00AE0B3D">
        <w:rPr>
          <w:noProof/>
          <w:lang w:val="en-US"/>
        </w:rPr>
        <w:fldChar w:fldCharType="begin" w:fldLock="1"/>
      </w:r>
      <w:r w:rsidR="00782D93" w:rsidRPr="00AE0B3D">
        <w:rPr>
          <w:noProof/>
          <w:lang w:val="en-US"/>
        </w:rPr>
        <w:instrText>ADDIN CSL_CITATION {"citationItems":[{"id":"ITEM-1","itemData":{"author":[{"dropping-particle":"","family":"Shields","given":"J","non-dropping-particle":"","parse-names":false,"suffix":""},{"dropping-particle":"","family":"Brown","given":"M","non-dropping-particle":"","parse-names":false,"suffix":""},{"dropping-particle":"","family":"Kaine","given":"S","non-dropping-particle":"","parse-names":false,"suffix":""},{"dropping-particle":"","family":"Dolle-Samuel","given":"C","non-dropping-particle":"","parse-names":false,"suffix":""}],"id":"ITEM-1","issued":{"date-parts":[["2015"]]},"title":"Managing employee performance ; reward: Concepts, practices, strategies","type":"book"},"uris":["http://www.mendeley.com/documents/?uuid=18d3c56b-3582-3986-94be-019e571d5a04"]}],"mendeley":{"formattedCitation":"(Shields et al., 2015)","manualFormatting":"(2015)","plainTextFormattedCitation":"(Shields et al., 2015)","previouslyFormattedCitation":"(Shields et al., 2015)"},"properties":{"noteIndex":0},"schema":"https://github.com/citation-style-language/schema/raw/master/csl-citation.json"}</w:instrText>
      </w:r>
      <w:r w:rsidR="00B7095D" w:rsidRPr="00AE0B3D">
        <w:rPr>
          <w:noProof/>
          <w:lang w:val="en-US"/>
        </w:rPr>
        <w:fldChar w:fldCharType="separate"/>
      </w:r>
      <w:r w:rsidR="00B7095D" w:rsidRPr="00AE0B3D">
        <w:rPr>
          <w:noProof/>
          <w:lang w:val="en-US"/>
        </w:rPr>
        <w:t>(2015)</w:t>
      </w:r>
      <w:r w:rsidR="00B7095D" w:rsidRPr="00AE0B3D">
        <w:rPr>
          <w:noProof/>
          <w:lang w:val="en-US"/>
        </w:rPr>
        <w:fldChar w:fldCharType="end"/>
      </w:r>
      <w:r w:rsidRPr="00AE0B3D">
        <w:rPr>
          <w:lang w:val="en-US"/>
        </w:rPr>
        <w:t xml:space="preserve"> identified that reward is an important motivation for the employees and can modify their behavior to impact different aspect of organization performance. Creating a positive reward system is associated with positive performance of the organization which in turn result to improved</w:t>
      </w:r>
      <w:r w:rsidR="00B83E24" w:rsidRPr="00AE0B3D">
        <w:rPr>
          <w:lang w:val="en-US"/>
        </w:rPr>
        <w:t xml:space="preserve"> </w:t>
      </w:r>
      <w:r w:rsidRPr="00AE0B3D">
        <w:rPr>
          <w:lang w:val="en-US"/>
        </w:rPr>
        <w:t>overall organization sustainability</w:t>
      </w:r>
      <w:r w:rsidR="00782D93" w:rsidRPr="00AE0B3D">
        <w:rPr>
          <w:lang w:val="en-US"/>
        </w:rPr>
        <w:t xml:space="preserve"> </w:t>
      </w:r>
      <w:r w:rsidR="00782D93" w:rsidRPr="00AE0B3D">
        <w:rPr>
          <w:lang w:val="en-US"/>
        </w:rPr>
        <w:fldChar w:fldCharType="begin" w:fldLock="1"/>
      </w:r>
      <w:r w:rsidR="00550394" w:rsidRPr="00AE0B3D">
        <w:rPr>
          <w:lang w:val="en-US"/>
        </w:rPr>
        <w:instrText>ADDIN CSL_CITATION {"citationItems":[{"id":"ITEM-1","itemData":{"author":[{"dropping-particle":"","family":"Shields","given":"J","non-dropping-particle":"","parse-names":false,"suffix":""},{"dropping-particle":"","family":"Brown","given":"M","non-dropping-particle":"","parse-names":false,"suffix":""},{"dropping-particle":"","family":"Kaine","given":"S","non-dropping-particle":"","parse-names":false,"suffix":""},{"dropping-particle":"","family":"Dolle-Samuel","given":"C","non-dropping-particle":"","parse-names":false,"suffix":""}],"id":"ITEM-1","issued":{"date-parts":[["2015"]]},"title":"Managing employee performance ; reward: Concepts, practices, strategies","type":"book"},"uris":["http://www.mendeley.com/documents/?uuid=18d3c56b-3582-3986-94be-019e571d5a04"]}],"mendeley":{"formattedCitation":"(Shields et al., 2015)","plainTextFormattedCitation":"(Shields et al., 2015)","previouslyFormattedCitation":"(Shields et al., 2015)"},"properties":{"noteIndex":0},"schema":"https://github.com/citation-style-language/schema/raw/master/csl-citation.json"}</w:instrText>
      </w:r>
      <w:r w:rsidR="00782D93" w:rsidRPr="00AE0B3D">
        <w:rPr>
          <w:lang w:val="en-US"/>
        </w:rPr>
        <w:fldChar w:fldCharType="separate"/>
      </w:r>
      <w:r w:rsidR="00782D93" w:rsidRPr="00AE0B3D">
        <w:rPr>
          <w:noProof/>
          <w:lang w:val="en-US"/>
        </w:rPr>
        <w:t>(Shields et al., 2015)</w:t>
      </w:r>
      <w:r w:rsidR="00782D93" w:rsidRPr="00AE0B3D">
        <w:rPr>
          <w:lang w:val="en-US"/>
        </w:rPr>
        <w:fldChar w:fldCharType="end"/>
      </w:r>
      <w:r w:rsidRPr="00AE0B3D">
        <w:rPr>
          <w:lang w:val="en-US"/>
        </w:rPr>
        <w:t>.</w:t>
      </w:r>
    </w:p>
    <w:p w14:paraId="54EDFE9F" w14:textId="55FFDF9F" w:rsidR="005A79D4" w:rsidRPr="00AE0B3D" w:rsidRDefault="00CE5B67" w:rsidP="00561C91">
      <w:pPr>
        <w:rPr>
          <w:noProof/>
          <w:lang w:val="en-US"/>
        </w:rPr>
      </w:pPr>
      <w:r>
        <w:rPr>
          <w:noProof/>
          <w:lang w:val="en-US"/>
        </w:rPr>
        <w:t>Long and</w:t>
      </w:r>
      <w:r w:rsidR="00550394" w:rsidRPr="00AE0B3D">
        <w:rPr>
          <w:noProof/>
          <w:lang w:val="en-US"/>
        </w:rPr>
        <w:t xml:space="preserve"> Fang </w:t>
      </w:r>
      <w:r w:rsidR="00550394" w:rsidRPr="00AE0B3D">
        <w:rPr>
          <w:noProof/>
          <w:lang w:val="en-US"/>
        </w:rPr>
        <w:fldChar w:fldCharType="begin" w:fldLock="1"/>
      </w:r>
      <w:r w:rsidR="00FB4AC3" w:rsidRPr="00AE0B3D">
        <w:rPr>
          <w:noProof/>
          <w:lang w:val="en-US"/>
        </w:rPr>
        <w:instrText>ADDIN CSL_CITATION {"citationItems":[{"id":"ITEM-1","itemData":{"ISSN":"00197939","abstract":"Using panel data from a large sample of Canadian establishments, the authors examine whether there is any link between adoption of an employee profit-sharing plan and subsequent employee earnings. Overall, growth in employee earnings during the five-year period subsequent to adoption of profit sharing was significantly higher in establishments that had adopted profit sharing, as compared with those establishments that had not done so. Employees in establishments that paid high wages before profit sharing adoption appeared to benefit more than employees in other establishments, although employees in other establishments did eventually benefit from profit sharing. [ABSTRACT FROM AUTHOR]","author":[{"dropping-particle":"","family":"Long","given":"Richard J.","non-dropping-particle":"","parse-names":false,"suffix":""},{"dropping-particle":"","family":"Fang","given":"Tony Working","non-dropping-particle":"","parse-names":false,"suffix":""}],"container-title":"ILR Review","id":"ITEM-1","issue":"4","issued":{"date-parts":[["2012"]]},"page":"899-927","title":"Do Employees Profit From Profit Sharing? Evidence From Canadian Panel Data.","type":"article-journal","volume":"65"},"uris":["http://www.mendeley.com/documents/?uuid=4ca59bca-34d1-4b74-8112-5031a932b8f9"]}],"mendeley":{"formattedCitation":"(Long &amp; Fang, 2012)","manualFormatting":"( 2012)","plainTextFormattedCitation":"(Long &amp; Fang, 2012)","previouslyFormattedCitation":"(Long &amp; Fang, 2012)"},"properties":{"noteIndex":0},"schema":"https://github.com/citation-style-language/schema/raw/master/csl-citation.json"}</w:instrText>
      </w:r>
      <w:r w:rsidR="00550394" w:rsidRPr="00AE0B3D">
        <w:rPr>
          <w:noProof/>
          <w:lang w:val="en-US"/>
        </w:rPr>
        <w:fldChar w:fldCharType="separate"/>
      </w:r>
      <w:r w:rsidR="00550394" w:rsidRPr="00AE0B3D">
        <w:rPr>
          <w:noProof/>
          <w:lang w:val="en-US"/>
        </w:rPr>
        <w:t>( 2012)</w:t>
      </w:r>
      <w:r w:rsidR="00550394" w:rsidRPr="00AE0B3D">
        <w:rPr>
          <w:noProof/>
          <w:lang w:val="en-US"/>
        </w:rPr>
        <w:fldChar w:fldCharType="end"/>
      </w:r>
      <w:r w:rsidR="000C5ED0" w:rsidRPr="00AE0B3D">
        <w:rPr>
          <w:noProof/>
          <w:lang w:val="en-US"/>
        </w:rPr>
        <w:t xml:space="preserve"> utilised panel data of established companies in Canada on the influence of profit sharing on employee perfomance and the overall perfomance of the organisation. </w:t>
      </w:r>
      <w:r w:rsidR="00EC6DE9" w:rsidRPr="00AE0B3D">
        <w:rPr>
          <w:lang w:val="en-US"/>
        </w:rPr>
        <w:t>P</w:t>
      </w:r>
      <w:r w:rsidR="00561C91" w:rsidRPr="00AE0B3D">
        <w:rPr>
          <w:lang w:val="en-US"/>
        </w:rPr>
        <w:t xml:space="preserve">rofit sharing plan was recognized as one of the important strategies that have been adopted by </w:t>
      </w:r>
      <w:r w:rsidR="00561C91" w:rsidRPr="00AE0B3D">
        <w:rPr>
          <w:noProof/>
          <w:lang w:val="en-US"/>
        </w:rPr>
        <w:t>organization</w:t>
      </w:r>
      <w:r w:rsidR="00F764D1" w:rsidRPr="00AE0B3D">
        <w:rPr>
          <w:noProof/>
          <w:lang w:val="en-US"/>
        </w:rPr>
        <w:t>s</w:t>
      </w:r>
      <w:r w:rsidR="00561C91" w:rsidRPr="00AE0B3D">
        <w:rPr>
          <w:lang w:val="en-US"/>
        </w:rPr>
        <w:t>. It is associated with the employees aiming to maximize the organization profitability in orders to increase the profit share that they receive</w:t>
      </w:r>
      <w:r w:rsidR="00561C91" w:rsidRPr="00AE0B3D">
        <w:rPr>
          <w:noProof/>
          <w:lang w:val="en-US"/>
        </w:rPr>
        <w:t>.</w:t>
      </w:r>
      <w:r w:rsidR="00F764D1" w:rsidRPr="00AE0B3D">
        <w:rPr>
          <w:noProof/>
          <w:lang w:val="en-US"/>
        </w:rPr>
        <w:t xml:space="preserve"> </w:t>
      </w:r>
      <w:r w:rsidR="005A79D4" w:rsidRPr="00AE0B3D">
        <w:rPr>
          <w:noProof/>
          <w:lang w:val="en-US"/>
        </w:rPr>
        <w:t xml:space="preserve">Profit sharing was found </w:t>
      </w:r>
      <w:r w:rsidR="00FB4AC3" w:rsidRPr="00AE0B3D">
        <w:rPr>
          <w:noProof/>
          <w:lang w:val="en-US"/>
        </w:rPr>
        <w:t xml:space="preserve">to influence organisation perfomance when comparing between </w:t>
      </w:r>
      <w:r w:rsidR="00FB4AC3" w:rsidRPr="00AE0B3D">
        <w:rPr>
          <w:noProof/>
          <w:lang w:val="en-US"/>
        </w:rPr>
        <w:lastRenderedPageBreak/>
        <w:t xml:space="preserve">companies with profit sharing and those which do not have profit sharing </w:t>
      </w:r>
      <w:r w:rsidR="00FB4AC3" w:rsidRPr="00AE0B3D">
        <w:rPr>
          <w:noProof/>
          <w:lang w:val="en-US"/>
        </w:rPr>
        <w:fldChar w:fldCharType="begin" w:fldLock="1"/>
      </w:r>
      <w:r w:rsidR="00B5292A" w:rsidRPr="00AE0B3D">
        <w:rPr>
          <w:noProof/>
          <w:lang w:val="en-US"/>
        </w:rPr>
        <w:instrText>ADDIN CSL_CITATION {"citationItems":[{"id":"ITEM-1","itemData":{"ISSN":"00197939","abstract":"Using panel data from a large sample of Canadian establishments, the authors examine whether there is any link between adoption of an employee profit-sharing plan and subsequent employee earnings. Overall, growth in employee earnings during the five-year period subsequent to adoption of profit sharing was significantly higher in establishments that had adopted profit sharing, as compared with those establishments that had not done so. Employees in establishments that paid high wages before profit sharing adoption appeared to benefit more than employees in other establishments, although employees in other establishments did eventually benefit from profit sharing. [ABSTRACT FROM AUTHOR]","author":[{"dropping-particle":"","family":"Long","given":"Richard J.","non-dropping-particle":"","parse-names":false,"suffix":""},{"dropping-particle":"","family":"Fang","given":"Tony Working","non-dropping-particle":"","parse-names":false,"suffix":""}],"container-title":"ILR Review","id":"ITEM-1","issue":"4","issued":{"date-parts":[["2012"]]},"page":"899-927","title":"Do Employees Profit From Profit Sharing? Evidence From Canadian Panel Data.","type":"article-journal","volume":"65"},"uris":["http://www.mendeley.com/documents/?uuid=4ca59bca-34d1-4b74-8112-5031a932b8f9"]}],"mendeley":{"formattedCitation":"(Long &amp; Fang, 2012)","plainTextFormattedCitation":"(Long &amp; Fang, 2012)","previouslyFormattedCitation":"(Long &amp; Fang, 2012)"},"properties":{"noteIndex":0},"schema":"https://github.com/citation-style-language/schema/raw/master/csl-citation.json"}</w:instrText>
      </w:r>
      <w:r w:rsidR="00FB4AC3" w:rsidRPr="00AE0B3D">
        <w:rPr>
          <w:noProof/>
          <w:lang w:val="en-US"/>
        </w:rPr>
        <w:fldChar w:fldCharType="separate"/>
      </w:r>
      <w:r w:rsidR="00FB4AC3" w:rsidRPr="00AE0B3D">
        <w:rPr>
          <w:noProof/>
          <w:lang w:val="en-US"/>
        </w:rPr>
        <w:t>(Long &amp; Fang, 2012)</w:t>
      </w:r>
      <w:r w:rsidR="00FB4AC3" w:rsidRPr="00AE0B3D">
        <w:rPr>
          <w:noProof/>
          <w:lang w:val="en-US"/>
        </w:rPr>
        <w:fldChar w:fldCharType="end"/>
      </w:r>
      <w:r w:rsidR="00FB4AC3" w:rsidRPr="00AE0B3D">
        <w:rPr>
          <w:noProof/>
          <w:lang w:val="en-US"/>
        </w:rPr>
        <w:t xml:space="preserve">. </w:t>
      </w:r>
    </w:p>
    <w:p w14:paraId="2F4BBF7A" w14:textId="4CF0A815" w:rsidR="00561C91" w:rsidRPr="00AE0B3D" w:rsidRDefault="00561C91" w:rsidP="00561C91">
      <w:pPr>
        <w:rPr>
          <w:lang w:val="en-US"/>
        </w:rPr>
      </w:pPr>
      <w:r w:rsidRPr="00AE0B3D">
        <w:rPr>
          <w:lang w:val="en-US"/>
        </w:rPr>
        <w:t xml:space="preserve">The pay for performance is considered to be one of the incentive-based </w:t>
      </w:r>
      <w:r w:rsidRPr="00AE0B3D">
        <w:rPr>
          <w:noProof/>
          <w:lang w:val="en-US"/>
        </w:rPr>
        <w:t>strateg</w:t>
      </w:r>
      <w:r w:rsidR="00BA7767" w:rsidRPr="00AE0B3D">
        <w:rPr>
          <w:noProof/>
          <w:lang w:val="en-US"/>
        </w:rPr>
        <w:t>ies</w:t>
      </w:r>
      <w:r w:rsidRPr="00AE0B3D">
        <w:rPr>
          <w:lang w:val="en-US"/>
        </w:rPr>
        <w:t xml:space="preserve"> that can ensure the balance</w:t>
      </w:r>
      <w:r w:rsidR="00B86B9A" w:rsidRPr="00AE0B3D">
        <w:rPr>
          <w:lang w:val="en-US"/>
        </w:rPr>
        <w:t xml:space="preserve"> between the employees of the organization and the other </w:t>
      </w:r>
      <w:r w:rsidR="00B5292A" w:rsidRPr="00AE0B3D">
        <w:rPr>
          <w:lang w:val="en-US"/>
        </w:rPr>
        <w:t xml:space="preserve">organization stakeholders </w:t>
      </w:r>
      <w:r w:rsidR="00B5292A" w:rsidRPr="00AE0B3D">
        <w:rPr>
          <w:lang w:val="en-US"/>
        </w:rPr>
        <w:fldChar w:fldCharType="begin" w:fldLock="1"/>
      </w:r>
      <w:r w:rsidR="00955099">
        <w:rPr>
          <w:lang w:val="en-US"/>
        </w:rPr>
        <w:instrText>ADDIN CSL_CITATION {"citationItems":[{"id":"ITEM-1","itemData":{"DOI":"10.1111/corg.12004","ISSN":"14678683","abstract":"Manuscript Type. Conceptual.     Research Question/Issue. In this paper we discuss three assumptions of agency theory: (1) conflicts of interest between principal and agent, (2) nature of risk, and (3) the proposed internal mechanisms to reduce agency costs. We review criticisms of agency theory's pessimistic assumptions of human behavior and its simplistic view about individual risk preferences to argue how the context may influence both the interest and mechanisms for aligning interest of principals and agents.     Research Findings/Insights. We draw on alternative theoretical perspectives from behavioral and organizational sciences to describe circumstances under which honesty, loyalty, and trust in agents' behaviors are possible and also the development of cooperative rather than contentious relationships.     Theoretical/Academic Implications. This study explores the boundary conditions of traditional agency theory in the hope of extending agency theory outside its current contextual boundaries. In doing so, we provide a more robust and exhaustive view of the economic exchange between principals and agents.     Practitioner/Policy Implications. This study offers insights to managers about how intrinsic incentives may provide an alternative mechanism of control over agents' behavior to extrinsic incentives prescribed by traditional agency theory. Indeed, intrinsic incentives of personal satisfaction and identification with organizational objects, combined with implicit social obligations and reciprocity may, under certain circumstances, provide stronger restraints on agent opportunism than the use of traditional extrinsic rewards in the form of incentive alignment.","author":[{"dropping-particle":"","family":"Cuevas-Rodríguez","given":"Gloria","non-dropping-particle":"","parse-names":false,"suffix":""},{"dropping-particle":"","family":"Gomez-Mejia","given":"Luis R.","non-dropping-particle":"","parse-names":false,"suffix":""},{"dropping-particle":"","family":"Wiseman","given":"Robert M.","non-dropping-particle":"","parse-names":false,"suffix":""}],"container-title":"Corporate Governance: An International Review","id":"ITEM-1","issue":"6","issued":{"date-parts":[["2012"]]},"page":"526-546","title":"Has Agency Theory Run its Course?: Making the Theory more Flexible to Inform the Management of Reward Systems","type":"article-journal","volume":"20"},"uris":["http://www.mendeley.com/documents/?uuid=96cc830f-82c6-424d-8dea-074123aa1db5"]}],"mendeley":{"formattedCitation":"(Cuevas-Rodríguez et al., 2012)","manualFormatting":"(Cuevas-Rodríguez  et al., 2012)","plainTextFormattedCitation":"(Cuevas-Rodríguez et al., 2012)","previouslyFormattedCitation":"(Cuevas-Rodríguez et al., 2012)"},"properties":{"noteIndex":0},"schema":"https://github.com/citation-style-language/schema/raw/master/csl-citation.json"}</w:instrText>
      </w:r>
      <w:r w:rsidR="00B5292A" w:rsidRPr="00AE0B3D">
        <w:rPr>
          <w:lang w:val="en-US"/>
        </w:rPr>
        <w:fldChar w:fldCharType="separate"/>
      </w:r>
      <w:r w:rsidR="00B5292A" w:rsidRPr="00AE0B3D">
        <w:rPr>
          <w:noProof/>
          <w:lang w:val="en-US"/>
        </w:rPr>
        <w:t>(Cuevas-Rodríguez</w:t>
      </w:r>
      <w:r w:rsidR="00CE5B67">
        <w:rPr>
          <w:noProof/>
          <w:lang w:val="en-US"/>
        </w:rPr>
        <w:t xml:space="preserve"> </w:t>
      </w:r>
      <w:r w:rsidR="00CE5B67" w:rsidRPr="00CE5B67">
        <w:rPr>
          <w:rFonts w:cs="Times New Roman"/>
          <w:noProof/>
        </w:rPr>
        <w:t xml:space="preserve"> </w:t>
      </w:r>
      <w:r w:rsidR="00CE5B67" w:rsidRPr="006B3E1F">
        <w:rPr>
          <w:rFonts w:cs="Times New Roman"/>
          <w:noProof/>
        </w:rPr>
        <w:t>et al.</w:t>
      </w:r>
      <w:r w:rsidR="00B5292A" w:rsidRPr="00AE0B3D">
        <w:rPr>
          <w:noProof/>
          <w:lang w:val="en-US"/>
        </w:rPr>
        <w:t>, 2012)</w:t>
      </w:r>
      <w:r w:rsidR="00B5292A" w:rsidRPr="00AE0B3D">
        <w:rPr>
          <w:lang w:val="en-US"/>
        </w:rPr>
        <w:fldChar w:fldCharType="end"/>
      </w:r>
      <w:r w:rsidRPr="00AE0B3D">
        <w:rPr>
          <w:lang w:val="en-US"/>
        </w:rPr>
        <w:t xml:space="preserve">. </w:t>
      </w:r>
      <w:r w:rsidR="00B5292A" w:rsidRPr="00AE0B3D">
        <w:rPr>
          <w:lang w:val="en-US"/>
        </w:rPr>
        <w:t>P</w:t>
      </w:r>
      <w:r w:rsidRPr="00AE0B3D">
        <w:rPr>
          <w:lang w:val="en-US"/>
        </w:rPr>
        <w:t>ay for performance was found to lead to higher performance in the organization as compared to fixed salary payment method. There was</w:t>
      </w:r>
      <w:r w:rsidR="00BA7767" w:rsidRPr="00AE0B3D">
        <w:rPr>
          <w:lang w:val="en-US"/>
        </w:rPr>
        <w:t>, however,</w:t>
      </w:r>
      <w:r w:rsidRPr="00AE0B3D">
        <w:rPr>
          <w:lang w:val="en-US"/>
        </w:rPr>
        <w:t xml:space="preserve"> </w:t>
      </w:r>
      <w:r w:rsidRPr="00AE0B3D">
        <w:rPr>
          <w:noProof/>
          <w:lang w:val="en-US"/>
        </w:rPr>
        <w:t>difference</w:t>
      </w:r>
      <w:r w:rsidRPr="00AE0B3D">
        <w:rPr>
          <w:lang w:val="en-US"/>
        </w:rPr>
        <w:t xml:space="preserve"> in preference in the two systems by the employees as risk averse employees preferred the fixed salary while hardworking employees preferred the pay per performance method</w:t>
      </w:r>
      <w:r w:rsidR="00C75A29" w:rsidRPr="00AE0B3D">
        <w:rPr>
          <w:lang w:val="en-US"/>
        </w:rPr>
        <w:t xml:space="preserve"> </w:t>
      </w:r>
      <w:r w:rsidR="00C75A29" w:rsidRPr="00AE0B3D">
        <w:rPr>
          <w:lang w:val="en-US"/>
        </w:rPr>
        <w:fldChar w:fldCharType="begin" w:fldLock="1"/>
      </w:r>
      <w:r w:rsidR="00E51D41" w:rsidRPr="00AE0B3D">
        <w:rPr>
          <w:lang w:val="en-US"/>
        </w:rPr>
        <w:instrText>ADDIN CSL_CITATION {"citationItems":[{"id":"ITEM-1","itemData":{"DOI":"10.1108/01443581211274601","ISBN":"0268394121","ISSN":"01443585","PMID":"1937705241","abstract":"Purpose – The purpose of this paper is to explore how various performance related pay (PRP) schemes influence employee turnover. It also tests whether profit sharing has a differential impact on turnover in comparison to other forms of PRP.Design/methodology/approach – Utilizing a nationally representative longitudinal dataset of individuals, analysis begins with a parsimonious specification of the determinants of turnover and then progressively adds various sets of controls known to influence turnover decisions to observe how their inclusion influences PRP coefficients. Estimations employ both standard probits and panel data models.Findings – Empirical evidence reveals a negative relationship between an aggregate measure of PRP and turnover. Disaggregating performance pay measures by type reveals a robust negative relationship between profit sharing and turnover. Although one would expect the influence of other PRP schemes to mimic that of profit sharing, evidence suggests otherwise.Research limitations/...","author":[{"dropping-particle":"","family":"O'Halloran","given":"Patrick L.","non-dropping-particle":"","parse-names":false,"suffix":""}],"container-title":"Journal of Economic Studies","id":"ITEM-1","issue":"6","issued":{"date-parts":[["2012"]]},"page":"653-674","title":"Performance pay and employee turnover","type":"article-journal","volume":"39"},"uris":["http://www.mendeley.com/documents/?uuid=7e04a19d-f4da-4bdf-97a6-b9ced385c045"]}],"mendeley":{"formattedCitation":"(O’Halloran, 2012)","plainTextFormattedCitation":"(O’Halloran, 2012)","previouslyFormattedCitation":"(O’Halloran, 2012)"},"properties":{"noteIndex":0},"schema":"https://github.com/citation-style-language/schema/raw/master/csl-citation.json"}</w:instrText>
      </w:r>
      <w:r w:rsidR="00C75A29" w:rsidRPr="00AE0B3D">
        <w:rPr>
          <w:lang w:val="en-US"/>
        </w:rPr>
        <w:fldChar w:fldCharType="separate"/>
      </w:r>
      <w:r w:rsidR="00C75A29" w:rsidRPr="00AE0B3D">
        <w:rPr>
          <w:noProof/>
          <w:lang w:val="en-US"/>
        </w:rPr>
        <w:t>(O’Halloran, 2012)</w:t>
      </w:r>
      <w:r w:rsidR="00C75A29" w:rsidRPr="00AE0B3D">
        <w:rPr>
          <w:lang w:val="en-US"/>
        </w:rPr>
        <w:fldChar w:fldCharType="end"/>
      </w:r>
      <w:r w:rsidRPr="00AE0B3D">
        <w:rPr>
          <w:lang w:val="en-US"/>
        </w:rPr>
        <w:t xml:space="preserve">. </w:t>
      </w:r>
    </w:p>
    <w:p w14:paraId="216D583E" w14:textId="5432C2A8" w:rsidR="00204DE9" w:rsidRPr="00AE0B3D" w:rsidRDefault="00501F59" w:rsidP="00BD7F46">
      <w:pPr>
        <w:rPr>
          <w:lang w:val="en-US"/>
        </w:rPr>
      </w:pPr>
      <w:r w:rsidRPr="00AE0B3D">
        <w:rPr>
          <w:noProof/>
          <w:lang w:val="en-US"/>
        </w:rPr>
        <w:t xml:space="preserve">There are different incentives that are adopted by the organisations in retaining of employees as well as enhancing the overall organisation perfomance. </w:t>
      </w:r>
      <w:r w:rsidR="00724834" w:rsidRPr="00AE0B3D">
        <w:rPr>
          <w:noProof/>
          <w:lang w:val="en-US"/>
        </w:rPr>
        <w:t xml:space="preserve">Financial reward is one of the method that is considered efficient in </w:t>
      </w:r>
      <w:r w:rsidR="00FA16AB" w:rsidRPr="00AE0B3D">
        <w:rPr>
          <w:noProof/>
          <w:lang w:val="en-US"/>
        </w:rPr>
        <w:t xml:space="preserve">motivating employees in undertaking their responsibilities. </w:t>
      </w:r>
      <w:r w:rsidR="0051122B" w:rsidRPr="00AE0B3D">
        <w:rPr>
          <w:noProof/>
          <w:lang w:val="en-US"/>
        </w:rPr>
        <w:t xml:space="preserve">Other incentives are adopted by organisation </w:t>
      </w:r>
      <w:r w:rsidR="00561C91" w:rsidRPr="00AE0B3D">
        <w:rPr>
          <w:lang w:val="en-US"/>
        </w:rPr>
        <w:t xml:space="preserve">included individual bonus, overtime allowances, cash allowances, housing provisions, </w:t>
      </w:r>
      <w:r w:rsidR="00B83E24" w:rsidRPr="00AE0B3D">
        <w:rPr>
          <w:lang w:val="en-US"/>
        </w:rPr>
        <w:t>year-end</w:t>
      </w:r>
      <w:r w:rsidR="00561C91" w:rsidRPr="00AE0B3D">
        <w:rPr>
          <w:lang w:val="en-US"/>
        </w:rPr>
        <w:t xml:space="preserve"> bonuses, merit pay and base salary. companies adopt multiple incentive strategies to improve their motivation and retaining of employees</w:t>
      </w:r>
      <w:r w:rsidR="00E51D41" w:rsidRPr="00AE0B3D">
        <w:rPr>
          <w:lang w:val="en-US"/>
        </w:rPr>
        <w:t xml:space="preserve"> </w:t>
      </w:r>
      <w:r w:rsidR="00E51D41" w:rsidRPr="00AE0B3D">
        <w:rPr>
          <w:lang w:val="en-US"/>
        </w:rPr>
        <w:fldChar w:fldCharType="begin" w:fldLock="1"/>
      </w:r>
      <w:r w:rsidR="001C5A22" w:rsidRPr="00AE0B3D">
        <w:rPr>
          <w:lang w:val="en-US"/>
        </w:rPr>
        <w:instrText>ADDIN CSL_CITATION {"citationItems":[{"id":"ITEM-1","itemData":{"ISBN":"0 522 84637 8","author":[{"dropping-particle":"","family":"Aguenza","given":"Benjamin Balbuena","non-dropping-particle":"","parse-names":false,"suffix":""},{"dropping-particle":"","family":"Som","given":"Ahmad Puad Mat","non-dropping-particle":"","parse-names":false,"suffix":""}],"id":"ITEM-1","issued":{"date-parts":[["2012"]]},"page":"1-32","title":"Motivational Factors of Employee Retention and Engagement in Organizations","type":"article-journal"},"uris":["http://www.mendeley.com/documents/?uuid=a51df65a-5bd4-45f0-9bbc-331f1339a674"]}],"mendeley":{"formattedCitation":"(Aguenza &amp; Som, 2012)","plainTextFormattedCitation":"(Aguenza &amp; Som, 2012)","previouslyFormattedCitation":"(Aguenza &amp; Som, 2012)"},"properties":{"noteIndex":0},"schema":"https://github.com/citation-style-language/schema/raw/master/csl-citation.json"}</w:instrText>
      </w:r>
      <w:r w:rsidR="00E51D41" w:rsidRPr="00AE0B3D">
        <w:rPr>
          <w:lang w:val="en-US"/>
        </w:rPr>
        <w:fldChar w:fldCharType="separate"/>
      </w:r>
      <w:r w:rsidR="00E51D41" w:rsidRPr="00AE0B3D">
        <w:rPr>
          <w:noProof/>
          <w:lang w:val="en-US"/>
        </w:rPr>
        <w:t>(Aguenza &amp; Som, 2012)</w:t>
      </w:r>
      <w:r w:rsidR="00E51D41" w:rsidRPr="00AE0B3D">
        <w:rPr>
          <w:lang w:val="en-US"/>
        </w:rPr>
        <w:fldChar w:fldCharType="end"/>
      </w:r>
      <w:r w:rsidR="00561C91" w:rsidRPr="00AE0B3D">
        <w:rPr>
          <w:lang w:val="en-US"/>
        </w:rPr>
        <w:t xml:space="preserve">. </w:t>
      </w:r>
      <w:r w:rsidR="00561C91" w:rsidRPr="00AE0B3D">
        <w:rPr>
          <w:noProof/>
          <w:lang w:val="en-US"/>
        </w:rPr>
        <w:t xml:space="preserve">Aktar et al. </w:t>
      </w:r>
      <w:r w:rsidR="001C5A22" w:rsidRPr="00AE0B3D">
        <w:rPr>
          <w:noProof/>
          <w:lang w:val="en-US"/>
        </w:rPr>
        <w:fldChar w:fldCharType="begin" w:fldLock="1"/>
      </w:r>
      <w:r w:rsidR="001C5A22" w:rsidRPr="00AE0B3D">
        <w:rPr>
          <w:noProof/>
          <w:lang w:val="en-US"/>
        </w:rPr>
        <w:instrText>ADDIN CSL_CITATION {"citationItems":[{"id":"ITEM-1","itemData":{"DOI":"10.9790/487x-0620915","ISSN":"23197668","abstract":"This study seeks to examine the relationship between rewards and employee performance as well as to identify the relationship between extrinsic and intrinsic rewards. The study explored factors determining extrinsic and intrinsic rewards and their impact on employee performance and actions to influence the commercial banks for a consideration of a more systematic and structured approach to acknowledge employee's efforts which would in turn prosper high performance culture in commercial banks of Bangladesh. Descriptive statistics based frequency tables and graphs were used in the study to provide information on demographic variables. The results are investigated in terms of descriptive statistics followed by inferential statistics on the variables. A total of 200 questionnaires were distributed to employees of the commercial bank and a total of 180 employees completed the questionnaire properly. The result indicate that there is a statistical significant relationship between all of the independent variables with dependent variables employee work performance and all the independent variables have a positive influence on employee work performance.","author":[{"dropping-particle":"","family":"Aktar","given":"Serena","non-dropping-particle":"","parse-names":false,"suffix":""}],"container-title":"IOSR Journal of Business and Management","id":"ITEM-1","issue":"2","issued":{"date-parts":[["2012"]]},"page":"9-15","title":"The Impact of Rewards on Employee Performance in Commercial Banks of Bangladesh: An Empirical Study","type":"article-journal","volume":"6"},"uris":["http://www.mendeley.com/documents/?uuid=cbfb6a0e-8218-49fa-9eb7-902055ad574f"]}],"mendeley":{"formattedCitation":"(Aktar, 2012)","manualFormatting":"( 2012)","plainTextFormattedCitation":"(Aktar, 2012)","previouslyFormattedCitation":"(Aktar, 2012)"},"properties":{"noteIndex":0},"schema":"https://github.com/citation-style-language/schema/raw/master/csl-citation.json"}</w:instrText>
      </w:r>
      <w:r w:rsidR="001C5A22" w:rsidRPr="00AE0B3D">
        <w:rPr>
          <w:noProof/>
          <w:lang w:val="en-US"/>
        </w:rPr>
        <w:fldChar w:fldCharType="separate"/>
      </w:r>
      <w:r w:rsidR="001C5A22" w:rsidRPr="00AE0B3D">
        <w:rPr>
          <w:noProof/>
          <w:lang w:val="en-US"/>
        </w:rPr>
        <w:t>( 2012)</w:t>
      </w:r>
      <w:r w:rsidR="001C5A22" w:rsidRPr="00AE0B3D">
        <w:rPr>
          <w:noProof/>
          <w:lang w:val="en-US"/>
        </w:rPr>
        <w:fldChar w:fldCharType="end"/>
      </w:r>
      <w:r w:rsidR="004205F3" w:rsidRPr="00AE0B3D">
        <w:rPr>
          <w:noProof/>
          <w:lang w:val="en-US"/>
        </w:rPr>
        <w:t xml:space="preserve"> </w:t>
      </w:r>
      <w:r w:rsidR="00561C91" w:rsidRPr="00AE0B3D">
        <w:rPr>
          <w:lang w:val="en-US"/>
        </w:rPr>
        <w:t>identified that the incentive utilized in by the commercial banks of Australia were different and composed both intrinsic and extrinsic rewards. The reward included career advancement, challenging working place, learning opportunities, and recognition. Performance bonus and basic pay were the main extrinsic</w:t>
      </w:r>
      <w:r w:rsidR="003A6F14" w:rsidRPr="00AE0B3D">
        <w:rPr>
          <w:lang w:val="en-US"/>
        </w:rPr>
        <w:t xml:space="preserve"> rewards</w:t>
      </w:r>
      <w:r w:rsidR="00561C91" w:rsidRPr="00AE0B3D">
        <w:rPr>
          <w:lang w:val="en-US"/>
        </w:rPr>
        <w:t xml:space="preserve">. </w:t>
      </w:r>
      <w:bookmarkStart w:id="46" w:name="_Hlk14872462"/>
      <w:r w:rsidR="00561C91" w:rsidRPr="00AE0B3D">
        <w:rPr>
          <w:noProof/>
          <w:lang w:val="en-US"/>
        </w:rPr>
        <w:t xml:space="preserve">Sajuyigbe et al. </w:t>
      </w:r>
      <w:r w:rsidR="001C5A22" w:rsidRPr="00AE0B3D">
        <w:rPr>
          <w:lang w:val="en-US"/>
        </w:rPr>
        <w:fldChar w:fldCharType="begin" w:fldLock="1"/>
      </w:r>
      <w:r w:rsidR="005A7ED7" w:rsidRPr="00AE0B3D">
        <w:rPr>
          <w:lang w:val="en-US"/>
        </w:rPr>
        <w:instrText>ADDIN CSL_CITATION {"citationItems":[{"id":"ITEM-1","itemData":{"ISSN":"03164004","abstract":"From premium office grades to whitetop to testliner, new formulations and combinations of internal, and surface sizing are helping papermakers improve aethetics, printability, and more, depending upon the grade. At the same time, production headaches, resulting from mill closure and the use of lower quality fibre resources, call for next generation sizing products to perform under harsh conditions.","author":[{"dropping-particle":"","family":"Sajuyigbe","given":"A. S.","non-dropping-particle":"","parse-names":false,"suffix":""},{"dropping-particle":"","family":"Olaoye","given":"Bosede .O","non-dropping-particle":"","parse-names":false,"suffix":""},{"dropping-particle":"","family":"Adeyemi","given":"M.A","non-dropping-particle":"","parse-names":false,"suffix":""}],"container-title":"International Journal of Arts and Commerce","id":"ITEM-1","issue":"2","issued":{"date-parts":[["2013"]]},"title":"Innovations in size coming on strong","type":"article-journal","volume":"2"},"uris":["http://www.mendeley.com/documents/?uuid=2242b9ca-ff53-4f9a-af0f-ac96ad1e9ce7"]}],"mendeley":{"formattedCitation":"(Sajuyigbe et al., 2013)","manualFormatting":"(2013)","plainTextFormattedCitation":"(Sajuyigbe et al., 2013)","previouslyFormattedCitation":"(Sajuyigbe et al., 2013)"},"properties":{"noteIndex":0},"schema":"https://github.com/citation-style-language/schema/raw/master/csl-citation.json"}</w:instrText>
      </w:r>
      <w:r w:rsidR="001C5A22" w:rsidRPr="00AE0B3D">
        <w:rPr>
          <w:lang w:val="en-US"/>
        </w:rPr>
        <w:fldChar w:fldCharType="separate"/>
      </w:r>
      <w:r w:rsidR="001C5A22" w:rsidRPr="00AE0B3D">
        <w:rPr>
          <w:noProof/>
          <w:lang w:val="en-US"/>
        </w:rPr>
        <w:t>(2013)</w:t>
      </w:r>
      <w:r w:rsidR="001C5A22" w:rsidRPr="00AE0B3D">
        <w:rPr>
          <w:lang w:val="en-US"/>
        </w:rPr>
        <w:fldChar w:fldCharType="end"/>
      </w:r>
      <w:r w:rsidR="000E15B8" w:rsidRPr="00AE0B3D">
        <w:rPr>
          <w:lang w:val="en-US"/>
        </w:rPr>
        <w:t xml:space="preserve"> </w:t>
      </w:r>
      <w:bookmarkEnd w:id="46"/>
      <w:r w:rsidR="00561C91" w:rsidRPr="00AE0B3D">
        <w:rPr>
          <w:lang w:val="en-US"/>
        </w:rPr>
        <w:t>also identified the utilization of extrinsic and intrinsic reward system in</w:t>
      </w:r>
      <w:r w:rsidR="003A6F14" w:rsidRPr="00AE0B3D">
        <w:rPr>
          <w:lang w:val="en-US"/>
        </w:rPr>
        <w:t xml:space="preserve"> </w:t>
      </w:r>
      <w:r w:rsidR="00561C91" w:rsidRPr="00AE0B3D">
        <w:rPr>
          <w:noProof/>
          <w:lang w:val="en-US"/>
        </w:rPr>
        <w:t>organization</w:t>
      </w:r>
      <w:r w:rsidR="003A6F14" w:rsidRPr="00AE0B3D">
        <w:rPr>
          <w:noProof/>
          <w:lang w:val="en-US"/>
        </w:rPr>
        <w:t>s</w:t>
      </w:r>
      <w:r w:rsidR="00561C91" w:rsidRPr="00AE0B3D">
        <w:rPr>
          <w:lang w:val="en-US"/>
        </w:rPr>
        <w:t>. The</w:t>
      </w:r>
      <w:r w:rsidR="003A6F14" w:rsidRPr="00AE0B3D">
        <w:rPr>
          <w:lang w:val="en-US"/>
        </w:rPr>
        <w:t xml:space="preserve">y </w:t>
      </w:r>
      <w:r w:rsidR="00561C91" w:rsidRPr="00AE0B3D">
        <w:rPr>
          <w:lang w:val="en-US"/>
        </w:rPr>
        <w:t xml:space="preserve">evaluated the impact of reward on </w:t>
      </w:r>
      <w:r w:rsidR="00B83E24" w:rsidRPr="00AE0B3D">
        <w:rPr>
          <w:lang w:val="en-US"/>
        </w:rPr>
        <w:t>employees’</w:t>
      </w:r>
      <w:r w:rsidR="00561C91" w:rsidRPr="00AE0B3D">
        <w:rPr>
          <w:lang w:val="en-US"/>
        </w:rPr>
        <w:t xml:space="preserve"> </w:t>
      </w:r>
      <w:r w:rsidR="00561C91" w:rsidRPr="00AE0B3D">
        <w:rPr>
          <w:noProof/>
          <w:lang w:val="en-US"/>
        </w:rPr>
        <w:t>perform</w:t>
      </w:r>
      <w:r w:rsidR="003A6F14" w:rsidRPr="00AE0B3D">
        <w:rPr>
          <w:noProof/>
          <w:lang w:val="en-US"/>
        </w:rPr>
        <w:t>ance</w:t>
      </w:r>
      <w:r w:rsidR="00561C91" w:rsidRPr="00AE0B3D">
        <w:rPr>
          <w:lang w:val="en-US"/>
        </w:rPr>
        <w:t xml:space="preserve"> for Nigeria manufacturing firms. The rewards were measured both for intrinsic and extrinsic reward variables. Extrinsic reward</w:t>
      </w:r>
      <w:r w:rsidR="00461B0A" w:rsidRPr="00AE0B3D">
        <w:rPr>
          <w:lang w:val="en-US"/>
        </w:rPr>
        <w:t>s</w:t>
      </w:r>
      <w:r w:rsidR="00561C91" w:rsidRPr="00AE0B3D">
        <w:rPr>
          <w:lang w:val="en-US"/>
        </w:rPr>
        <w:t xml:space="preserve"> composed of </w:t>
      </w:r>
      <w:r w:rsidR="00561C91" w:rsidRPr="00AE0B3D">
        <w:rPr>
          <w:lang w:val="en-US"/>
        </w:rPr>
        <w:lastRenderedPageBreak/>
        <w:t>performance pay bonus and pay while the extrinsic included praise and recognition. The research identified that the reward system plays an important role in the performance of the employees and the overall organization performance. The rewards</w:t>
      </w:r>
      <w:r w:rsidR="00461B0A" w:rsidRPr="00AE0B3D">
        <w:rPr>
          <w:lang w:val="en-US"/>
        </w:rPr>
        <w:t>, however,</w:t>
      </w:r>
      <w:r w:rsidR="00561C91" w:rsidRPr="00AE0B3D">
        <w:rPr>
          <w:lang w:val="en-US"/>
        </w:rPr>
        <w:t xml:space="preserve"> could be determined differently.</w:t>
      </w:r>
      <w:r w:rsidR="00762412" w:rsidRPr="00AE0B3D">
        <w:rPr>
          <w:lang w:val="en-US"/>
        </w:rPr>
        <w:t xml:space="preserve"> </w:t>
      </w:r>
    </w:p>
    <w:p w14:paraId="07FD72BB" w14:textId="5C0B5A31" w:rsidR="00561C91" w:rsidRPr="00AE0B3D" w:rsidRDefault="00762412" w:rsidP="00561C91">
      <w:pPr>
        <w:rPr>
          <w:lang w:val="en-US"/>
        </w:rPr>
      </w:pPr>
      <w:r w:rsidRPr="00AE0B3D">
        <w:rPr>
          <w:lang w:val="en-US"/>
        </w:rPr>
        <w:t>Motivation</w:t>
      </w:r>
      <w:r w:rsidR="00561C91" w:rsidRPr="00AE0B3D">
        <w:rPr>
          <w:lang w:val="en-US"/>
        </w:rPr>
        <w:t xml:space="preserve"> </w:t>
      </w:r>
      <w:r w:rsidRPr="00AE0B3D">
        <w:rPr>
          <w:lang w:val="en-US"/>
        </w:rPr>
        <w:t>is considered to have a</w:t>
      </w:r>
      <w:r w:rsidR="00561C91" w:rsidRPr="00AE0B3D">
        <w:rPr>
          <w:lang w:val="en-US"/>
        </w:rPr>
        <w:t xml:space="preserve"> </w:t>
      </w:r>
      <w:r w:rsidR="008F069F" w:rsidRPr="00AE0B3D">
        <w:rPr>
          <w:lang w:val="en-US"/>
        </w:rPr>
        <w:t>positive impact</w:t>
      </w:r>
      <w:r w:rsidR="00561C91" w:rsidRPr="00AE0B3D">
        <w:rPr>
          <w:lang w:val="en-US"/>
        </w:rPr>
        <w:t xml:space="preserve"> on the performance of the </w:t>
      </w:r>
      <w:r w:rsidR="00204DE9" w:rsidRPr="00AE0B3D">
        <w:rPr>
          <w:lang w:val="en-US"/>
        </w:rPr>
        <w:t xml:space="preserve">organization. Therefore, it can be used in the </w:t>
      </w:r>
      <w:r w:rsidR="005A7ED7" w:rsidRPr="00AE0B3D">
        <w:rPr>
          <w:lang w:val="en-US"/>
        </w:rPr>
        <w:t>development of incentive in human resource management</w:t>
      </w:r>
      <w:r w:rsidR="004205F3" w:rsidRPr="00AE0B3D">
        <w:rPr>
          <w:lang w:val="en-US"/>
        </w:rPr>
        <w:t xml:space="preserve"> </w:t>
      </w:r>
      <w:r w:rsidR="005A7ED7" w:rsidRPr="00AE0B3D">
        <w:rPr>
          <w:lang w:val="en-US"/>
        </w:rPr>
        <w:fldChar w:fldCharType="begin" w:fldLock="1"/>
      </w:r>
      <w:r w:rsidR="00436BBA" w:rsidRPr="00AE0B3D">
        <w:rPr>
          <w:lang w:val="en-US"/>
        </w:rPr>
        <w:instrText>ADDIN CSL_CITATION {"citationItems":[{"id":"ITEM-1","itemData":{"DOI":"10.1016/j.jbusvent.2016.05.005","ISSN":"08839026","abstract":"The role of human capital has received considerable attention in research on small and medium sized firms. However, much uncertainty remains as to how practices that enhance human resources (HR) affect the performance of small and medium sized firms, whether some practices have stronger effects than others, and which contingencies influence these effects. Relying on the framework proposed by Subramony (2009), we propose that small and medium sized firms need to implement HR practices that focus on enhancing skills, motivation, and empowerment. The results of our meta-analysis comprising 56 studies that focused on small and medium sized enterprises (SME) indicated that HR-enhancing practices are correlated with firm performance (rc = .228). Moreover, HR-enhancing practices were more relevant for young firms and SME operating in high-tech industries and in country contexts characterized by rigid labor regulations. We compare the results of this meta-analysis with meta-analyses performed in the large firm context. Overall, our results suggest that HR-enhancing practices are important in the SME context in general and, moreover, they specify whether or not these practices have to be adapted to the SME context.","author":[{"dropping-particle":"","family":"Rauch","given":"Andreas","non-dropping-particle":"","parse-names":false,"suffix":""},{"dropping-particle":"","family":"Hatak","given":"Isabella","non-dropping-particle":"","parse-names":false,"suffix":""}],"container-title":"Journal of Business Venturing","id":"ITEM-1","issue":"5","issued":{"date-parts":[["2016"]]},"page":"485-504","publisher":"Elsevier Inc.","title":"A meta-analysis of different HR-enhancing practices and performance of small and medium sized firms","type":"article-journal","volume":"31"},"uris":["http://www.mendeley.com/documents/?uuid=59965222-ba18-4939-a6e7-65cc139b9366"]}],"mendeley":{"formattedCitation":"(Rauch &amp; Hatak, 2016)","plainTextFormattedCitation":"(Rauch &amp; Hatak, 2016)","previouslyFormattedCitation":"(Rauch &amp; Hatak, 2016)"},"properties":{"noteIndex":0},"schema":"https://github.com/citation-style-language/schema/raw/master/csl-citation.json"}</w:instrText>
      </w:r>
      <w:r w:rsidR="005A7ED7" w:rsidRPr="00AE0B3D">
        <w:rPr>
          <w:lang w:val="en-US"/>
        </w:rPr>
        <w:fldChar w:fldCharType="separate"/>
      </w:r>
      <w:r w:rsidR="005A7ED7" w:rsidRPr="00AE0B3D">
        <w:rPr>
          <w:noProof/>
          <w:lang w:val="en-US"/>
        </w:rPr>
        <w:t>(Rauch &amp; Hatak, 2016)</w:t>
      </w:r>
      <w:r w:rsidR="005A7ED7" w:rsidRPr="00AE0B3D">
        <w:rPr>
          <w:lang w:val="en-US"/>
        </w:rPr>
        <w:fldChar w:fldCharType="end"/>
      </w:r>
      <w:r w:rsidR="005A7ED7" w:rsidRPr="00AE0B3D">
        <w:rPr>
          <w:lang w:val="en-US"/>
        </w:rPr>
        <w:t xml:space="preserve"> </w:t>
      </w:r>
      <w:r w:rsidR="00561C91" w:rsidRPr="00AE0B3D">
        <w:rPr>
          <w:lang w:val="en-US"/>
        </w:rPr>
        <w:t xml:space="preserve">. </w:t>
      </w:r>
      <w:r w:rsidR="00851EEE" w:rsidRPr="00AE0B3D">
        <w:rPr>
          <w:lang w:val="en-US"/>
        </w:rPr>
        <w:t>I</w:t>
      </w:r>
      <w:r w:rsidR="00561C91" w:rsidRPr="00AE0B3D">
        <w:rPr>
          <w:lang w:val="en-US"/>
        </w:rPr>
        <w:t xml:space="preserve">t is crucial for the organization to </w:t>
      </w:r>
      <w:r w:rsidR="00461B0A" w:rsidRPr="00AE0B3D">
        <w:rPr>
          <w:noProof/>
          <w:lang w:val="en-US"/>
        </w:rPr>
        <w:t xml:space="preserve">put </w:t>
      </w:r>
      <w:r w:rsidR="00561C91" w:rsidRPr="00AE0B3D">
        <w:rPr>
          <w:noProof/>
          <w:lang w:val="en-US"/>
        </w:rPr>
        <w:t>place</w:t>
      </w:r>
      <w:r w:rsidR="00561C91" w:rsidRPr="00AE0B3D">
        <w:rPr>
          <w:lang w:val="en-US"/>
        </w:rPr>
        <w:t xml:space="preserve"> an efficient compensation strategy that facilitates motivation of the employees and </w:t>
      </w:r>
      <w:r w:rsidR="00561C91" w:rsidRPr="00AE0B3D">
        <w:rPr>
          <w:noProof/>
          <w:lang w:val="en-US"/>
        </w:rPr>
        <w:t>enhance</w:t>
      </w:r>
      <w:r w:rsidR="00461B0A" w:rsidRPr="00AE0B3D">
        <w:rPr>
          <w:noProof/>
          <w:lang w:val="en-US"/>
        </w:rPr>
        <w:t>s</w:t>
      </w:r>
      <w:r w:rsidR="00561C91" w:rsidRPr="00AE0B3D">
        <w:rPr>
          <w:lang w:val="en-US"/>
        </w:rPr>
        <w:t xml:space="preserve"> the organization performance</w:t>
      </w:r>
      <w:r w:rsidR="00C16637" w:rsidRPr="00AE0B3D">
        <w:rPr>
          <w:lang w:val="en-US"/>
        </w:rPr>
        <w:t xml:space="preserve"> </w:t>
      </w:r>
      <w:r w:rsidR="00436BBA" w:rsidRPr="00AE0B3D">
        <w:rPr>
          <w:lang w:val="en-US"/>
        </w:rPr>
        <w:fldChar w:fldCharType="begin" w:fldLock="1"/>
      </w:r>
      <w:r w:rsidR="00BF4423" w:rsidRPr="00AE0B3D">
        <w:rPr>
          <w:lang w:val="en-US"/>
        </w:rPr>
        <w:instrText>ADDIN CSL_CITATION {"citationItems":[{"id":"ITEM-1","itemData":{"DOI":"10.1080/09718923.2014.11893369","ISSN":"0971-8923","abstract":"Human resources are the pivot of organisational effectiveness and the greatest asset that an organisation can possess. The retention of skilful and well equipped workforce in an organisation is pertinent to the growth and overall performance of an organisation. The satisfied employees’ surely contribute to the organisation to achieve its competitive advantage over its competitors. The present study is an attempt to investigate the relationship between compensation management and employees’ job satisfaction in Nigeria’s Insurance Sector. The instrument used in information gathering was questionnaire. In all, 250 questionnaires were administered to the employees’ of an insurance company, 213 were retrieved and 212 were found usable for response rate of 84.4%. The statistical analysis revealed that compensation management and employees’ job satisfaction are significantly correlated though weak and that compensation management have an impact on motivation and job satisfaction of employees’. Implications of the study for managers in the perspective of HR practices have been highlighted and recommendations are offered","author":[{"dropping-particle":"","family":"Adeoye","given":"Abayomi Olarewaju","non-dropping-particle":"","parse-names":false,"suffix":""},{"dropping-particle":"","family":"Fields","given":"Ziska","non-dropping-particle":"","parse-names":false,"suffix":""}],"container-title":"Journal of Social Sciences","id":"ITEM-1","issue":"3","issued":{"date-parts":[["2014"]]},"page":"345-352","title":"Compensation Management and Employee Job Satisfaction: A Case of Nigeria","type":"article-journal","volume":"41"},"uris":["http://www.mendeley.com/documents/?uuid=5103ec40-443b-4b59-acca-6f8195dfbee2"]}],"mendeley":{"formattedCitation":"(Adeoye &amp; Fields, 2014)","plainTextFormattedCitation":"(Adeoye &amp; Fields, 2014)","previouslyFormattedCitation":"(Adeoye &amp; Fields, 2014)"},"properties":{"noteIndex":0},"schema":"https://github.com/citation-style-language/schema/raw/master/csl-citation.json"}</w:instrText>
      </w:r>
      <w:r w:rsidR="00436BBA" w:rsidRPr="00AE0B3D">
        <w:rPr>
          <w:lang w:val="en-US"/>
        </w:rPr>
        <w:fldChar w:fldCharType="separate"/>
      </w:r>
      <w:r w:rsidR="00436BBA" w:rsidRPr="00AE0B3D">
        <w:rPr>
          <w:noProof/>
          <w:lang w:val="en-US"/>
        </w:rPr>
        <w:t>(Adeoye &amp; Fields, 2014)</w:t>
      </w:r>
      <w:r w:rsidR="00436BBA" w:rsidRPr="00AE0B3D">
        <w:rPr>
          <w:lang w:val="en-US"/>
        </w:rPr>
        <w:fldChar w:fldCharType="end"/>
      </w:r>
      <w:r w:rsidR="00561C91" w:rsidRPr="00AE0B3D">
        <w:rPr>
          <w:lang w:val="en-US"/>
        </w:rPr>
        <w:t xml:space="preserve">. </w:t>
      </w:r>
    </w:p>
    <w:p w14:paraId="21272762" w14:textId="5937AA25" w:rsidR="00561C91" w:rsidRPr="00AE0B3D" w:rsidRDefault="006536E0" w:rsidP="00012323">
      <w:pPr>
        <w:pStyle w:val="Heading3"/>
        <w:jc w:val="center"/>
        <w:rPr>
          <w:lang w:val="en-US"/>
        </w:rPr>
      </w:pPr>
      <w:bookmarkStart w:id="47" w:name="_Toc78067513"/>
      <w:r w:rsidRPr="00AE0B3D">
        <w:rPr>
          <w:lang w:val="en-US"/>
        </w:rPr>
        <w:t>Shares</w:t>
      </w:r>
      <w:bookmarkEnd w:id="47"/>
    </w:p>
    <w:p w14:paraId="761E9DF6" w14:textId="3D69C6B0" w:rsidR="00561C91" w:rsidRPr="00AE0B3D" w:rsidRDefault="007E32FA" w:rsidP="00561C91">
      <w:pPr>
        <w:rPr>
          <w:lang w:val="en-US"/>
        </w:rPr>
      </w:pPr>
      <w:r w:rsidRPr="00AE0B3D">
        <w:rPr>
          <w:noProof/>
          <w:lang w:val="en-US"/>
        </w:rPr>
        <w:t xml:space="preserve">Shares is one of the equity based compensation or </w:t>
      </w:r>
      <w:r w:rsidR="005220B6" w:rsidRPr="00AE0B3D">
        <w:rPr>
          <w:noProof/>
          <w:lang w:val="en-US"/>
        </w:rPr>
        <w:t>remuneration</w:t>
      </w:r>
      <w:r w:rsidRPr="00AE0B3D">
        <w:rPr>
          <w:noProof/>
          <w:lang w:val="en-US"/>
        </w:rPr>
        <w:t xml:space="preserve"> that are utilised by organisation</w:t>
      </w:r>
      <w:r w:rsidR="005F0B11" w:rsidRPr="00AE0B3D">
        <w:rPr>
          <w:noProof/>
          <w:lang w:val="en-US"/>
        </w:rPr>
        <w:t xml:space="preserve">s. </w:t>
      </w:r>
      <w:r w:rsidR="000B1154" w:rsidRPr="00AE0B3D">
        <w:rPr>
          <w:noProof/>
          <w:lang w:val="en-US"/>
        </w:rPr>
        <w:t>E</w:t>
      </w:r>
      <w:proofErr w:type="spellStart"/>
      <w:r w:rsidR="00561C91" w:rsidRPr="00AE0B3D">
        <w:rPr>
          <w:lang w:val="en-US"/>
        </w:rPr>
        <w:t>quity</w:t>
      </w:r>
      <w:proofErr w:type="spellEnd"/>
      <w:r w:rsidR="00561C91" w:rsidRPr="00AE0B3D">
        <w:rPr>
          <w:lang w:val="en-US"/>
        </w:rPr>
        <w:t xml:space="preserve"> grants form part of rewards that employees receive from organization</w:t>
      </w:r>
      <w:r w:rsidR="007F7AB1" w:rsidRPr="00AE0B3D">
        <w:rPr>
          <w:lang w:val="en-US"/>
        </w:rPr>
        <w:t xml:space="preserve"> as a component of </w:t>
      </w:r>
      <w:r w:rsidR="00B26633" w:rsidRPr="00AE0B3D">
        <w:rPr>
          <w:lang w:val="en-US"/>
        </w:rPr>
        <w:t>remuneration.</w:t>
      </w:r>
      <w:r w:rsidR="00561C91" w:rsidRPr="00AE0B3D">
        <w:rPr>
          <w:lang w:val="en-US"/>
        </w:rPr>
        <w:t xml:space="preserve"> They include </w:t>
      </w:r>
      <w:r w:rsidR="002B7474" w:rsidRPr="00AE0B3D">
        <w:rPr>
          <w:lang w:val="en-US"/>
        </w:rPr>
        <w:t xml:space="preserve">a </w:t>
      </w:r>
      <w:r w:rsidR="00561C91" w:rsidRPr="00AE0B3D">
        <w:rPr>
          <w:noProof/>
          <w:lang w:val="en-US"/>
        </w:rPr>
        <w:t>limited</w:t>
      </w:r>
      <w:r w:rsidR="00561C91" w:rsidRPr="00AE0B3D">
        <w:rPr>
          <w:lang w:val="en-US"/>
        </w:rPr>
        <w:t xml:space="preserve"> stock option that the employees may purchase when in </w:t>
      </w:r>
      <w:r w:rsidR="002B7474" w:rsidRPr="00AE0B3D">
        <w:rPr>
          <w:lang w:val="en-US"/>
        </w:rPr>
        <w:t xml:space="preserve">a </w:t>
      </w:r>
      <w:r w:rsidR="00561C91" w:rsidRPr="00AE0B3D">
        <w:rPr>
          <w:noProof/>
          <w:lang w:val="en-US"/>
        </w:rPr>
        <w:t>certain</w:t>
      </w:r>
      <w:r w:rsidR="00561C91" w:rsidRPr="00AE0B3D">
        <w:rPr>
          <w:lang w:val="en-US"/>
        </w:rPr>
        <w:t xml:space="preserve"> position and earning a certain amount of salary. The </w:t>
      </w:r>
      <w:r w:rsidR="002B7474" w:rsidRPr="00AE0B3D">
        <w:rPr>
          <w:lang w:val="en-US"/>
        </w:rPr>
        <w:t>top</w:t>
      </w:r>
      <w:r w:rsidR="00561C91" w:rsidRPr="00AE0B3D">
        <w:rPr>
          <w:lang w:val="en-US"/>
        </w:rPr>
        <w:t xml:space="preserve"> employees of the organization are allowed higher equity grants as compared to employees of </w:t>
      </w:r>
      <w:r w:rsidR="002B7474" w:rsidRPr="00AE0B3D">
        <w:rPr>
          <w:lang w:val="en-US"/>
        </w:rPr>
        <w:t xml:space="preserve">the </w:t>
      </w:r>
      <w:r w:rsidR="00561C91" w:rsidRPr="00AE0B3D">
        <w:rPr>
          <w:noProof/>
          <w:lang w:val="en-US"/>
        </w:rPr>
        <w:t>lower</w:t>
      </w:r>
      <w:r w:rsidR="00561C91" w:rsidRPr="00AE0B3D">
        <w:rPr>
          <w:lang w:val="en-US"/>
        </w:rPr>
        <w:t xml:space="preserve"> level</w:t>
      </w:r>
      <w:r w:rsidR="002B7474" w:rsidRPr="00AE0B3D">
        <w:rPr>
          <w:lang w:val="en-US"/>
        </w:rPr>
        <w:t>s</w:t>
      </w:r>
      <w:r w:rsidR="00561C91" w:rsidRPr="00AE0B3D">
        <w:rPr>
          <w:lang w:val="en-US"/>
        </w:rPr>
        <w:t>. The equity grants influence the performance of the organization as the employees partly work to earn more value through the grants that they own</w:t>
      </w:r>
      <w:r w:rsidR="00782A0D" w:rsidRPr="00AE0B3D">
        <w:rPr>
          <w:lang w:val="en-US"/>
        </w:rPr>
        <w:t xml:space="preserve"> </w:t>
      </w:r>
      <w:r w:rsidR="00BF4423" w:rsidRPr="00AE0B3D">
        <w:rPr>
          <w:lang w:val="en-US"/>
        </w:rPr>
        <w:fldChar w:fldCharType="begin" w:fldLock="1"/>
      </w:r>
      <w:r w:rsidR="007069FD" w:rsidRPr="00AE0B3D">
        <w:rPr>
          <w:lang w:val="en-US"/>
        </w:rPr>
        <w:instrText>ADDIN CSL_CITATION {"citationItems":[{"id":"ITEM-1","itemData":{"DOI":"10.1287/orsc.2013.0830","ISSN":"1047-7039","abstract":"We contribute to the behavioral theory of the firm and the behavioral agency model by developing a theoretical framework that predicts the differential interaction effects of performance feedback and values of stock option grants of multiple agents on firm risk taking. We explain how chief executive officers (CEOs) versus outside directors awarded with stock option grants perceive negative or positive deviations from prior performance. We argue that in a negative attainment discrepancy context, high values of option grants will increase the risk aversion of CEOs who already bear excessive employment and compensation risks, resulting in less risk taking; however, it will enhance the risk-taking propensity of influential outside directors who increase monitoring and support for risky projects because their risk preferences are better aligned with those of shareholders. In a positive attainment discrepancy context, high values of option grants will amplify risk aversion in both CEOs and outside directors who perceive risky strategies as potential threats to anticipated incentive values associated with a gain domain, thereby reducing risk-taking activities. Analysis of panel data from 1992 to 2006 on the research and development spending of U.S. manufacturing firms based on Arellano-Bond dynamic panel regression reveals findings largely consistent with our predictions.","author":[{"dropping-particle":"","family":"Lim","given":"Elizabeth N. K.","non-dropping-particle":"","parse-names":false,"suffix":""},{"dropping-particle":"","family":"McCann","given":"Brian T.","non-dropping-particle":"","parse-names":false,"suffix":""}],"container-title":"Organization Science","id":"ITEM-1","issue":"1","issued":{"date-parts":[["2013"]]},"page":"262-282","title":"Performance Feedback and Firm Risk Taking: The Moderating Effects of CEO and Outside Director Stock Options","type":"article-journal","volume":"25"},"uris":["http://www.mendeley.com/documents/?uuid=1bffcae1-ee62-452f-a100-79b9c5a4c3dd"]}],"mendeley":{"formattedCitation":"(Lim &amp; McCann, 2013)","plainTextFormattedCitation":"(Lim &amp; McCann, 2013)","previouslyFormattedCitation":"(Lim &amp; McCann, 2013)"},"properties":{"noteIndex":0},"schema":"https://github.com/citation-style-language/schema/raw/master/csl-citation.json"}</w:instrText>
      </w:r>
      <w:r w:rsidR="00BF4423" w:rsidRPr="00AE0B3D">
        <w:rPr>
          <w:lang w:val="en-US"/>
        </w:rPr>
        <w:fldChar w:fldCharType="separate"/>
      </w:r>
      <w:r w:rsidR="00BF4423" w:rsidRPr="00AE0B3D">
        <w:rPr>
          <w:noProof/>
          <w:lang w:val="en-US"/>
        </w:rPr>
        <w:t>(Lim &amp; McCann, 2013)</w:t>
      </w:r>
      <w:r w:rsidR="00BF4423" w:rsidRPr="00AE0B3D">
        <w:rPr>
          <w:lang w:val="en-US"/>
        </w:rPr>
        <w:fldChar w:fldCharType="end"/>
      </w:r>
      <w:r w:rsidR="00561C91" w:rsidRPr="00AE0B3D">
        <w:rPr>
          <w:lang w:val="en-US"/>
        </w:rPr>
        <w:t xml:space="preserve">. </w:t>
      </w:r>
      <w:r w:rsidR="00BF4423" w:rsidRPr="00AE0B3D">
        <w:rPr>
          <w:lang w:val="en-US"/>
        </w:rPr>
        <w:t>P</w:t>
      </w:r>
      <w:r w:rsidR="00561C91" w:rsidRPr="00AE0B3D">
        <w:rPr>
          <w:lang w:val="en-US"/>
        </w:rPr>
        <w:t>rovision of equity to the employees motivated them to perform better in their undertakings within the organization</w:t>
      </w:r>
      <w:r w:rsidR="007069FD" w:rsidRPr="00AE0B3D">
        <w:rPr>
          <w:lang w:val="en-US"/>
        </w:rPr>
        <w:t xml:space="preserve"> </w:t>
      </w:r>
      <w:r w:rsidR="007069FD" w:rsidRPr="00AE0B3D">
        <w:rPr>
          <w:lang w:val="en-US"/>
        </w:rPr>
        <w:fldChar w:fldCharType="begin" w:fldLock="1"/>
      </w:r>
      <w:r w:rsidR="00010FC5" w:rsidRPr="00AE0B3D">
        <w:rPr>
          <w:lang w:val="en-US"/>
        </w:rPr>
        <w:instrText>ADDIN CSL_CITATION {"citationItems":[{"id":"ITEM-1","itemData":{"DOI":"10.1111/corg.12127","ISSN":"14678683","abstract":"Manuscript Type: Empirical Research Question/Issue: This paper investigates whether corporate payout policies (dividends, share repurchases, a combination of dividends and share repurchases, and full earnings retention) are set by CEOs who intend to maximize their personal wealth. Research Findings/Insights: For all listed UK companies we study whether the payout channel choice is affected by investor sentiment, taxation, major shareholder ownership, and in particular the CEO's compensation package. The payout choice has an immediate effect on the value of the CEO's stock options and restricted stock, as anticipated dividends drive down the value of his equity-based pay (if it is not dividend-protected), and share repurchases have a positive impact on pay. By means of a quantile regression approach and nested logit models, we find that CEOs adopt a payout policy that increases the value of their equity-based pay. Theoretical/Academic Implications: Traditional research shows that corporate payout policies cater to shareholder clienteles who have preferences for specific types of payout induced by e.g. differences in taxation on dividends and capital gains, or market sentiment. We demonstrate that it is a CEO's personal wealth as reflected by his compensation package rather than shareholder preferences that has the strongest impact on the payout policy. Practitioner/Policy Implications: This research encourages firms/remuneration consultants to make top management's remuneration packages 'dividend-neutral', in other words to remove the negative impact of the dividends on pay such that the payout and payout channel choice will not be influenced by the CEO's wealth. In addition, this research encourages shareholders to contemplate whether the payout is beneficial for them and to vote on the proposed payout policy at the annual general meetings.","author":[{"dropping-particle":"","family":"Geiler","given":"Philipp","non-dropping-particle":"","parse-names":false,"suffix":""}],"container-title":"Corporate Governance: An International Review","id":"ITEM-1","issued":{"date-parts":[["2013"]]},"title":"Executive Remuneration and the Payout Decision","type":"article-journal","volume":"33"},"uris":["http://www.mendeley.com/documents/?uuid=4793b6d8-99cd-4be2-ab36-bbee49b71bc8"]}],"mendeley":{"formattedCitation":"(Geiler, 2013)","plainTextFormattedCitation":"(Geiler, 2013)","previouslyFormattedCitation":"(Geiler, 2013)"},"properties":{"noteIndex":0},"schema":"https://github.com/citation-style-language/schema/raw/master/csl-citation.json"}</w:instrText>
      </w:r>
      <w:r w:rsidR="007069FD" w:rsidRPr="00AE0B3D">
        <w:rPr>
          <w:lang w:val="en-US"/>
        </w:rPr>
        <w:fldChar w:fldCharType="separate"/>
      </w:r>
      <w:r w:rsidR="007069FD" w:rsidRPr="00AE0B3D">
        <w:rPr>
          <w:noProof/>
          <w:lang w:val="en-US"/>
        </w:rPr>
        <w:t>(Geiler, 2013)</w:t>
      </w:r>
      <w:r w:rsidR="007069FD" w:rsidRPr="00AE0B3D">
        <w:rPr>
          <w:lang w:val="en-US"/>
        </w:rPr>
        <w:fldChar w:fldCharType="end"/>
      </w:r>
      <w:r w:rsidR="00561C91" w:rsidRPr="00AE0B3D">
        <w:rPr>
          <w:lang w:val="en-US"/>
        </w:rPr>
        <w:t>.</w:t>
      </w:r>
      <w:r w:rsidR="006C13EB" w:rsidRPr="00AE0B3D">
        <w:rPr>
          <w:lang w:val="en-US"/>
        </w:rPr>
        <w:t xml:space="preserve"> </w:t>
      </w:r>
      <w:r w:rsidR="00F03FDA" w:rsidRPr="00AE0B3D">
        <w:rPr>
          <w:lang w:val="en-US"/>
        </w:rPr>
        <w:t>G</w:t>
      </w:r>
      <w:r w:rsidR="00E606AE" w:rsidRPr="00AE0B3D">
        <w:rPr>
          <w:lang w:val="en-US"/>
        </w:rPr>
        <w:t>ood structuring of</w:t>
      </w:r>
      <w:r w:rsidR="00B1049C" w:rsidRPr="00AE0B3D">
        <w:rPr>
          <w:lang w:val="en-US"/>
        </w:rPr>
        <w:t xml:space="preserve"> employee</w:t>
      </w:r>
      <w:r w:rsidR="00E606AE" w:rsidRPr="00AE0B3D">
        <w:rPr>
          <w:lang w:val="en-US"/>
        </w:rPr>
        <w:t xml:space="preserve"> incentive especially related to equity such as shares is important as it impact </w:t>
      </w:r>
      <w:r w:rsidR="006645E9" w:rsidRPr="00AE0B3D">
        <w:rPr>
          <w:lang w:val="en-US"/>
        </w:rPr>
        <w:t>organization</w:t>
      </w:r>
      <w:r w:rsidR="00E606AE" w:rsidRPr="00AE0B3D">
        <w:rPr>
          <w:lang w:val="en-US"/>
        </w:rPr>
        <w:t xml:space="preserve"> </w:t>
      </w:r>
      <w:r w:rsidR="00406C1E" w:rsidRPr="00AE0B3D">
        <w:rPr>
          <w:lang w:val="en-US"/>
        </w:rPr>
        <w:t>performance.</w:t>
      </w:r>
      <w:r w:rsidR="00F15AFC" w:rsidRPr="00AE0B3D">
        <w:rPr>
          <w:lang w:val="en-US"/>
        </w:rPr>
        <w:t xml:space="preserve"> </w:t>
      </w:r>
      <w:r w:rsidR="00BF4001" w:rsidRPr="00AE0B3D">
        <w:rPr>
          <w:noProof/>
        </w:rPr>
        <w:t>Manzaneque, Merino, and Banegas</w:t>
      </w:r>
      <w:r w:rsidR="00B30DAA" w:rsidRPr="00AE0B3D">
        <w:rPr>
          <w:lang w:val="en-US"/>
        </w:rPr>
        <w:t xml:space="preserve"> </w:t>
      </w:r>
      <w:sdt>
        <w:sdtPr>
          <w:rPr>
            <w:lang w:val="en-US"/>
          </w:rPr>
          <w:id w:val="1169672468"/>
          <w:citation/>
        </w:sdtPr>
        <w:sdtEndPr/>
        <w:sdtContent>
          <w:r w:rsidR="00647693" w:rsidRPr="00AE0B3D">
            <w:rPr>
              <w:lang w:val="en-US"/>
            </w:rPr>
            <w:fldChar w:fldCharType="begin"/>
          </w:r>
          <w:r w:rsidR="00BF4001" w:rsidRPr="00AE0B3D">
            <w:instrText xml:space="preserve">CITATION Man163 \n  \t  \l 2057 </w:instrText>
          </w:r>
          <w:r w:rsidR="00647693" w:rsidRPr="00AE0B3D">
            <w:rPr>
              <w:lang w:val="en-US"/>
            </w:rPr>
            <w:fldChar w:fldCharType="separate"/>
          </w:r>
          <w:r w:rsidR="0054398B" w:rsidRPr="00AE0B3D">
            <w:rPr>
              <w:noProof/>
            </w:rPr>
            <w:t>(2016)</w:t>
          </w:r>
          <w:r w:rsidR="00647693" w:rsidRPr="00AE0B3D">
            <w:rPr>
              <w:lang w:val="en-US"/>
            </w:rPr>
            <w:fldChar w:fldCharType="end"/>
          </w:r>
        </w:sdtContent>
      </w:sdt>
      <w:r w:rsidR="00BF4001" w:rsidRPr="00AE0B3D">
        <w:rPr>
          <w:lang w:val="en-US"/>
        </w:rPr>
        <w:t xml:space="preserve"> </w:t>
      </w:r>
      <w:r w:rsidR="00A70C61" w:rsidRPr="00AE0B3D">
        <w:rPr>
          <w:lang w:val="en-US"/>
        </w:rPr>
        <w:t xml:space="preserve">identified that shares </w:t>
      </w:r>
      <w:r w:rsidR="008E1682" w:rsidRPr="00AE0B3D">
        <w:rPr>
          <w:lang w:val="en-US"/>
        </w:rPr>
        <w:t>are</w:t>
      </w:r>
      <w:r w:rsidR="00A70C61" w:rsidRPr="00AE0B3D">
        <w:rPr>
          <w:lang w:val="en-US"/>
        </w:rPr>
        <w:t xml:space="preserve"> an important </w:t>
      </w:r>
      <w:r w:rsidR="005220B6" w:rsidRPr="00AE0B3D">
        <w:rPr>
          <w:lang w:val="en-US"/>
        </w:rPr>
        <w:t>remuneration</w:t>
      </w:r>
      <w:r w:rsidR="003100BC" w:rsidRPr="00AE0B3D">
        <w:rPr>
          <w:lang w:val="en-US"/>
        </w:rPr>
        <w:t xml:space="preserve"> component for top management</w:t>
      </w:r>
      <w:r w:rsidR="00010FC5" w:rsidRPr="00AE0B3D">
        <w:rPr>
          <w:lang w:val="en-US"/>
        </w:rPr>
        <w:t xml:space="preserve"> </w:t>
      </w:r>
      <w:r w:rsidR="00010FC5" w:rsidRPr="00AE0B3D">
        <w:rPr>
          <w:lang w:val="en-US"/>
        </w:rPr>
        <w:fldChar w:fldCharType="begin" w:fldLock="1"/>
      </w:r>
      <w:r w:rsidR="00955099">
        <w:rPr>
          <w:lang w:val="en-US"/>
        </w:rPr>
        <w:instrText>ADDIN CSL_CITATION {"citationItems":[{"id":"ITEM-1","itemData":{"author":[{"dropping-particle":"","family":"Kostyuk","given":"A","non-dropping-particle":"","parse-names":false,"suffix":""},{"dropping-particle":"","family":"Stiglbauer","given":"M","non-dropping-particle":"","parse-names":false,"suffix":""},{"dropping-particle":"","family":"Govorun","given":"D","non-dropping-particle":"","parse-names":false,"suffix":""}],"id":"ITEM-1","issued":{"date-parts":[["2016"]]},"title":"The Theory and Practice of Directors' Remuneration: New Challenges and Opportunities","type":"book"},"uris":["http://www.mendeley.com/documents/?uuid=38f46d87-c9aa-3f0a-87e1-ea28be42ef2a"]}],"mendeley":{"formattedCitation":"(Kostyuk et al., 2016)","manualFormatting":"(Kostyuk et al., 2016)","plainTextFormattedCitation":"(Kostyuk et al., 2016)","previouslyFormattedCitation":"(Kostyuk et al., 2016)"},"properties":{"noteIndex":0},"schema":"https://github.com/citation-style-language/schema/raw/master/csl-citation.json"}</w:instrText>
      </w:r>
      <w:r w:rsidR="00010FC5" w:rsidRPr="00AE0B3D">
        <w:rPr>
          <w:lang w:val="en-US"/>
        </w:rPr>
        <w:fldChar w:fldCharType="separate"/>
      </w:r>
      <w:r w:rsidR="00010FC5" w:rsidRPr="00AE0B3D">
        <w:rPr>
          <w:noProof/>
          <w:lang w:val="en-US"/>
        </w:rPr>
        <w:t>(Kostyuk</w:t>
      </w:r>
      <w:r w:rsidR="002A5287">
        <w:rPr>
          <w:noProof/>
          <w:lang w:val="en-US"/>
        </w:rPr>
        <w:t xml:space="preserve"> </w:t>
      </w:r>
      <w:r w:rsidR="002A5287" w:rsidRPr="006B3E1F">
        <w:rPr>
          <w:rFonts w:cs="Times New Roman"/>
          <w:noProof/>
        </w:rPr>
        <w:t>et al.</w:t>
      </w:r>
      <w:r w:rsidR="00010FC5" w:rsidRPr="00AE0B3D">
        <w:rPr>
          <w:noProof/>
          <w:lang w:val="en-US"/>
        </w:rPr>
        <w:t>, 2016)</w:t>
      </w:r>
      <w:r w:rsidR="00010FC5" w:rsidRPr="00AE0B3D">
        <w:rPr>
          <w:lang w:val="en-US"/>
        </w:rPr>
        <w:fldChar w:fldCharType="end"/>
      </w:r>
      <w:r w:rsidR="003100BC" w:rsidRPr="00AE0B3D">
        <w:rPr>
          <w:lang w:val="en-US"/>
        </w:rPr>
        <w:t xml:space="preserve">. </w:t>
      </w:r>
    </w:p>
    <w:p w14:paraId="0F9ECB86" w14:textId="73EB7FE0" w:rsidR="00561C91" w:rsidRPr="00AE0B3D" w:rsidRDefault="00561C91" w:rsidP="009D11AA">
      <w:pPr>
        <w:rPr>
          <w:lang w:val="en-US"/>
        </w:rPr>
      </w:pPr>
      <w:r w:rsidRPr="00AE0B3D">
        <w:rPr>
          <w:noProof/>
          <w:lang w:val="en-US"/>
        </w:rPr>
        <w:lastRenderedPageBreak/>
        <w:t>CEO</w:t>
      </w:r>
      <w:r w:rsidRPr="00AE0B3D">
        <w:rPr>
          <w:lang w:val="en-US"/>
        </w:rPr>
        <w:t xml:space="preserve"> compensation </w:t>
      </w:r>
      <w:r w:rsidR="00807F82" w:rsidRPr="00AE0B3D">
        <w:rPr>
          <w:lang w:val="en-US"/>
        </w:rPr>
        <w:t xml:space="preserve">influence </w:t>
      </w:r>
      <w:r w:rsidRPr="00AE0B3D">
        <w:rPr>
          <w:lang w:val="en-US"/>
        </w:rPr>
        <w:t>the financial performance of the organization</w:t>
      </w:r>
      <w:r w:rsidR="00807F82" w:rsidRPr="00AE0B3D">
        <w:rPr>
          <w:lang w:val="en-US"/>
        </w:rPr>
        <w:t xml:space="preserve"> as they play an important role in the overall operation</w:t>
      </w:r>
      <w:r w:rsidR="0023740C" w:rsidRPr="00AE0B3D">
        <w:rPr>
          <w:lang w:val="en-US"/>
        </w:rPr>
        <w:t>s and meeting organizations’ goals</w:t>
      </w:r>
      <w:r w:rsidR="00C47F10" w:rsidRPr="00AE0B3D">
        <w:rPr>
          <w:lang w:val="en-US"/>
        </w:rPr>
        <w:t xml:space="preserve"> </w:t>
      </w:r>
      <w:r w:rsidR="00C47F10" w:rsidRPr="00AE0B3D">
        <w:rPr>
          <w:lang w:val="en-US"/>
        </w:rPr>
        <w:fldChar w:fldCharType="begin" w:fldLock="1"/>
      </w:r>
      <w:r w:rsidR="002B1F77" w:rsidRPr="00AE0B3D">
        <w:rPr>
          <w:lang w:val="en-US"/>
        </w:rPr>
        <w:instrText>ADDIN CSL_CITATION {"citationItems":[{"id":"ITEM-1","itemData":{"author":[{"dropping-particle":"","family":"Lindström","given":"Anna","non-dropping-particle":"","parse-names":false,"suffix":""},{"dropping-particle":"","family":"Svensson","given":"Johanna","non-dropping-particle":"","parse-names":false,"suffix":""}],"id":"ITEM-1","issued":{"date-parts":[["2016"]]},"title":"Top management compensation and firm performance - A matter of context ?","type":"article-journal"},"uris":["http://www.mendeley.com/documents/?uuid=9705f8f7-84e6-4bbc-bead-b13e296f34fb"]},{"id":"ITEM-2","itemData":{"abstract":"A B S T R A C T It is often believed that it is the role of the executive directors of a company to create value and profits for the company. The question arises: should directors then receive an increase and performance-related remuneration if value is not created? This article examines the relationship between short-term executive compensation and company performance for a sample of companies listed on the Alternative Exchange (AltX) in South Africa between 2003 and 2010. Evidence is provided that there is a strong relationship between executive remuneration and some company performance variables, such as total assets, turnover and share price. The corporate governance measures and disclosure requirements applicable to executive remuneration are also examined.","author":[{"dropping-particle":"","family":"Scholtz","given":"H E","non-dropping-particle":"","parse-names":false,"suffix":""},{"dropping-particle":"","family":"Smit","given":"A","non-dropping-particle":"","parse-names":false,"suffix":""}],"container-title":"Southern African Business Review","id":"ITEM-2","issue":"1","issued":{"date-parts":[["2012"]]},"page":"22-38","title":"Executive remuneration and company performance for South African companies listed on the Alternative Exchange (AltX)","type":"article-journal","volume":"16"},"uris":["http://www.mendeley.com/documents/?uuid=48395c31-094d-4e28-9935-da5d093dd287"]},{"id":"ITEM-3","itemData":{"DOI":"http://dx.doi.org/10.1108/MRR-09-2015-0216","ISBN":"1750614111","ISSN":"0264-0473","PMID":"42012058","author":[{"dropping-particle":"","family":"Lee","given":"Siew Peng","non-dropping-particle":"","parse-names":false,"suffix":""},{"dropping-particle":"","family":"Isa","given":"Mansor","non-dropping-particle":"","parse-names":false,"suffix":""}],"container-title":"Managerial Finance","id":"ITEM-3","issue":"1","issued":{"date-parts":[["2014"]]},"page":"26-44","title":"Directors’ remuneration, governance and performance: The case of Malaysian banks","type":"article-journal","volume":"41"},"uris":["http://www.mendeley.com/documents/?uuid=e9182083-cfd3-4b38-9713-e85a7b820c70"]}],"mendeley":{"formattedCitation":"(Lee &amp; Isa, 2014; Lindström &amp; Svensson, 2016; Scholtz &amp; Smit, 2012)","plainTextFormattedCitation":"(Lee &amp; Isa, 2014; Lindström &amp; Svensson, 2016; Scholtz &amp; Smit, 2012)","previouslyFormattedCitation":"(Lee &amp; Isa, 2014; Lindström &amp; Svensson, 2016; Scholtz &amp; Smit, 2012)"},"properties":{"noteIndex":0},"schema":"https://github.com/citation-style-language/schema/raw/master/csl-citation.json"}</w:instrText>
      </w:r>
      <w:r w:rsidR="00C47F10" w:rsidRPr="00AE0B3D">
        <w:rPr>
          <w:lang w:val="en-US"/>
        </w:rPr>
        <w:fldChar w:fldCharType="separate"/>
      </w:r>
      <w:r w:rsidR="00C47F10" w:rsidRPr="00AE0B3D">
        <w:rPr>
          <w:noProof/>
          <w:lang w:val="en-US"/>
        </w:rPr>
        <w:t>(Lee &amp; Isa, 2014; Lindström &amp; Svensson, 2016; Scholtz &amp; Smit, 2012)</w:t>
      </w:r>
      <w:r w:rsidR="00C47F10" w:rsidRPr="00AE0B3D">
        <w:rPr>
          <w:lang w:val="en-US"/>
        </w:rPr>
        <w:fldChar w:fldCharType="end"/>
      </w:r>
      <w:r w:rsidR="0023740C" w:rsidRPr="00AE0B3D">
        <w:rPr>
          <w:lang w:val="en-US"/>
        </w:rPr>
        <w:t xml:space="preserve"> . </w:t>
      </w:r>
      <w:r w:rsidRPr="00AE0B3D">
        <w:rPr>
          <w:lang w:val="en-US"/>
        </w:rPr>
        <w:t xml:space="preserve">The reward of the CEO incorporates salary, shares held by the CEO, Stock Option Grants and Exercise Price. The </w:t>
      </w:r>
      <w:r w:rsidR="009D0F2D" w:rsidRPr="00AE0B3D">
        <w:rPr>
          <w:lang w:val="en-US"/>
        </w:rPr>
        <w:t>remuneration</w:t>
      </w:r>
      <w:r w:rsidRPr="00AE0B3D">
        <w:rPr>
          <w:lang w:val="en-US"/>
        </w:rPr>
        <w:t xml:space="preserve"> as </w:t>
      </w:r>
      <w:r w:rsidR="002B7474" w:rsidRPr="00AE0B3D">
        <w:rPr>
          <w:lang w:val="en-US"/>
        </w:rPr>
        <w:t xml:space="preserve">the </w:t>
      </w:r>
      <w:r w:rsidRPr="00AE0B3D">
        <w:rPr>
          <w:noProof/>
          <w:lang w:val="en-US"/>
        </w:rPr>
        <w:t>motivation</w:t>
      </w:r>
      <w:r w:rsidRPr="00AE0B3D">
        <w:rPr>
          <w:lang w:val="en-US"/>
        </w:rPr>
        <w:t xml:space="preserve"> of the firm could be identified through stocks, shares prices and exercise prices for the management teams</w:t>
      </w:r>
      <w:r w:rsidR="002B1F77" w:rsidRPr="00AE0B3D">
        <w:rPr>
          <w:lang w:val="en-US"/>
        </w:rPr>
        <w:t xml:space="preserve"> </w:t>
      </w:r>
      <w:r w:rsidR="002B1F77" w:rsidRPr="00AE0B3D">
        <w:rPr>
          <w:lang w:val="en-US"/>
        </w:rPr>
        <w:fldChar w:fldCharType="begin" w:fldLock="1"/>
      </w:r>
      <w:r w:rsidR="00B31F25" w:rsidRPr="00AE0B3D">
        <w:rPr>
          <w:lang w:val="en-US"/>
        </w:rPr>
        <w:instrText>ADDIN CSL_CITATION {"citationItems":[{"id":"ITEM-1","itemData":{"DOI":"10.1016/j.jeconbus.2015.04.003","ISSN":"01486195","abstract":"This paper examines the determinants of executive compensation in Chinese banking during 2005-2012. Using the fixed effects panel, 2SLS and dynamic GMM regressions, I find that there is no significant positive pay performance relation, and CEO power does not necessarily exhibit higher levels of executive compensation. However, I show that ownership structure (measured by ownership concentration and ownership identification) and compensation committee are significant in determining executive compensation in Chinese banking. It suggests that government may ensure efficient monitoring functions when the pay incentive is ineffective. The results have important implication on bank regulation and corporate governance in emerging markets.","author":[{"dropping-particle":"","family":"Luo","given":"Yongli","non-dropping-particle":"","parse-names":false,"suffix":""}],"container-title":"Journal of Economics and Business","id":"ITEM-1","issued":{"date-parts":[["2015"]]},"page":"3-16","publisher":"Elsevier Inc.","title":"CEO power, ownership structure and pay performance in Chinese banking","type":"article-journal","volume":"82"},"uris":["http://www.mendeley.com/documents/?uuid=a38f4f7a-a680-42fc-89a8-e6d165c4d89e"]}],"mendeley":{"formattedCitation":"(Luo, 2015)","plainTextFormattedCitation":"(Luo, 2015)","previouslyFormattedCitation":"(Luo, 2015)"},"properties":{"noteIndex":0},"schema":"https://github.com/citation-style-language/schema/raw/master/csl-citation.json"}</w:instrText>
      </w:r>
      <w:r w:rsidR="002B1F77" w:rsidRPr="00AE0B3D">
        <w:rPr>
          <w:lang w:val="en-US"/>
        </w:rPr>
        <w:fldChar w:fldCharType="separate"/>
      </w:r>
      <w:r w:rsidR="002B1F77" w:rsidRPr="00AE0B3D">
        <w:rPr>
          <w:noProof/>
          <w:lang w:val="en-US"/>
        </w:rPr>
        <w:t>(Luo, 2015)</w:t>
      </w:r>
      <w:r w:rsidR="002B1F77" w:rsidRPr="00AE0B3D">
        <w:rPr>
          <w:lang w:val="en-US"/>
        </w:rPr>
        <w:fldChar w:fldCharType="end"/>
      </w:r>
      <w:r w:rsidRPr="00AE0B3D">
        <w:rPr>
          <w:lang w:val="en-US"/>
        </w:rPr>
        <w:t xml:space="preserve">. </w:t>
      </w:r>
      <w:r w:rsidR="009C6A90" w:rsidRPr="00AE0B3D">
        <w:rPr>
          <w:lang w:val="en-US"/>
        </w:rPr>
        <w:t>C</w:t>
      </w:r>
      <w:r w:rsidRPr="00AE0B3D">
        <w:rPr>
          <w:lang w:val="en-US"/>
        </w:rPr>
        <w:t xml:space="preserve">hange in the motivations resulted </w:t>
      </w:r>
      <w:r w:rsidR="002B7474" w:rsidRPr="00AE0B3D">
        <w:rPr>
          <w:noProof/>
          <w:lang w:val="en-US"/>
        </w:rPr>
        <w:t>in</w:t>
      </w:r>
      <w:r w:rsidRPr="00AE0B3D">
        <w:rPr>
          <w:lang w:val="en-US"/>
        </w:rPr>
        <w:t xml:space="preserve"> changes in the financial performance of a company. Increase in bonuses, salary, </w:t>
      </w:r>
      <w:r w:rsidRPr="00AE0B3D">
        <w:rPr>
          <w:noProof/>
          <w:lang w:val="en-US"/>
        </w:rPr>
        <w:t>stock</w:t>
      </w:r>
      <w:r w:rsidRPr="00AE0B3D">
        <w:rPr>
          <w:lang w:val="en-US"/>
        </w:rPr>
        <w:t xml:space="preserve"> option</w:t>
      </w:r>
      <w:r w:rsidR="002B7474" w:rsidRPr="00AE0B3D">
        <w:rPr>
          <w:lang w:val="en-US"/>
        </w:rPr>
        <w:t>s</w:t>
      </w:r>
      <w:r w:rsidRPr="00AE0B3D">
        <w:rPr>
          <w:lang w:val="en-US"/>
        </w:rPr>
        <w:t xml:space="preserve"> </w:t>
      </w:r>
      <w:r w:rsidR="006645E9" w:rsidRPr="00AE0B3D">
        <w:rPr>
          <w:lang w:val="en-US"/>
        </w:rPr>
        <w:t>granted,</w:t>
      </w:r>
      <w:r w:rsidRPr="00AE0B3D">
        <w:rPr>
          <w:lang w:val="en-US"/>
        </w:rPr>
        <w:t xml:space="preserve"> and long-term compensation of the CEO</w:t>
      </w:r>
      <w:r w:rsidR="009C6A90" w:rsidRPr="00AE0B3D">
        <w:rPr>
          <w:lang w:val="en-US"/>
        </w:rPr>
        <w:t xml:space="preserve"> are considered to be part of </w:t>
      </w:r>
      <w:r w:rsidR="00C70A71" w:rsidRPr="00AE0B3D">
        <w:rPr>
          <w:lang w:val="en-US"/>
        </w:rPr>
        <w:t>the motivating factors to the performance of the employees of the organization</w:t>
      </w:r>
      <w:r w:rsidRPr="00AE0B3D">
        <w:rPr>
          <w:lang w:val="en-US"/>
        </w:rPr>
        <w:t>. The financial performance</w:t>
      </w:r>
      <w:r w:rsidR="00B079FD" w:rsidRPr="00AE0B3D">
        <w:rPr>
          <w:lang w:val="en-US"/>
        </w:rPr>
        <w:t xml:space="preserve"> that is impacted with motivation change </w:t>
      </w:r>
      <w:r w:rsidR="00C44216" w:rsidRPr="00AE0B3D">
        <w:rPr>
          <w:lang w:val="en-US"/>
        </w:rPr>
        <w:t xml:space="preserve">can be </w:t>
      </w:r>
      <w:r w:rsidRPr="00AE0B3D">
        <w:rPr>
          <w:lang w:val="en-US"/>
        </w:rPr>
        <w:t xml:space="preserve">measured in terms of change in earnings per share, change in </w:t>
      </w:r>
      <w:r w:rsidR="00B83E24" w:rsidRPr="00AE0B3D">
        <w:rPr>
          <w:lang w:val="en-US"/>
        </w:rPr>
        <w:t>cash flow</w:t>
      </w:r>
      <w:r w:rsidRPr="00AE0B3D">
        <w:rPr>
          <w:lang w:val="en-US"/>
        </w:rPr>
        <w:t xml:space="preserve"> of the organization, change on return on assets and change in the market share. </w:t>
      </w:r>
      <w:r w:rsidR="002B7474" w:rsidRPr="00AE0B3D">
        <w:rPr>
          <w:lang w:val="en-US"/>
        </w:rPr>
        <w:t xml:space="preserve">It is evident that use of rights issues </w:t>
      </w:r>
      <w:r w:rsidR="00903DB9" w:rsidRPr="00AE0B3D">
        <w:rPr>
          <w:lang w:val="en-US"/>
        </w:rPr>
        <w:t>is</w:t>
      </w:r>
      <w:r w:rsidR="002B7474" w:rsidRPr="00AE0B3D">
        <w:rPr>
          <w:lang w:val="en-US"/>
        </w:rPr>
        <w:t xml:space="preserve"> already being implemented in </w:t>
      </w:r>
      <w:r w:rsidR="00C66756" w:rsidRPr="00AE0B3D">
        <w:rPr>
          <w:lang w:val="en-US"/>
        </w:rPr>
        <w:t>organizations</w:t>
      </w:r>
      <w:r w:rsidR="000D1E10" w:rsidRPr="00AE0B3D">
        <w:rPr>
          <w:lang w:val="en-US"/>
        </w:rPr>
        <w:t xml:space="preserve"> </w:t>
      </w:r>
      <w:r w:rsidR="00B31F25" w:rsidRPr="00AE0B3D">
        <w:rPr>
          <w:lang w:val="en-US"/>
        </w:rPr>
        <w:fldChar w:fldCharType="begin" w:fldLock="1"/>
      </w:r>
      <w:r w:rsidR="008C0A62" w:rsidRPr="00AE0B3D">
        <w:rPr>
          <w:lang w:val="en-US"/>
        </w:rPr>
        <w:instrText>ADDIN CSL_CITATION {"citationItems":[{"id":"ITEM-1","itemData":{"DOI":"10.1111/joop.12039","ISSN":"09631798","abstract":"We meta-analysed 146 studies ( n = 31,861) to examine the effects of individual and team-based financial incentives on peoples' performance and to explore potential moderators. The overall effect size of the individual incentives (116 studies) was positive ( g = 0.32). Moderator analyses revealed effect sizes to be larger for field studies ( g = 0.34) than for laboratory studies ( g = 0.29), larger for qualitative ( g = 0.39) than quantitative performance measures ( g = 0.28), and smaller for less complex tasks ( g = 0.19). Results on team-based incentives (30 studies) indicated a positive effect regarding team-based rewards on performance ( g = 0.45), with equitably distributed rewards resulting in higher performance than equally distributed rewards. This relationship was larger in field studies and smaller for less complex tasks. In addition, our results show that the effect of team-based rewards depends on team size and gender composition. Implications for organizational rewards and suggestions for future research are discussed. Practitioner points Our study demonstrates the importance of rewarding employees as teams to motivate them to a greater extent., The results show that equitably distributed rewards lead to higher performance than equally distributed rewards., Managers should design their appraisal and feedback process for individual team members and the team as a whole., Our results provide useful information regarding the creation of appropriate reward systems., Differences in reward characteristics, team composition, and distribution rules offer practical implications for factors on organizational (i.e., personnel selection, frequency, and amount of rewards), team (i.e., team characteristics, type of performance measurement), and individual level (i.e., importance of rewards, personality). [ABSTRACT FROM AUTHOR] ","author":[{"dropping-particle":"","family":"Garbers","given":"Yvonne","non-dropping-particle":"","parse-names":false,"suffix":""},{"dropping-particle":"","family":"Konradt","given":"Udo","non-dropping-particle":"","parse-names":false,"suffix":""}],"container-title":"Journal of Occupational and Organizational Psychology","id":"ITEM-1","issue":"1","issued":{"date-parts":[["2014"]]},"page":"102-137","title":"The effect of financial incentives on performance: A quantitative review of individual and team-based financial incentives","type":"article-journal","volume":"87"},"uris":["http://www.mendeley.com/documents/?uuid=7e946a19-165e-4f14-8f5b-c396597b9ba7"]}],"mendeley":{"formattedCitation":"(Garbers &amp; Konradt, 2014)","plainTextFormattedCitation":"(Garbers &amp; Konradt, 2014)","previouslyFormattedCitation":"(Garbers &amp; Konradt, 2014)"},"properties":{"noteIndex":0},"schema":"https://github.com/citation-style-language/schema/raw/master/csl-citation.json"}</w:instrText>
      </w:r>
      <w:r w:rsidR="00B31F25" w:rsidRPr="00AE0B3D">
        <w:rPr>
          <w:lang w:val="en-US"/>
        </w:rPr>
        <w:fldChar w:fldCharType="separate"/>
      </w:r>
      <w:r w:rsidR="00B31F25" w:rsidRPr="00AE0B3D">
        <w:rPr>
          <w:noProof/>
          <w:lang w:val="en-US"/>
        </w:rPr>
        <w:t>(Garbers &amp; Konradt, 2014)</w:t>
      </w:r>
      <w:r w:rsidR="00B31F25" w:rsidRPr="00AE0B3D">
        <w:rPr>
          <w:lang w:val="en-US"/>
        </w:rPr>
        <w:fldChar w:fldCharType="end"/>
      </w:r>
      <w:r w:rsidR="002B7474" w:rsidRPr="00AE0B3D">
        <w:rPr>
          <w:lang w:val="en-US"/>
        </w:rPr>
        <w:t xml:space="preserve">. </w:t>
      </w:r>
    </w:p>
    <w:p w14:paraId="2628252C" w14:textId="77777777" w:rsidR="002506C9" w:rsidRPr="00AE0B3D" w:rsidRDefault="002506C9" w:rsidP="002506C9">
      <w:pPr>
        <w:pStyle w:val="Heading2"/>
        <w:rPr>
          <w:rFonts w:cs="Times New Roman"/>
        </w:rPr>
      </w:pPr>
      <w:bookmarkStart w:id="48" w:name="_Toc78067514"/>
      <w:r w:rsidRPr="00AE0B3D">
        <w:rPr>
          <w:rFonts w:cs="Times New Roman"/>
        </w:rPr>
        <w:t>Financial performance</w:t>
      </w:r>
      <w:bookmarkEnd w:id="48"/>
      <w:r w:rsidRPr="00AE0B3D">
        <w:rPr>
          <w:rFonts w:cs="Times New Roman"/>
        </w:rPr>
        <w:t xml:space="preserve"> </w:t>
      </w:r>
    </w:p>
    <w:p w14:paraId="06A2184C" w14:textId="7332976F" w:rsidR="002506C9" w:rsidRPr="00AE0B3D" w:rsidRDefault="002506C9" w:rsidP="002506C9">
      <w:pPr>
        <w:ind w:firstLine="0"/>
        <w:rPr>
          <w:rFonts w:cs="Times New Roman"/>
          <w:noProof/>
        </w:rPr>
      </w:pPr>
      <w:r w:rsidRPr="00AE0B3D">
        <w:rPr>
          <w:rFonts w:cs="Times New Roman"/>
        </w:rPr>
        <w:t xml:space="preserve">The financial performance is an important component that </w:t>
      </w:r>
      <w:r w:rsidRPr="00AE0B3D">
        <w:rPr>
          <w:rFonts w:cs="Times New Roman"/>
          <w:noProof/>
        </w:rPr>
        <w:t>measures</w:t>
      </w:r>
      <w:r w:rsidRPr="00AE0B3D">
        <w:rPr>
          <w:rFonts w:cs="Times New Roman"/>
        </w:rPr>
        <w:t xml:space="preserve"> how successful the company is doing. Financial performance refers to the degree </w:t>
      </w:r>
      <w:r w:rsidRPr="00AE0B3D">
        <w:rPr>
          <w:rFonts w:cs="Times New Roman"/>
          <w:noProof/>
        </w:rPr>
        <w:t>to</w:t>
      </w:r>
      <w:r w:rsidRPr="00AE0B3D">
        <w:rPr>
          <w:rFonts w:cs="Times New Roman"/>
        </w:rPr>
        <w:t xml:space="preserve"> which the organization has met the set financial objectives </w:t>
      </w:r>
      <w:r w:rsidRPr="00AE0B3D">
        <w:rPr>
          <w:rFonts w:cs="Times New Roman"/>
        </w:rPr>
        <w:fldChar w:fldCharType="begin" w:fldLock="1"/>
      </w:r>
      <w:r w:rsidRPr="00AE0B3D">
        <w:rPr>
          <w:rFonts w:cs="Times New Roman"/>
        </w:rPr>
        <w:instrText>ADDIN CSL_CITATION {"citationItems":[{"id":"ITEM-1","itemData":{"author":[{"dropping-particle":"","family":"Trivedi","given":"S","non-dropping-particle":"","parse-names":false,"suffix":""}],"id":"ITEM-1","issued":{"date-parts":[["2014"]]},"title":"Financial Performance Analysis Conceptual Framework","type":"article-journal"},"uris":["http://www.mendeley.com/documents/?uuid=81f5cba5-dc54-3ea5-a680-f60e736de429"]}],"mendeley":{"formattedCitation":"(Trivedi, 2014)","plainTextFormattedCitation":"(Trivedi, 2014)","previouslyFormattedCitation":"(Trivedi, 2014)"},"properties":{"noteIndex":0},"schema":"https://github.com/citation-style-language/schema/raw/master/csl-citation.json"}</w:instrText>
      </w:r>
      <w:r w:rsidRPr="00AE0B3D">
        <w:rPr>
          <w:rFonts w:cs="Times New Roman"/>
        </w:rPr>
        <w:fldChar w:fldCharType="separate"/>
      </w:r>
      <w:r w:rsidRPr="00AE0B3D">
        <w:rPr>
          <w:rFonts w:cs="Times New Roman"/>
          <w:noProof/>
        </w:rPr>
        <w:t>(Trivedi, 2014)</w:t>
      </w:r>
      <w:r w:rsidRPr="00AE0B3D">
        <w:rPr>
          <w:rFonts w:cs="Times New Roman"/>
        </w:rPr>
        <w:fldChar w:fldCharType="end"/>
      </w:r>
      <w:r w:rsidRPr="00AE0B3D">
        <w:rPr>
          <w:rFonts w:cs="Times New Roman"/>
        </w:rPr>
        <w:t xml:space="preserve">. It is used to measure the outcome of organization operation in monetary value. It is determined objectively and can be used as an index for comparison of the </w:t>
      </w:r>
      <w:r w:rsidRPr="00AE0B3D">
        <w:rPr>
          <w:rFonts w:cs="Times New Roman"/>
          <w:noProof/>
        </w:rPr>
        <w:t>performance</w:t>
      </w:r>
      <w:r w:rsidRPr="00AE0B3D">
        <w:rPr>
          <w:rFonts w:cs="Times New Roman"/>
        </w:rPr>
        <w:t xml:space="preserve"> of different companies </w:t>
      </w:r>
      <w:r w:rsidRPr="00AE0B3D">
        <w:rPr>
          <w:rFonts w:cs="Times New Roman"/>
        </w:rPr>
        <w:fldChar w:fldCharType="begin" w:fldLock="1"/>
      </w:r>
      <w:r w:rsidRPr="00AE0B3D">
        <w:rPr>
          <w:rFonts w:cs="Times New Roman"/>
        </w:rPr>
        <w:instrText>ADDIN CSL_CITATION {"citationItems":[{"id":"ITEM-1","itemData":{"author":[{"dropping-particle":"","family":"Trivedi","given":"S","non-dropping-particle":"","parse-names":false,"suffix":""}],"id":"ITEM-1","issued":{"date-parts":[["2014"]]},"title":"Financial Performance Analysis Conceptual Framework","type":"article-journal"},"uris":["http://www.mendeley.com/documents/?uuid=81f5cba5-dc54-3ea5-a680-f60e736de429"]}],"mendeley":{"formattedCitation":"(Trivedi, 2014)","plainTextFormattedCitation":"(Trivedi, 2014)","previouslyFormattedCitation":"(Trivedi, 2014)"},"properties":{"noteIndex":0},"schema":"https://github.com/citation-style-language/schema/raw/master/csl-citation.json"}</w:instrText>
      </w:r>
      <w:r w:rsidRPr="00AE0B3D">
        <w:rPr>
          <w:rFonts w:cs="Times New Roman"/>
        </w:rPr>
        <w:fldChar w:fldCharType="separate"/>
      </w:r>
      <w:r w:rsidRPr="00AE0B3D">
        <w:rPr>
          <w:rFonts w:cs="Times New Roman"/>
          <w:noProof/>
        </w:rPr>
        <w:t>(Trivedi, 2014)</w:t>
      </w:r>
      <w:r w:rsidRPr="00AE0B3D">
        <w:rPr>
          <w:rFonts w:cs="Times New Roman"/>
        </w:rPr>
        <w:fldChar w:fldCharType="end"/>
      </w:r>
      <w:r w:rsidRPr="00AE0B3D">
        <w:rPr>
          <w:rFonts w:cs="Times New Roman"/>
        </w:rPr>
        <w:t xml:space="preserve">. The financial performance can be measured using different indices or determinants. They include return on investment (ROI), returns on assets (ROA), sales growth, return on equity (ROE), ROA growth, Cash flow, and profit before taxation </w:t>
      </w:r>
      <w:r w:rsidRPr="00AE0B3D">
        <w:rPr>
          <w:rFonts w:cs="Times New Roman"/>
        </w:rPr>
        <w:fldChar w:fldCharType="begin" w:fldLock="1"/>
      </w:r>
      <w:r w:rsidRPr="00AE0B3D">
        <w:rPr>
          <w:rFonts w:cs="Times New Roman"/>
        </w:rPr>
        <w:instrText>ADDIN CSL_CITATION {"citationItems":[{"id":"ITEM-1","itemData":{"DOI":"10.1007/s10551-011-1063-y","ISBN":"0167-4544","ISSN":"01674544","PMID":"12658535","abstract":"Sustainability is concerned with the impact of present actions on the ecosystems, societies, and environ-ments of the future. Such concerns should be reflected in the strategic planning of sustainable corporations. Strategic intentions of this nature are operationalized through the adoption of a long-term focus and a more inclusive set of responsibilities focusing on ethical practices, employees, environment, and customers. A central hypothesis, that we test in this paper is that companies which attend to this set of responsibilities under the term superior sustainable practices, have higher financial performance compared to those that do not engage in such practices. The target population of this study consists of the top 100 sustainable global companies in 2008 which have been selected from a universe of 3,000 firms from the developed countries and emerging markets. We find significant higher mean sales growth, return on assets, profit before taxation, and cash flows from operations in some activity sectors of the sample companies compared to the control companies over the period of 2006–2010. Furthermore, our findings show that the higher financial performance of sustainable com-panies has increased and been sustained over the sample. Notwithstanding sample limitation, causal evidence reported in this paper suggests that, there is bi-directional relationship between corporate social responsibilities practices and corporate financial performance.","author":[{"dropping-particle":"","family":"Ameer","given":"Rashid","non-dropping-particle":"","parse-names":false,"suffix":""},{"dropping-particle":"","family":"Othman","given":"Radiah","non-dropping-particle":"","parse-names":false,"suffix":""}],"container-title":"Journal of Business Ethics","id":"ITEM-1","issue":"1","issued":{"date-parts":[["2012"]]},"page":"61-79","title":"Sustainability practices and corporate financial performance: A study based on the top global corporations","type":"article-journal","volume":"108"},"uris":["http://www.mendeley.com/documents/?uuid=fa4319b9-ea84-471e-866f-b08c86fcadf3"]}],"mendeley":{"formattedCitation":"(Ameer &amp; Othman, 2012)","plainTextFormattedCitation":"(Ameer &amp; Othman, 2012)","previouslyFormattedCitation":"(Ameer &amp; Othman, 2012)"},"properties":{"noteIndex":0},"schema":"https://github.com/citation-style-language/schema/raw/master/csl-citation.json"}</w:instrText>
      </w:r>
      <w:r w:rsidRPr="00AE0B3D">
        <w:rPr>
          <w:rFonts w:cs="Times New Roman"/>
        </w:rPr>
        <w:fldChar w:fldCharType="separate"/>
      </w:r>
      <w:r w:rsidRPr="00AE0B3D">
        <w:rPr>
          <w:rFonts w:cs="Times New Roman"/>
          <w:noProof/>
        </w:rPr>
        <w:t>(Ameer &amp; Othman, 2012)</w:t>
      </w:r>
      <w:r w:rsidRPr="00AE0B3D">
        <w:rPr>
          <w:rFonts w:cs="Times New Roman"/>
        </w:rPr>
        <w:fldChar w:fldCharType="end"/>
      </w:r>
      <w:r w:rsidRPr="00AE0B3D">
        <w:rPr>
          <w:rFonts w:cs="Times New Roman"/>
          <w:noProof/>
        </w:rPr>
        <w:t xml:space="preserve">. Various factors, internal and external to the organisation influences the financial </w:t>
      </w:r>
      <w:r>
        <w:rPr>
          <w:rFonts w:cs="Times New Roman"/>
          <w:noProof/>
        </w:rPr>
        <w:lastRenderedPageBreak/>
        <w:t xml:space="preserve">perfomance of the organisation. </w:t>
      </w:r>
      <w:r w:rsidRPr="00AE0B3D">
        <w:rPr>
          <w:rFonts w:cs="Times New Roman"/>
          <w:noProof/>
        </w:rPr>
        <w:t>External may include global</w:t>
      </w:r>
      <w:r>
        <w:rPr>
          <w:rFonts w:cs="Times New Roman"/>
          <w:noProof/>
        </w:rPr>
        <w:t xml:space="preserve"> </w:t>
      </w:r>
      <w:r w:rsidRPr="00AE0B3D">
        <w:rPr>
          <w:rFonts w:cs="Times New Roman"/>
          <w:noProof/>
        </w:rPr>
        <w:t>economy stability</w:t>
      </w:r>
      <w:r w:rsidR="002B6FF3">
        <w:rPr>
          <w:rFonts w:cs="Times New Roman"/>
          <w:noProof/>
        </w:rPr>
        <w:t xml:space="preserve">, </w:t>
      </w:r>
      <w:r w:rsidRPr="00AE0B3D">
        <w:rPr>
          <w:rFonts w:cs="Times New Roman"/>
          <w:noProof/>
        </w:rPr>
        <w:t>competition,</w:t>
      </w:r>
      <w:r>
        <w:rPr>
          <w:rFonts w:cs="Times New Roman"/>
          <w:noProof/>
        </w:rPr>
        <w:t xml:space="preserve"> </w:t>
      </w:r>
      <w:r w:rsidRPr="00AE0B3D">
        <w:rPr>
          <w:rFonts w:cs="Times New Roman"/>
          <w:noProof/>
        </w:rPr>
        <w:t xml:space="preserve">government regulation and policies, natural calamities, interest rates and inflation </w:t>
      </w:r>
      <w:r w:rsidRPr="00AE0B3D">
        <w:rPr>
          <w:rFonts w:cs="Times New Roman"/>
          <w:noProof/>
        </w:rPr>
        <w:fldChar w:fldCharType="begin" w:fldLock="1"/>
      </w:r>
      <w:r w:rsidRPr="00AE0B3D">
        <w:rPr>
          <w:rFonts w:cs="Times New Roman"/>
          <w:noProof/>
        </w:rPr>
        <w:instrText>ADDIN CSL_CITATION {"citationItems":[{"id":"ITEM-1","itemData":{"DOI":"10.15520/jbme.2015.vol3.iss11.158.pp33-40","ISBN":"2146-4138","ISSN":"2146-4138","author":[{"dropping-particle":"","family":"Ongore","given":"Vincent Okoth;","non-dropping-particle":"","parse-names":false,"suffix":""},{"dropping-particle":"","family":"Kusa","given":"Gemechu Berhanu","non-dropping-particle":"","parse-names":false,"suffix":""}],"container-title":"International journal of economics and financial","id":"ITEM-1","issue":"1","issued":{"date-parts":[["2013"]]},"page":"237-252","title":"Determinants of financial performance of commercial banks in Kenya","type":"article-journal","volume":"3"},"uris":["http://www.mendeley.com/documents/?uuid=1ac903a5-40e3-4abb-aa43-5228c90fc504"]}],"mendeley":{"formattedCitation":"(Vincent Okoth; Ongore &amp; Kusa, 2013)","manualFormatting":"(Ongore &amp; Kusa, 2013)","plainTextFormattedCitation":"(Vincent Okoth; Ongore &amp; Kusa, 2013)","previouslyFormattedCitation":"(Vincent Okoth; Ongore &amp; Kusa, 2013)"},"properties":{"noteIndex":0},"schema":"https://github.com/citation-style-language/schema/raw/master/csl-citation.json"}</w:instrText>
      </w:r>
      <w:r w:rsidRPr="00AE0B3D">
        <w:rPr>
          <w:rFonts w:cs="Times New Roman"/>
          <w:noProof/>
        </w:rPr>
        <w:fldChar w:fldCharType="separate"/>
      </w:r>
      <w:r w:rsidRPr="00AE0B3D">
        <w:rPr>
          <w:rFonts w:cs="Times New Roman"/>
          <w:noProof/>
        </w:rPr>
        <w:t>(Ongore &amp; Kusa, 2013)</w:t>
      </w:r>
      <w:r w:rsidRPr="00AE0B3D">
        <w:rPr>
          <w:rFonts w:cs="Times New Roman"/>
          <w:noProof/>
        </w:rPr>
        <w:fldChar w:fldCharType="end"/>
      </w:r>
      <w:r w:rsidRPr="00AE0B3D">
        <w:rPr>
          <w:rFonts w:cs="Times New Roman"/>
          <w:noProof/>
        </w:rPr>
        <w:t xml:space="preserve">. Internal factors that impact the financial performance are related to the decisions that are made by the organisation. They may include employee productivity, size of operation, technological adoption, risk management, operation policies, management remuneration among others </w:t>
      </w:r>
      <w:r w:rsidRPr="00AE0B3D">
        <w:rPr>
          <w:rFonts w:cs="Times New Roman"/>
          <w:noProof/>
        </w:rPr>
        <w:fldChar w:fldCharType="begin" w:fldLock="1"/>
      </w:r>
      <w:r w:rsidRPr="00AE0B3D">
        <w:rPr>
          <w:rFonts w:cs="Times New Roman"/>
          <w:noProof/>
        </w:rPr>
        <w:instrText>ADDIN CSL_CITATION {"citationItems":[{"id":"ITEM-1","itemData":{"DOI":"10.1007/s10551-011-1063-y","ISBN":"0167-4544","ISSN":"01674544","PMID":"12658535","abstract":"Sustainability is concerned with the impact of present actions on the ecosystems, societies, and environ-ments of the future. Such concerns should be reflected in the strategic planning of sustainable corporations. Strategic intentions of this nature are operationalized through the adoption of a long-term focus and a more inclusive set of responsibilities focusing on ethical practices, employees, environment, and customers. A central hypothesis, that we test in this paper is that companies which attend to this set of responsibilities under the term superior sustainable practices, have higher financial performance compared to those that do not engage in such practices. The target population of this study consists of the top 100 sustainable global companies in 2008 which have been selected from a universe of 3,000 firms from the developed countries and emerging markets. We find significant higher mean sales growth, return on assets, profit before taxation, and cash flows from operations in some activity sectors of the sample companies compared to the control companies over the period of 2006–2010. Furthermore, our findings show that the higher financial performance of sustainable com-panies has increased and been sustained over the sample. Notwithstanding sample limitation, causal evidence reported in this paper suggests that, there is bi-directional relationship between corporate social responsibilities practices and corporate financial performance.","author":[{"dropping-particle":"","family":"Ameer","given":"Rashid","non-dropping-particle":"","parse-names":false,"suffix":""},{"dropping-particle":"","family":"Othman","given":"Radiah","non-dropping-particle":"","parse-names":false,"suffix":""}],"container-title":"Journal of Business Ethics","id":"ITEM-1","issue":"1","issued":{"date-parts":[["2012"]]},"page":"61-79","title":"Sustainability practices and corporate financial performance: A study based on the top global corporations","type":"article-journal","volume":"108"},"uris":["http://www.mendeley.com/documents/?uuid=fa4319b9-ea84-471e-866f-b08c86fcadf3"]},{"id":"ITEM-2","itemData":{"DOI":"10.15520/jbme.2015.vol3.iss11.158.pp33-40","ISBN":"2146-4138","ISSN":"2146-4138","author":[{"dropping-particle":"","family":"Ongore","given":"Vincent Okoth;","non-dropping-particle":"","parse-names":false,"suffix":""},{"dropping-particle":"","family":"Kusa","given":"Gemechu Berhanu","non-dropping-particle":"","parse-names":false,"suffix":""}],"container-title":"International journal of economics and financial","id":"ITEM-2","issue":"1","issued":{"date-parts":[["2013"]]},"page":"237-252","title":"Determinants of financial performance of commercial banks in Kenya","type":"article-journal","volume":"3"},"uris":["http://www.mendeley.com/documents/?uuid=1ac903a5-40e3-4abb-aa43-5228c90fc504"]}],"mendeley":{"formattedCitation":"(Ameer &amp; Othman, 2012; Vincent Okoth; Ongore &amp; Kusa, 2013)","manualFormatting":"(Ameer &amp; Othman, 2012; Ongore &amp; Kusa, 2013)","plainTextFormattedCitation":"(Ameer &amp; Othman, 2012; Vincent Okoth; Ongore &amp; Kusa, 2013)","previouslyFormattedCitation":"(Ameer &amp; Othman, 2012; Vincent Okoth; Ongore &amp; Kusa, 2013)"},"properties":{"noteIndex":0},"schema":"https://github.com/citation-style-language/schema/raw/master/csl-citation.json"}</w:instrText>
      </w:r>
      <w:r w:rsidRPr="00AE0B3D">
        <w:rPr>
          <w:rFonts w:cs="Times New Roman"/>
          <w:noProof/>
        </w:rPr>
        <w:fldChar w:fldCharType="separate"/>
      </w:r>
      <w:r w:rsidRPr="00AE0B3D">
        <w:rPr>
          <w:rFonts w:cs="Times New Roman"/>
          <w:noProof/>
        </w:rPr>
        <w:t>(Ameer &amp; Othman, 2012; Ongore &amp; Kusa, 2013)</w:t>
      </w:r>
      <w:r w:rsidRPr="00AE0B3D">
        <w:rPr>
          <w:rFonts w:cs="Times New Roman"/>
          <w:noProof/>
        </w:rPr>
        <w:fldChar w:fldCharType="end"/>
      </w:r>
      <w:r w:rsidRPr="00AE0B3D">
        <w:rPr>
          <w:rFonts w:cs="Times New Roman"/>
          <w:noProof/>
        </w:rPr>
        <w:t xml:space="preserve">. </w:t>
      </w:r>
    </w:p>
    <w:p w14:paraId="138ABF81" w14:textId="381F5F35" w:rsidR="002506C9" w:rsidRPr="00AE0B3D" w:rsidRDefault="002506C9" w:rsidP="002506C9">
      <w:pPr>
        <w:rPr>
          <w:rFonts w:cs="Times New Roman"/>
          <w:lang w:val="en-US"/>
        </w:rPr>
      </w:pPr>
      <w:r w:rsidRPr="00AE0B3D">
        <w:rPr>
          <w:rFonts w:cs="Times New Roman"/>
          <w:lang w:val="en-US"/>
        </w:rPr>
        <w:t xml:space="preserve">Financial performance of an </w:t>
      </w:r>
      <w:r w:rsidRPr="00AE0B3D">
        <w:rPr>
          <w:rFonts w:cs="Times New Roman"/>
          <w:noProof/>
          <w:lang w:val="en-US"/>
        </w:rPr>
        <w:t>organization</w:t>
      </w:r>
      <w:r w:rsidRPr="00AE0B3D">
        <w:rPr>
          <w:rFonts w:cs="Times New Roman"/>
          <w:lang w:val="en-US"/>
        </w:rPr>
        <w:t xml:space="preserve"> can be broadly categorized into </w:t>
      </w:r>
      <w:r w:rsidRPr="00AE0B3D">
        <w:rPr>
          <w:rFonts w:cs="Times New Roman"/>
          <w:noProof/>
          <w:lang w:val="en-US"/>
        </w:rPr>
        <w:t>market</w:t>
      </w:r>
      <w:r w:rsidRPr="00AE0B3D">
        <w:rPr>
          <w:rFonts w:cs="Times New Roman"/>
          <w:lang w:val="en-US"/>
        </w:rPr>
        <w:t xml:space="preserve"> based financial return and account-based measures of financial returns. Market based returns </w:t>
      </w:r>
      <w:r w:rsidRPr="00AE0B3D">
        <w:rPr>
          <w:rFonts w:cs="Times New Roman"/>
          <w:noProof/>
          <w:lang w:val="en-US"/>
        </w:rPr>
        <w:t>include</w:t>
      </w:r>
      <w:r w:rsidRPr="00AE0B3D">
        <w:rPr>
          <w:rFonts w:cs="Times New Roman"/>
          <w:lang w:val="en-US"/>
        </w:rPr>
        <w:t xml:space="preserve"> market to book ratio, and stock returns while account-based returns </w:t>
      </w:r>
      <w:r w:rsidRPr="00AE0B3D">
        <w:rPr>
          <w:rFonts w:cs="Times New Roman"/>
          <w:noProof/>
          <w:lang w:val="en-US"/>
        </w:rPr>
        <w:t>include</w:t>
      </w:r>
      <w:r w:rsidRPr="00AE0B3D">
        <w:rPr>
          <w:rFonts w:cs="Times New Roman"/>
          <w:lang w:val="en-US"/>
        </w:rPr>
        <w:t xml:space="preserve"> return on equity and return on assets </w:t>
      </w:r>
      <w:r w:rsidRPr="00AE0B3D">
        <w:rPr>
          <w:rFonts w:cs="Times New Roman"/>
          <w:lang w:val="en-US"/>
        </w:rPr>
        <w:fldChar w:fldCharType="begin" w:fldLock="1"/>
      </w:r>
      <w:r w:rsidR="00955099">
        <w:rPr>
          <w:rFonts w:cs="Times New Roman"/>
          <w:lang w:val="en-US"/>
        </w:rPr>
        <w:instrText>ADDIN CSL_CITATION {"citationItems":[{"id":"ITEM-1","itemData":{"DOI":"10.1509/jm.09.0487","ISBN":"00222429","ISSN":"0022-2429","PMID":"74749683","abstract":"Comprehensive performance measurement systems such as the balanced scorecard have received considerable attention in marketing. However, whether and under which circumstances comprehensiveness as a performance measurement system property is desirable and contributes to firm performance is still a subject of debate in research and practice. To address this issue, the authors use dyadic field data from marketing managers and management accounting executives and extend prior work by developing and testing a more complex, contingency-based model. The empirical results confirm the developed framework. In particular, the results show that the relationship of comprehensiveness in a marketing performance measurement system to firm performance is conditional. Marketing alignment and market-based knowledge mediate this relationship, depending on marketing strategy, marketing complexity, and market dynamism. These insights explain mixed findings of previous research and provide important implications for research and managerial practice.","author":[{"dropping-particle":"","family":"Homburg","given":"Christian","non-dropping-particle":"","parse-names":false,"suffix":""},{"dropping-particle":"","family":"Artz","given":"Martin","non-dropping-particle":"","parse-names":false,"suffix":""},{"dropping-particle":"","family":"Wieseke","given":"Jan","non-dropping-particle":"","parse-names":false,"suffix":""}],"container-title":"Journal of Marketing","id":"ITEM-1","issue":"3","issued":{"date-parts":[["2012"]]},"page":"56-77","title":"Marketing Performance Measurement Systems: Does Comprehensiveness Really Improve Performance?","type":"article-journal","volume":"76"},"uris":["http://www.mendeley.com/documents/?uuid=d8c08fbd-ebe0-47b4-9dbb-4f3d831e05da"]},{"id":"ITEM-2","itemData":{"DOI":"10.1007/s10490-013-9353-9","ISSN":"02174561","abstract":"We provide evidence on the use of accounting versus stock market performance measures as determinants of Chinese top managers' compensation over 2001-2007. We theorize and find that (1) accounting returns are weighted more heavily in general than stock returns in determining top executive compensation, (2) state-owned enterprises (SOEs) rely significantly less on stock market returns than do non-SOEs, (3) firms located in high marketization regions rely more heavily on stock market returns to reward managers, and (4) firms with better internal governance quality rely more on stock returns to reward executives. We discuss our findings with particular reference to the Chinese context of our research.","author":[{"dropping-particle":"","family":"Cordeiro","given":"James J.","non-dropping-particle":"","parse-names":false,"suffix":""},{"dropping-particle":"","family":"He","given":"Lerong","non-dropping-particle":"","parse-names":false,"suffix":""},{"dropping-particle":"","family":"Conyon","given":"Martin","non-dropping-particle":"","parse-names":false,"suffix":""},{"dropping-particle":"","family":"Shaw","given":"Tara Shankar","non-dropping-particle":"","parse-names":false,"suffix":""}],"container-title":"Asia Pacific Journal of Management","id":"ITEM-2","issue":"4","issued":{"date-parts":[["2013"]]},"page":"1031-1058","title":"Informativeness of performance measures and Chinese executive compensation","type":"article-journal","volume":"30"},"uris":["http://www.mendeley.com/documents/?uuid=4da5711d-fe14-4771-8ccb-bbc4f1f18aca"]}],"mendeley":{"formattedCitation":"(Cordeiro et al., 2013; Homburg et al., 2012)","manualFormatting":"(Cordeiro et al., 2013; Homburg et al., 2012)","plainTextFormattedCitation":"(Cordeiro et al., 2013; Homburg et al., 2012)","previouslyFormattedCitation":"(Cordeiro et al., 2013; Homburg et al., 2012)"},"properties":{"noteIndex":0},"schema":"https://github.com/citation-style-language/schema/raw/master/csl-citation.json"}</w:instrText>
      </w:r>
      <w:r w:rsidRPr="00AE0B3D">
        <w:rPr>
          <w:rFonts w:cs="Times New Roman"/>
          <w:lang w:val="en-US"/>
        </w:rPr>
        <w:fldChar w:fldCharType="separate"/>
      </w:r>
      <w:r w:rsidRPr="00AE0B3D">
        <w:rPr>
          <w:rFonts w:cs="Times New Roman"/>
          <w:noProof/>
          <w:lang w:val="en-US"/>
        </w:rPr>
        <w:t>(Cordeiro</w:t>
      </w:r>
      <w:r w:rsidRPr="00F54050">
        <w:rPr>
          <w:rFonts w:cs="Times New Roman"/>
          <w:noProof/>
        </w:rPr>
        <w:t xml:space="preserve"> </w:t>
      </w:r>
      <w:r w:rsidRPr="006B3E1F">
        <w:rPr>
          <w:rFonts w:cs="Times New Roman"/>
          <w:noProof/>
        </w:rPr>
        <w:t>et al.</w:t>
      </w:r>
      <w:r w:rsidRPr="00AE0B3D">
        <w:rPr>
          <w:rFonts w:cs="Times New Roman"/>
          <w:noProof/>
          <w:lang w:val="en-US"/>
        </w:rPr>
        <w:t>, 2013; Homburg</w:t>
      </w:r>
      <w:r>
        <w:rPr>
          <w:rFonts w:cs="Times New Roman"/>
          <w:noProof/>
          <w:lang w:val="en-US"/>
        </w:rPr>
        <w:t xml:space="preserve"> </w:t>
      </w:r>
      <w:r w:rsidRPr="006B3E1F">
        <w:rPr>
          <w:rFonts w:cs="Times New Roman"/>
          <w:noProof/>
        </w:rPr>
        <w:t>et al.</w:t>
      </w:r>
      <w:r w:rsidRPr="00AE0B3D">
        <w:rPr>
          <w:rFonts w:cs="Times New Roman"/>
          <w:noProof/>
          <w:lang w:val="en-US"/>
        </w:rPr>
        <w:t>, 2012)</w:t>
      </w:r>
      <w:r w:rsidRPr="00AE0B3D">
        <w:rPr>
          <w:rFonts w:cs="Times New Roman"/>
          <w:lang w:val="en-US"/>
        </w:rPr>
        <w:fldChar w:fldCharType="end"/>
      </w:r>
      <w:r w:rsidRPr="00AE0B3D">
        <w:rPr>
          <w:rFonts w:cs="Times New Roman"/>
          <w:lang w:val="en-US"/>
        </w:rPr>
        <w:t xml:space="preserve"> . Financial performance can be assessed through the </w:t>
      </w:r>
      <w:r w:rsidRPr="00AE0B3D">
        <w:rPr>
          <w:rFonts w:cs="Times New Roman"/>
          <w:noProof/>
          <w:lang w:val="en-US"/>
        </w:rPr>
        <w:t>use</w:t>
      </w:r>
      <w:r w:rsidRPr="00AE0B3D">
        <w:rPr>
          <w:rFonts w:cs="Times New Roman"/>
          <w:lang w:val="en-US"/>
        </w:rPr>
        <w:t xml:space="preserve"> of monetary accounting performance. For accounting </w:t>
      </w:r>
      <w:r w:rsidRPr="00AE0B3D">
        <w:rPr>
          <w:rFonts w:cs="Times New Roman"/>
          <w:noProof/>
          <w:lang w:val="en-US"/>
        </w:rPr>
        <w:t>performance,</w:t>
      </w:r>
      <w:r w:rsidRPr="00AE0B3D">
        <w:rPr>
          <w:rFonts w:cs="Times New Roman"/>
          <w:lang w:val="en-US"/>
        </w:rPr>
        <w:t xml:space="preserve"> five determinants can be used which include a </w:t>
      </w:r>
      <w:r w:rsidRPr="00AE0B3D">
        <w:rPr>
          <w:rFonts w:cs="Times New Roman"/>
          <w:noProof/>
          <w:lang w:val="en-US"/>
        </w:rPr>
        <w:t>net</w:t>
      </w:r>
      <w:r w:rsidRPr="00AE0B3D">
        <w:rPr>
          <w:rFonts w:cs="Times New Roman"/>
          <w:lang w:val="en-US"/>
        </w:rPr>
        <w:t xml:space="preserve"> profit margin, Return on Investment (ROI), Return on Assets (ROA), Return on Sales (ROS) and Return on Equity (ROE). The ROA and ROE are identified as the most effective methods that can be </w:t>
      </w:r>
      <w:r w:rsidRPr="00AE0B3D">
        <w:rPr>
          <w:rFonts w:cs="Times New Roman"/>
          <w:noProof/>
          <w:lang w:val="en-US"/>
        </w:rPr>
        <w:t>used</w:t>
      </w:r>
      <w:r w:rsidRPr="00AE0B3D">
        <w:rPr>
          <w:rFonts w:cs="Times New Roman"/>
          <w:lang w:val="en-US"/>
        </w:rPr>
        <w:t xml:space="preserve"> to measure the financial performance of the organization </w:t>
      </w:r>
      <w:r w:rsidRPr="00AE0B3D">
        <w:rPr>
          <w:rFonts w:cs="Times New Roman"/>
          <w:lang w:val="en-US"/>
        </w:rPr>
        <w:fldChar w:fldCharType="begin" w:fldLock="1"/>
      </w:r>
      <w:r w:rsidRPr="00AE0B3D">
        <w:rPr>
          <w:rFonts w:cs="Times New Roman"/>
          <w:lang w:val="en-US"/>
        </w:rPr>
        <w:instrText>ADDIN CSL_CITATION {"citationItems":[{"id":"ITEM-1","itemData":{"DOI":"10.1016/j.jbusres.2014.06.024","ISBN":"01482963","ISSN":"01482963","PMID":"99792656","abstract":"Direct relationship between corporate social responsibility (CSR) and firm performance has been examined by many scholars, but this direct test seems to be spurious and imprecise. This is because many factors indirectly influence this relation. Therefore, this study considers sustainable competitive advantage, reputation, and customer satisfaction as three probable mediators in the relationship between CSR and firm performance. The findings from 205 Iranian manufacturing and consumer product firms reveal that the link between CSR and firm performance is a fully mediated relationship. The positive effect of CSR on firm performance is due to the positive effect CSR has on competitive advantage, reputation, and customer satisfaction. The final findings show that only reputation and competitive advantage mediate the relationship between CSR and firm performance. Taken together, these findings suggest a role for CSR in indirectly promoting firm performance through enhancing reputation and competitive advantage while improving the level of customer satisfaction.","author":[{"dropping-particle":"","family":"Saeidi","given":"Sayedeh Parastoo","non-dropping-particle":"","parse-names":false,"suffix":""},{"dropping-particle":"","family":"Sofian","given":"Saudah","non-dropping-particle":"","parse-names":false,"suffix":""},{"dropping-particle":"","family":"Saeidi","given":"Parvaneh","non-dropping-particle":"","parse-names":false,"suffix":""},{"dropping-particle":"","family":"Saeidi","given":"Sayyedeh Parisa","non-dropping-particle":"","parse-names":false,"suffix":""},{"dropping-particle":"","family":"Saaeidi","given":"Seyyed Alireza","non-dropping-particle":"","parse-names":false,"suffix":""}],"container-title":"Journal of Business Research","id":"ITEM-1","issue":"2","issued":{"date-parts":[["2015"]]},"page":"341-350","title":"How does corporate social responsibility contribute to firm financial performance? The mediating role of competitive advantage, reputation, and customer satisfaction","type":"article-journal","volume":"68"},"uris":["http://www.mendeley.com/documents/?uuid=ac5bbf34-f3cf-4f42-9010-b85d8398632c"]}],"mendeley":{"formattedCitation":"(Saeidi et al., 2015)","plainTextFormattedCitation":"(Saeidi et al., 2015)","previouslyFormattedCitation":"(Saeidi et al., 2015)"},"properties":{"noteIndex":0},"schema":"https://github.com/citation-style-language/schema/raw/master/csl-citation.json"}</w:instrText>
      </w:r>
      <w:r w:rsidRPr="00AE0B3D">
        <w:rPr>
          <w:rFonts w:cs="Times New Roman"/>
          <w:lang w:val="en-US"/>
        </w:rPr>
        <w:fldChar w:fldCharType="separate"/>
      </w:r>
      <w:r w:rsidRPr="00AE0B3D">
        <w:rPr>
          <w:rFonts w:cs="Times New Roman"/>
          <w:noProof/>
          <w:lang w:val="en-US"/>
        </w:rPr>
        <w:t>(Saeidi et al., 2015)</w:t>
      </w:r>
      <w:r w:rsidRPr="00AE0B3D">
        <w:rPr>
          <w:rFonts w:cs="Times New Roman"/>
          <w:lang w:val="en-US"/>
        </w:rPr>
        <w:fldChar w:fldCharType="end"/>
      </w:r>
      <w:r w:rsidRPr="00AE0B3D">
        <w:rPr>
          <w:rFonts w:cs="Times New Roman"/>
          <w:lang w:val="en-US"/>
        </w:rPr>
        <w:t xml:space="preserve">. ROA refers to the ratio of organization income to the total asset it owns. The higher the ROA of the organization the higher the efficient of asset utilization by the organization. ROE refers to a financial ratio of the total profits of the organization to the total investor’s equity in the organization. The ROE presents the profitability of the organization in its operations </w:t>
      </w:r>
      <w:r w:rsidRPr="00AE0B3D">
        <w:rPr>
          <w:rFonts w:cs="Times New Roman"/>
          <w:lang w:val="en-US"/>
        </w:rPr>
        <w:fldChar w:fldCharType="begin" w:fldLock="1"/>
      </w:r>
      <w:r w:rsidRPr="00AE0B3D">
        <w:rPr>
          <w:rFonts w:cs="Times New Roman"/>
          <w:lang w:val="en-US"/>
        </w:rPr>
        <w:instrText>ADDIN CSL_CITATION {"citationItems":[{"id":"ITEM-1","itemData":{"DOI":"10.15520/jbme.2015.vol3.iss11.158.pp33-40","ISBN":"2146-4138","ISSN":"2146-4138","author":[{"dropping-particle":"","family":"Ongore","given":"Vincent Okoth;","non-dropping-particle":"","parse-names":false,"suffix":""},{"dropping-particle":"","family":"Kusa","given":"Gemechu Berhanu","non-dropping-particle":"","parse-names":false,"suffix":""}],"container-title":"International journal of economics and financial","id":"ITEM-1","issue":"1","issued":{"date-parts":[["2013"]]},"page":"237-252","title":"Determinants of financial performance of commercial banks in Kenya","type":"article-journal","volume":"3"},"uris":["http://www.mendeley.com/documents/?uuid=1ac903a5-40e3-4abb-aa43-5228c90fc504"]}],"mendeley":{"formattedCitation":"(Vincent Okoth; Ongore &amp; Kusa, 2013)","manualFormatting":"(Ongore &amp; Kusa, 2013)","plainTextFormattedCitation":"(Vincent Okoth; Ongore &amp; Kusa, 2013)","previouslyFormattedCitation":"(Vincent Okoth; Ongore &amp; Kusa, 2013)"},"properties":{"noteIndex":0},"schema":"https://github.com/citation-style-language/schema/raw/master/csl-citation.json"}</w:instrText>
      </w:r>
      <w:r w:rsidRPr="00AE0B3D">
        <w:rPr>
          <w:rFonts w:cs="Times New Roman"/>
          <w:lang w:val="en-US"/>
        </w:rPr>
        <w:fldChar w:fldCharType="separate"/>
      </w:r>
      <w:r w:rsidRPr="00AE0B3D">
        <w:rPr>
          <w:rFonts w:cs="Times New Roman"/>
          <w:noProof/>
          <w:lang w:val="en-US"/>
        </w:rPr>
        <w:t>(Ongore &amp; Kusa, 2013)</w:t>
      </w:r>
      <w:r w:rsidRPr="00AE0B3D">
        <w:rPr>
          <w:rFonts w:cs="Times New Roman"/>
          <w:lang w:val="en-US"/>
        </w:rPr>
        <w:fldChar w:fldCharType="end"/>
      </w:r>
      <w:r w:rsidRPr="00AE0B3D">
        <w:rPr>
          <w:rFonts w:cs="Times New Roman"/>
          <w:lang w:val="en-US"/>
        </w:rPr>
        <w:t xml:space="preserve">. </w:t>
      </w:r>
    </w:p>
    <w:p w14:paraId="59F28F8C" w14:textId="3B290447" w:rsidR="00256268" w:rsidRPr="00AE0B3D" w:rsidRDefault="00B91E18" w:rsidP="00256268">
      <w:pPr>
        <w:pStyle w:val="Heading2"/>
        <w:rPr>
          <w:rFonts w:cs="Times New Roman"/>
        </w:rPr>
      </w:pPr>
      <w:bookmarkStart w:id="49" w:name="_Toc78067515"/>
      <w:r w:rsidRPr="00AE0B3D">
        <w:rPr>
          <w:rFonts w:cs="Times New Roman"/>
        </w:rPr>
        <w:lastRenderedPageBreak/>
        <w:t>Remuneration</w:t>
      </w:r>
      <w:r w:rsidR="00256268" w:rsidRPr="00AE0B3D">
        <w:rPr>
          <w:rFonts w:cs="Times New Roman"/>
        </w:rPr>
        <w:t xml:space="preserve"> and Performance</w:t>
      </w:r>
      <w:bookmarkEnd w:id="49"/>
    </w:p>
    <w:p w14:paraId="4979CCB8" w14:textId="3706B8A3" w:rsidR="00256268" w:rsidRPr="00AE0B3D" w:rsidRDefault="00847115" w:rsidP="00256268">
      <w:pPr>
        <w:rPr>
          <w:rFonts w:cs="Times New Roman"/>
        </w:rPr>
      </w:pPr>
      <w:r w:rsidRPr="00AE0B3D">
        <w:rPr>
          <w:rFonts w:cs="Times New Roman"/>
        </w:rPr>
        <w:t>Remuneration</w:t>
      </w:r>
      <w:r w:rsidR="00256268" w:rsidRPr="00AE0B3D">
        <w:rPr>
          <w:rFonts w:cs="Times New Roman"/>
        </w:rPr>
        <w:t xml:space="preserve"> is considered an important incentive for employees to work towards the organization set goals.</w:t>
      </w:r>
      <w:r w:rsidR="00256268" w:rsidRPr="00AE0B3D">
        <w:rPr>
          <w:rFonts w:cs="Times New Roman"/>
          <w:noProof/>
        </w:rPr>
        <w:t xml:space="preserve"> Ahammad et al.</w:t>
      </w:r>
      <w:r w:rsidR="008C0A62" w:rsidRPr="00AE0B3D">
        <w:rPr>
          <w:rFonts w:cs="Times New Roman"/>
          <w:noProof/>
        </w:rPr>
        <w:t xml:space="preserve"> </w:t>
      </w:r>
      <w:r w:rsidR="008C0A62" w:rsidRPr="00AE0B3D">
        <w:rPr>
          <w:rFonts w:cs="Times New Roman"/>
          <w:noProof/>
        </w:rPr>
        <w:fldChar w:fldCharType="begin" w:fldLock="1"/>
      </w:r>
      <w:r w:rsidR="003335F3" w:rsidRPr="00AE0B3D">
        <w:rPr>
          <w:rFonts w:cs="Times New Roman"/>
          <w:noProof/>
        </w:rPr>
        <w:instrText>ADDIN CSL_CITATION {"citationItems":[{"id":"ITEM-1","itemData":{"DOI":"10.1002/hrm","ISBN":"9780708713815","ISSN":"00782696","PMID":"21138203","abstract":"Organizations are increasingly required to improve their ability to enhance employees’ support or acceptance for change initiatives. In studies that have examined the conditions in which employees support organizational change, researchers have focused on various attitudinal constructs that rep- resent employees’ attitudes toward organizational change. The constructs, which frequently serve as key variables in these studies, include readiness for change, commitment to change, openness to change, and cynicism about organizational change. These constructs have distinct meanings and empha- ses and therefore they can provide us with different information regarding employees’ evaluation of and concerns about particular change initiatives. In this literature review, the author discusses how the constructs are defi ned in the organizational change literature and synthesizes the antecedents of each construct. Based on the discussion, it is proposed that the constructs are susceptible to situational variables, and may change over time as individuals’ experiences change; therefore, they are better conceptualized as states than as personality traits.","author":[{"dropping-particle":"","family":"Ahammad","given":"Faisal M.","non-dropping-particle":"","parse-names":false,"suffix":""},{"dropping-particle":"","family":"Lee","given":"S. Mook","non-dropping-particle":"","parse-names":false,"suffix":""},{"dropping-particle":"","family":"Malul","given":"M.","non-dropping-particle":"","parse-names":false,"suffix":""},{"dropping-particle":"","family":"Shoham","given":"A","non-dropping-particle":"","parse-names":false,"suffix":""}],"container-title":"Human Resource Management","id":"ITEM-1","issue":"1","issued":{"date-parts":[["2015"]]},"page":"s45-s62","title":"Behavioral ambidexterity: The impact of incentive schemes on productivity, motivation, and performance of employees in commercial banks","type":"article-journal","volume":"54"},"uris":["http://www.mendeley.com/documents/?uuid=46265c8e-307b-4949-9517-4b77072db73c"]}],"mendeley":{"formattedCitation":"(Ahammad et al., 2015)","manualFormatting":"( 2015)","plainTextFormattedCitation":"(Ahammad et al., 2015)","previouslyFormattedCitation":"(Ahammad et al., 2015)"},"properties":{"noteIndex":0},"schema":"https://github.com/citation-style-language/schema/raw/master/csl-citation.json"}</w:instrText>
      </w:r>
      <w:r w:rsidR="008C0A62" w:rsidRPr="00AE0B3D">
        <w:rPr>
          <w:rFonts w:cs="Times New Roman"/>
          <w:noProof/>
        </w:rPr>
        <w:fldChar w:fldCharType="separate"/>
      </w:r>
      <w:r w:rsidR="008C0A62" w:rsidRPr="00AE0B3D">
        <w:rPr>
          <w:rFonts w:cs="Times New Roman"/>
          <w:noProof/>
        </w:rPr>
        <w:t>( 2015)</w:t>
      </w:r>
      <w:r w:rsidR="008C0A62" w:rsidRPr="00AE0B3D">
        <w:rPr>
          <w:rFonts w:cs="Times New Roman"/>
          <w:noProof/>
        </w:rPr>
        <w:fldChar w:fldCharType="end"/>
      </w:r>
      <w:r w:rsidR="00256268" w:rsidRPr="00AE0B3D">
        <w:rPr>
          <w:rFonts w:cs="Times New Roman"/>
        </w:rPr>
        <w:t xml:space="preserve"> identified that incentive based on both future and past performance motivates employees to perform better. Incentive based human resource practices play a crucial role in improving the performance of employees in an organization. </w:t>
      </w:r>
      <w:bookmarkStart w:id="50" w:name="_Hlk14882842"/>
      <w:r w:rsidR="00256268" w:rsidRPr="00AE0B3D">
        <w:rPr>
          <w:rFonts w:cs="Times New Roman"/>
          <w:noProof/>
        </w:rPr>
        <w:t>Subramony</w:t>
      </w:r>
      <w:r w:rsidR="003335F3" w:rsidRPr="00AE0B3D">
        <w:rPr>
          <w:rFonts w:cs="Times New Roman"/>
          <w:noProof/>
        </w:rPr>
        <w:t xml:space="preserve"> </w:t>
      </w:r>
      <w:r w:rsidR="003335F3" w:rsidRPr="00AE0B3D">
        <w:rPr>
          <w:rFonts w:cs="Times New Roman"/>
          <w:noProof/>
        </w:rPr>
        <w:fldChar w:fldCharType="begin" w:fldLock="1"/>
      </w:r>
      <w:r w:rsidR="001B357D" w:rsidRPr="00AE0B3D">
        <w:rPr>
          <w:rFonts w:cs="Times New Roman"/>
          <w:noProof/>
        </w:rPr>
        <w:instrText>ADDIN CSL_CITATION {"citationItems":[{"id":"ITEM-1","itemData":{"DOI":"10.1002/hrm","ISBN":"9780708713815","ISSN":"00782696","PMID":"21138203","abstract":"Organizations are increasingly required to improve their ability to enhance employees’ support or acceptance for change initiatives. In studies that have examined the conditions in which employees support organizational change, researchers have focused on various attitudinal constructs that rep- resent employees’ attitudes toward organizational change. The constructs, which frequently serve as key variables in these studies, include readiness for change, commitment to change, openness to change, and cynicism about organizational change. These constructs have distinct meanings and empha- ses and therefore they can provide us with different information regarding employees’ evaluation of and concerns about particular change initiatives. In this literature review, the author discusses how the constructs are defi ned in the organizational change literature and synthesizes the antecedents of each construct. Based on the discussion, it is proposed that the constructs are susceptible to situational variables, and may change over time as individuals’ experiences change; therefore, they are better conceptualized as states than as personality traits.","author":[{"dropping-particle":"","family":"Subramony","given":"Mahesh","non-dropping-particle":"","parse-names":false,"suffix":""}],"container-title":"Human resource management","id":"ITEM-1","issue":"5","issued":{"date-parts":[["2009"]]},"page":"745-768","title":"A meta‐analytic investigation of the relationship between HRM bundles and firm performance","type":"article-journal","volume":"48"},"uris":["http://www.mendeley.com/documents/?uuid=ca542fa0-0c12-482b-9898-88797e2e349c"]}],"mendeley":{"formattedCitation":"(Subramony, 2009)","manualFormatting":"( 2009)","plainTextFormattedCitation":"(Subramony, 2009)","previouslyFormattedCitation":"(Subramony, 2009)"},"properties":{"noteIndex":0},"schema":"https://github.com/citation-style-language/schema/raw/master/csl-citation.json"}</w:instrText>
      </w:r>
      <w:r w:rsidR="003335F3" w:rsidRPr="00AE0B3D">
        <w:rPr>
          <w:rFonts w:cs="Times New Roman"/>
          <w:noProof/>
        </w:rPr>
        <w:fldChar w:fldCharType="separate"/>
      </w:r>
      <w:r w:rsidR="003335F3" w:rsidRPr="00AE0B3D">
        <w:rPr>
          <w:rFonts w:cs="Times New Roman"/>
          <w:noProof/>
        </w:rPr>
        <w:t>( 2009)</w:t>
      </w:r>
      <w:r w:rsidR="003335F3" w:rsidRPr="00AE0B3D">
        <w:rPr>
          <w:rFonts w:cs="Times New Roman"/>
          <w:noProof/>
        </w:rPr>
        <w:fldChar w:fldCharType="end"/>
      </w:r>
      <w:bookmarkEnd w:id="50"/>
      <w:r w:rsidR="00256268" w:rsidRPr="00AE0B3D">
        <w:rPr>
          <w:rFonts w:cs="Times New Roman"/>
        </w:rPr>
        <w:t xml:space="preserve"> through review of past studies identified that incentive that motivates </w:t>
      </w:r>
      <w:r w:rsidR="00256268" w:rsidRPr="00AE0B3D">
        <w:rPr>
          <w:rFonts w:cs="Times New Roman"/>
          <w:noProof/>
        </w:rPr>
        <w:t>employees</w:t>
      </w:r>
      <w:r w:rsidR="002B7474" w:rsidRPr="00AE0B3D">
        <w:rPr>
          <w:rFonts w:cs="Times New Roman"/>
          <w:noProof/>
        </w:rPr>
        <w:t xml:space="preserve">, </w:t>
      </w:r>
      <w:r w:rsidR="00256268" w:rsidRPr="00AE0B3D">
        <w:rPr>
          <w:rFonts w:cs="Times New Roman"/>
          <w:noProof/>
        </w:rPr>
        <w:t>such</w:t>
      </w:r>
      <w:r w:rsidR="00256268" w:rsidRPr="00AE0B3D">
        <w:rPr>
          <w:rFonts w:cs="Times New Roman"/>
        </w:rPr>
        <w:t xml:space="preserve"> as compensation</w:t>
      </w:r>
      <w:r w:rsidR="0087121D" w:rsidRPr="00AE0B3D">
        <w:rPr>
          <w:rFonts w:cs="Times New Roman"/>
        </w:rPr>
        <w:t>,</w:t>
      </w:r>
      <w:r w:rsidR="00256268" w:rsidRPr="00AE0B3D">
        <w:rPr>
          <w:rFonts w:cs="Times New Roman"/>
        </w:rPr>
        <w:t xml:space="preserve"> </w:t>
      </w:r>
      <w:r w:rsidR="00256268" w:rsidRPr="00AE0B3D">
        <w:rPr>
          <w:rFonts w:cs="Times New Roman"/>
          <w:noProof/>
        </w:rPr>
        <w:t>have</w:t>
      </w:r>
      <w:r w:rsidR="00256268" w:rsidRPr="00AE0B3D">
        <w:rPr>
          <w:rFonts w:cs="Times New Roman"/>
        </w:rPr>
        <w:t xml:space="preserve"> positive impacts on the organization operation outcome such as financial performance, lower employee turnover and overall organization performance. Motivation is considered to enhance the </w:t>
      </w:r>
      <w:r w:rsidR="000B3CB0" w:rsidRPr="00AE0B3D">
        <w:rPr>
          <w:rFonts w:cs="Times New Roman"/>
        </w:rPr>
        <w:t>behaviour</w:t>
      </w:r>
      <w:r w:rsidR="00256268" w:rsidRPr="00AE0B3D">
        <w:rPr>
          <w:rFonts w:cs="Times New Roman"/>
        </w:rPr>
        <w:t xml:space="preserve"> and attitude of the employee towards their work objective and improve their dedication</w:t>
      </w:r>
      <w:r w:rsidR="001B357D" w:rsidRPr="00AE0B3D">
        <w:rPr>
          <w:rFonts w:cs="Times New Roman"/>
        </w:rPr>
        <w:t xml:space="preserve"> </w:t>
      </w:r>
      <w:r w:rsidR="001B357D" w:rsidRPr="00AE0B3D">
        <w:rPr>
          <w:rFonts w:cs="Times New Roman"/>
        </w:rPr>
        <w:fldChar w:fldCharType="begin" w:fldLock="1"/>
      </w:r>
      <w:r w:rsidR="00955099">
        <w:rPr>
          <w:rFonts w:cs="Times New Roman"/>
        </w:rPr>
        <w:instrText>ADDIN CSL_CITATION {"citationItems":[{"id":"ITEM-1","itemData":{"DOI":"10.1016/j.hrmr.2016.09.005","ISBN":"00368075\\n10959203","ISSN":"10534822","PMID":"29214751","abstract":"Existing literature on human resource management (HRM) practices and firm performance suggests that there is a positive association between the two variables. Most of the studies, however, are based on cross-sectional datasets and only few of them use panel or longitudinal datasets, which better allow the researchers to deal with problems of endogeneity. This paper draws on meta-analysis techniques to estimate the effect size of the relationship between high performance work practices (HPWPs) and firm performance measures based on the available longitudinal studies. We also examine whether the effect is greater for a combination of HPWPs than for individual HPWPs, and for operational performance than for financial performance. The results from statistical aggregation of eight longitudinal HRM-performance studies demonstrate an overall reported correlation of 0.287. Additionally we find that a set of integrated, mutually reinforcing HPWPs has a stronger impact on firm performance than do HRM practices individually and that, this effect is statistically invariant between operational performance and financial performance.","author":[{"dropping-particle":"","family":"Saridakis","given":"George","non-dropping-particle":"","parse-names":false,"suffix":""},{"dropping-particle":"","family":"Lai","given":"Yanqing","non-dropping-particle":"","parse-names":false,"suffix":""},{"dropping-particle":"","family":"Cooper","given":"Cary L.","non-dropping-particle":"","parse-names":false,"suffix":""}],"container-title":"Human Resource Management Review","id":"ITEM-1","issue":"1","issued":{"date-parts":[["2017"]]},"page":"87-96","publisher":"Elsevier Inc.","title":"Exploring the relationship between HRM and firm performance: A meta-analysis of longitudinal studies","type":"article-journal","volume":"27"},"uris":["http://www.mendeley.com/documents/?uuid=691a408c-2147-4482-97dd-c711460bfa50"]},{"id":"ITEM-2","itemData":{"DOI":"10.1002/hrm","ISBN":"9780708713815","ISSN":"00782696","PMID":"21138203","abstract":"Organizations are increasingly required to improve their ability to enhance employees’ support or acceptance for change initiatives. In studies that have examined the conditions in which employees support organizational change, researchers have focused on various attitudinal constructs that rep- resent employees’ attitudes toward organizational change. The constructs, which frequently serve as key variables in these studies, include readiness for change, commitment to change, openness to change, and cynicism about organizational change. These constructs have distinct meanings and empha- ses and therefore they can provide us with different information regarding employees’ evaluation of and concerns about particular change initiatives. In this literature review, the author discusses how the constructs are defi ned in the organizational change literature and synthesizes the antecedents of each construct. Based on the discussion, it is proposed that the constructs are susceptible to situational variables, and may change over time as individuals’ experiences change; therefore, they are better conceptualized as states than as personality traits.","author":[{"dropping-particle":"","family":"Subramony","given":"Mahesh","non-dropping-particle":"","parse-names":false,"suffix":""}],"container-title":"Human resource management","id":"ITEM-2","issue":"5","issued":{"date-parts":[["2009"]]},"page":"745-768","title":"A meta‐analytic investigation of the relationship between HRM bundles and firm performance","type":"article-journal","volume":"48"},"uris":["http://www.mendeley.com/documents/?uuid=ca542fa0-0c12-482b-9898-88797e2e349c"]},{"id":"ITEM-3","itemData":{"DOI":"10.1016/j.jbusvent.2016.05.005","ISSN":"08839026","abstract":"The role of human capital has received considerable attention in research on small and medium sized firms. However, much uncertainty remains as to how practices that enhance human resources (HR) affect the performance of small and medium sized firms, whether some practices have stronger effects than others, and which contingencies influence these effects. Relying on the framework proposed by Subramony (2009), we propose that small and medium sized firms need to implement HR practices that focus on enhancing skills, motivation, and empowerment. The results of our meta-analysis comprising 56 studies that focused on small and medium sized enterprises (SME) indicated that HR-enhancing practices are correlated with firm performance (rc = .228). Moreover, HR-enhancing practices were more relevant for young firms and SME operating in high-tech industries and in country contexts characterized by rigid labor regulations. We compare the results of this meta-analysis with meta-analyses performed in the large firm context. Overall, our results suggest that HR-enhancing practices are important in the SME context in general and, moreover, they specify whether or not these practices have to be adapted to the SME context.","author":[{"dropping-particle":"","family":"Rauch","given":"Andreas","non-dropping-particle":"","parse-names":false,"suffix":""},{"dropping-particle":"","family":"Hatak","given":"Isabella","non-dropping-particle":"","parse-names":false,"suffix":""}],"container-title":"Journal of Business Venturing","id":"ITEM-3","issue":"5","issued":{"date-parts":[["2016"]]},"page":"485-504","publisher":"Elsevier Inc.","title":"A meta-analysis of different HR-enhancing practices and performance of small and medium sized firms","type":"article-journal","volume":"31"},"uris":["http://www.mendeley.com/documents/?uuid=59965222-ba18-4939-a6e7-65cc139b9366"]}],"mendeley":{"formattedCitation":"(Rauch &amp; Hatak, 2016; Saridakis et al., 2017; Subramony, 2009)","manualFormatting":"(Rauch &amp; Hatak, 2016; Saridakis et al., 2017; Subramony, 2009)","plainTextFormattedCitation":"(Rauch &amp; Hatak, 2016; Saridakis et al., 2017; Subramony, 2009)","previouslyFormattedCitation":"(Rauch &amp; Hatak, 2016; Saridakis et al., 2017; Subramony, 2009)"},"properties":{"noteIndex":0},"schema":"https://github.com/citation-style-language/schema/raw/master/csl-citation.json"}</w:instrText>
      </w:r>
      <w:r w:rsidR="001B357D" w:rsidRPr="00AE0B3D">
        <w:rPr>
          <w:rFonts w:cs="Times New Roman"/>
        </w:rPr>
        <w:fldChar w:fldCharType="separate"/>
      </w:r>
      <w:r w:rsidR="001B357D" w:rsidRPr="00AE0B3D">
        <w:rPr>
          <w:rFonts w:cs="Times New Roman"/>
          <w:noProof/>
        </w:rPr>
        <w:t>(Rauch &amp; Hatak, 2016; Saridakis</w:t>
      </w:r>
      <w:r w:rsidR="002A5287">
        <w:rPr>
          <w:rFonts w:cs="Times New Roman"/>
          <w:noProof/>
        </w:rPr>
        <w:t xml:space="preserve"> </w:t>
      </w:r>
      <w:r w:rsidR="002A5287" w:rsidRPr="006B3E1F">
        <w:rPr>
          <w:rFonts w:cs="Times New Roman"/>
          <w:noProof/>
        </w:rPr>
        <w:t>et al.</w:t>
      </w:r>
      <w:r w:rsidR="001B357D" w:rsidRPr="00AE0B3D">
        <w:rPr>
          <w:rFonts w:cs="Times New Roman"/>
          <w:noProof/>
        </w:rPr>
        <w:t>, 2017; Subramony, 2009)</w:t>
      </w:r>
      <w:r w:rsidR="001B357D" w:rsidRPr="00AE0B3D">
        <w:rPr>
          <w:rFonts w:cs="Times New Roman"/>
        </w:rPr>
        <w:fldChar w:fldCharType="end"/>
      </w:r>
      <w:r w:rsidR="00256268" w:rsidRPr="00AE0B3D">
        <w:rPr>
          <w:rFonts w:cs="Times New Roman"/>
        </w:rPr>
        <w:t xml:space="preserve">. </w:t>
      </w:r>
      <w:bookmarkStart w:id="51" w:name="_Hlk14883479"/>
      <w:r w:rsidR="002A5287">
        <w:rPr>
          <w:rFonts w:cs="Times New Roman"/>
          <w:noProof/>
        </w:rPr>
        <w:t>Nyberg</w:t>
      </w:r>
      <w:r w:rsidR="00256268" w:rsidRPr="00AE0B3D">
        <w:rPr>
          <w:rFonts w:cs="Times New Roman"/>
          <w:noProof/>
        </w:rPr>
        <w:t xml:space="preserve"> et al.</w:t>
      </w:r>
      <w:r w:rsidR="001B357D" w:rsidRPr="00AE0B3D">
        <w:rPr>
          <w:rFonts w:cs="Times New Roman"/>
          <w:noProof/>
        </w:rPr>
        <w:t xml:space="preserve"> </w:t>
      </w:r>
      <w:r w:rsidR="001B357D" w:rsidRPr="00AE0B3D">
        <w:rPr>
          <w:rFonts w:cs="Times New Roman"/>
          <w:noProof/>
        </w:rPr>
        <w:fldChar w:fldCharType="begin" w:fldLock="1"/>
      </w:r>
      <w:r w:rsidR="00955099">
        <w:rPr>
          <w:rFonts w:cs="Times New Roman"/>
          <w:noProof/>
        </w:rPr>
        <w:instrText>ADDIN CSL_CITATION {"citationItems":[{"id":"ITEM-1","itemData":{"DOI":"10.1177/0149206313515520","ISBN":"0149206313","ISSN":"0149-2063","abstract":"Although pay-for-performance’s potential effect on employee performance is a compelling issue, understanding this dynamic has been constrained by narrow approaches to pay-for-performance conceptualization, measurement, and surrounding conditions. In response, we take a more nuanced perspective by integrating fundamental principles of economics and psychology to identify and incorporate employee characteristics, job characteristics, pay system characteristics, and pay system experience into a contingency model of the pay-for-performance–future performance relationship. We test the role that these four key contextual factors play in pay-for-performance effectiveness using 11,939 employees over a 5-year period. We find that merit and bonus pay, as well as their multiyear trends, are positively associated with future employee performance. Furthermore, our findings indicate that, contrary to what traditional economic perspectives would predict, bonus pay may have a stronger effect on future performance than merit pay. Our results also support a contingency approach to pay-for-performance’s impact on future employee performance, as we find that merit pay and bonus pay can substitute for each other and that the strength of pay-for-performance’s effect is a function of employee tenure, the pay-for-performance trend over time, and job type (presumably due to differences in the measurability of employee performance across jobs). [ABSTRACT FROM AUTHOR]","author":[{"dropping-particle":"","family":"Nyberg","given":"Anthony J.","non-dropping-particle":"","parse-names":false,"suffix":""},{"dropping-particle":"","family":"Pieper","given":"Jenna R.","non-dropping-particle":"","parse-names":false,"suffix":""},{"dropping-particle":"","family":"Trevor","given":"Charlie O.","non-dropping-particle":"","parse-names":false,"suffix":""}],"container-title":"Journal of Management","id":"ITEM-1","issue":"7","issued":{"date-parts":[["2016"]]},"number-of-pages":"1753-1783","title":"Pay-for-Performance’s Effect on Future Employee Performance : Integrating Psychological and Economic Principles Toward a Contingency Perspective","type":"book","volume":"42"},"uris":["http://www.mendeley.com/documents/?uuid=56309dfe-0c16-4a2f-ab46-e044f179ae2c"]}],"mendeley":{"formattedCitation":"(Nyberg et al., 2016)","manualFormatting":"(2016)","plainTextFormattedCitation":"(Nyberg et al., 2016)","previouslyFormattedCitation":"(Nyberg et al., 2016)"},"properties":{"noteIndex":0},"schema":"https://github.com/citation-style-language/schema/raw/master/csl-citation.json"}</w:instrText>
      </w:r>
      <w:r w:rsidR="001B357D" w:rsidRPr="00AE0B3D">
        <w:rPr>
          <w:rFonts w:cs="Times New Roman"/>
          <w:noProof/>
        </w:rPr>
        <w:fldChar w:fldCharType="separate"/>
      </w:r>
      <w:r w:rsidR="00E74832" w:rsidRPr="00AE0B3D">
        <w:rPr>
          <w:rFonts w:cs="Times New Roman"/>
          <w:noProof/>
        </w:rPr>
        <w:t>(2016)</w:t>
      </w:r>
      <w:r w:rsidR="001B357D" w:rsidRPr="00AE0B3D">
        <w:rPr>
          <w:rFonts w:cs="Times New Roman"/>
          <w:noProof/>
        </w:rPr>
        <w:fldChar w:fldCharType="end"/>
      </w:r>
      <w:bookmarkEnd w:id="51"/>
      <w:r w:rsidR="001B357D" w:rsidRPr="00AE0B3D">
        <w:rPr>
          <w:rFonts w:cs="Times New Roman"/>
          <w:noProof/>
        </w:rPr>
        <w:t xml:space="preserve"> </w:t>
      </w:r>
      <w:r w:rsidR="00256268" w:rsidRPr="00AE0B3D">
        <w:rPr>
          <w:rFonts w:cs="Times New Roman"/>
        </w:rPr>
        <w:t xml:space="preserve">through evaluating employee performance over 5 </w:t>
      </w:r>
      <w:r w:rsidR="00B83E24" w:rsidRPr="00AE0B3D">
        <w:rPr>
          <w:rFonts w:cs="Times New Roman"/>
        </w:rPr>
        <w:t>year’s</w:t>
      </w:r>
      <w:r w:rsidR="00256268" w:rsidRPr="00AE0B3D">
        <w:rPr>
          <w:rFonts w:cs="Times New Roman"/>
        </w:rPr>
        <w:t xml:space="preserve"> period found a positive correlation between </w:t>
      </w:r>
      <w:r w:rsidR="0087121D" w:rsidRPr="00AE0B3D">
        <w:rPr>
          <w:rFonts w:cs="Times New Roman"/>
        </w:rPr>
        <w:t xml:space="preserve">the </w:t>
      </w:r>
      <w:r w:rsidR="00256268" w:rsidRPr="00AE0B3D">
        <w:rPr>
          <w:rFonts w:cs="Times New Roman"/>
          <w:noProof/>
        </w:rPr>
        <w:t>future</w:t>
      </w:r>
      <w:r w:rsidR="00256268" w:rsidRPr="00AE0B3D">
        <w:rPr>
          <w:rFonts w:cs="Times New Roman"/>
        </w:rPr>
        <w:t xml:space="preserve"> performance of employees and bonus pay. The research supported the pay for performance perspective that </w:t>
      </w:r>
      <w:r w:rsidR="00256268" w:rsidRPr="00AE0B3D">
        <w:rPr>
          <w:rFonts w:cs="Times New Roman"/>
          <w:noProof/>
        </w:rPr>
        <w:t>ha</w:t>
      </w:r>
      <w:r w:rsidR="0087121D" w:rsidRPr="00AE0B3D">
        <w:rPr>
          <w:rFonts w:cs="Times New Roman"/>
          <w:noProof/>
        </w:rPr>
        <w:t>s</w:t>
      </w:r>
      <w:r w:rsidR="00256268" w:rsidRPr="00AE0B3D">
        <w:rPr>
          <w:rFonts w:cs="Times New Roman"/>
        </w:rPr>
        <w:t xml:space="preserve"> been adopted by various companies</w:t>
      </w:r>
      <w:r w:rsidR="00256268" w:rsidRPr="00AE0B3D">
        <w:rPr>
          <w:rFonts w:cs="Times New Roman"/>
          <w:noProof/>
        </w:rPr>
        <w:t xml:space="preserve"> </w:t>
      </w:r>
      <w:r w:rsidR="00E118BE" w:rsidRPr="00AE0B3D">
        <w:rPr>
          <w:rFonts w:cs="Times New Roman"/>
          <w:noProof/>
        </w:rPr>
        <w:fldChar w:fldCharType="begin" w:fldLock="1"/>
      </w:r>
      <w:r w:rsidR="00E118BE" w:rsidRPr="00AE0B3D">
        <w:rPr>
          <w:rFonts w:cs="Times New Roman"/>
          <w:noProof/>
        </w:rPr>
        <w:instrText>ADDIN CSL_CITATION {"citationItems":[{"id":"ITEM-1","itemData":{"DOI":"10.1177/0149206313515520","ISBN":"0149206313","ISSN":"0149-2063","abstract":"Although pay-for-performance’s potential effect on employee performance is a compelling issue, understanding this dynamic has been constrained by narrow approaches to pay-for-performance conceptualization, measurement, and surrounding conditions. In response, we take a more nuanced perspective by integrating fundamental principles of economics and psychology to identify and incorporate employee characteristics, job characteristics, pay system characteristics, and pay system experience into a contingency model of the pay-for-performance–future performance relationship. We test the role that these four key contextual factors play in pay-for-performance effectiveness using 11,939 employees over a 5-year period. We find that merit and bonus pay, as well as their multiyear trends, are positively associated with future employee performance. Furthermore, our findings indicate that, contrary to what traditional economic perspectives would predict, bonus pay may have a stronger effect on future performance than merit pay. Our results also support a contingency approach to pay-for-performance’s impact on future employee performance, as we find that merit pay and bonus pay can substitute for each other and that the strength of pay-for-performance’s effect is a function of employee tenure, the pay-for-performance trend over time, and job type (presumably due to differences in the measurability of employee performance across jobs). [ABSTRACT FROM AUTHOR]","author":[{"dropping-particle":"","family":"Nyberg","given":"Anthony J.","non-dropping-particle":"","parse-names":false,"suffix":""},{"dropping-particle":"","family":"Pieper","given":"Jenna R.","non-dropping-particle":"","parse-names":false,"suffix":""},{"dropping-particle":"","family":"Trevor","given":"Charlie O.","non-dropping-particle":"","parse-names":false,"suffix":""}],"container-title":"Journal of Management","id":"ITEM-1","issue":"7","issued":{"date-parts":[["2016"]]},"number-of-pages":"1753-1783","title":"Pay-for-Performance’s Effect on Future Employee Performance : Integrating Psychological and Economic Principles Toward a Contingency Perspective","type":"book","volume":"42"},"uris":["http://www.mendeley.com/documents/?uuid=56309dfe-0c16-4a2f-ab46-e044f179ae2c"]}],"mendeley":{"formattedCitation":"(Nyberg et al., 2016)","plainTextFormattedCitation":"(Nyberg et al., 2016)","previouslyFormattedCitation":"(Nyberg et al., 2016)"},"properties":{"noteIndex":0},"schema":"https://github.com/citation-style-language/schema/raw/master/csl-citation.json"}</w:instrText>
      </w:r>
      <w:r w:rsidR="00E118BE" w:rsidRPr="00AE0B3D">
        <w:rPr>
          <w:rFonts w:cs="Times New Roman"/>
          <w:noProof/>
        </w:rPr>
        <w:fldChar w:fldCharType="separate"/>
      </w:r>
      <w:r w:rsidR="00E118BE" w:rsidRPr="00AE0B3D">
        <w:rPr>
          <w:rFonts w:cs="Times New Roman"/>
          <w:noProof/>
        </w:rPr>
        <w:t>(Nyberg et al., 2016)</w:t>
      </w:r>
      <w:r w:rsidR="00E118BE" w:rsidRPr="00AE0B3D">
        <w:rPr>
          <w:rFonts w:cs="Times New Roman"/>
          <w:noProof/>
        </w:rPr>
        <w:fldChar w:fldCharType="end"/>
      </w:r>
      <w:r w:rsidR="00256268" w:rsidRPr="00AE0B3D">
        <w:rPr>
          <w:rFonts w:cs="Times New Roman"/>
        </w:rPr>
        <w:t>.</w:t>
      </w:r>
    </w:p>
    <w:p w14:paraId="0AE218C9" w14:textId="3D59C1A0" w:rsidR="001A77CF" w:rsidRPr="00AE0B3D" w:rsidRDefault="00256268" w:rsidP="00256268">
      <w:pPr>
        <w:rPr>
          <w:rFonts w:cs="Times New Roman"/>
        </w:rPr>
      </w:pPr>
      <w:r w:rsidRPr="00AE0B3D">
        <w:rPr>
          <w:rFonts w:cs="Times New Roman"/>
          <w:noProof/>
        </w:rPr>
        <w:t>De Gieter and Hofmans</w:t>
      </w:r>
      <w:r w:rsidR="00E118BE" w:rsidRPr="00AE0B3D">
        <w:rPr>
          <w:rFonts w:cs="Times New Roman"/>
          <w:noProof/>
        </w:rPr>
        <w:t xml:space="preserve"> </w:t>
      </w:r>
      <w:r w:rsidR="00E118BE" w:rsidRPr="00AE0B3D">
        <w:rPr>
          <w:rFonts w:cs="Times New Roman"/>
          <w:noProof/>
        </w:rPr>
        <w:fldChar w:fldCharType="begin" w:fldLock="1"/>
      </w:r>
      <w:r w:rsidR="00E118BE" w:rsidRPr="00AE0B3D">
        <w:rPr>
          <w:rFonts w:cs="Times New Roman"/>
          <w:noProof/>
        </w:rPr>
        <w:instrText>ADDIN CSL_CITATION {"citationItems":[{"id":"ITEM-1","itemData":{"DOI":"10.1111/1748-8583.12072","ISBN":"1748-8583","ISSN":"17488583","abstract":"We challenge the assumption that satisfaction with rewards has the same effect on the behaviour and attitudes of every employee, and hypothesise that there are individual differences in the effects of (satisfaction with) financial, material and psychological rewards on turnover intentions and task performance. Survey data from 179 employees are combined with supervisor-rated task performance data and analysed with cluster-wise regression analysis. As for task performance, no employee types or individual differences were found. However, we identified three different employee types revealing a unique relationship pattern between satisfaction with financial, material and psychological rewards and turnover intentions. These employee types also differed in socio-demographic characteristics and work values. Our findings illustrate that to be able to fully understand the underlying relationship between rewards and employee outcomes, scholars need to adopt an individual difference perspective and methodology. Implications for practice, limitations and opportunities for future studies are discussed.","author":[{"dropping-particle":"","family":"Gieter","given":"Sara","non-dropping-particle":"De","parse-names":false,"suffix":""},{"dropping-particle":"","family":"Hofmans","given":"Joeri","non-dropping-particle":"","parse-names":false,"suffix":""}],"container-title":"Human Resource Management Journal","id":"ITEM-1","issue":"2","issued":{"date-parts":[["2015"]]},"page":"200-216","title":"How reward satisfaction affects employees’ turnover intentions and performance: an individual differences approach","type":"article-journal","volume":"25"},"uris":["http://www.mendeley.com/documents/?uuid=8c97ab07-6317-46b8-9524-6695d648d310"]}],"mendeley":{"formattedCitation":"(De Gieter &amp; Hofmans, 2015)","manualFormatting":"(2015)","plainTextFormattedCitation":"(De Gieter &amp; Hofmans, 2015)","previouslyFormattedCitation":"(De Gieter &amp; Hofmans, 2015)"},"properties":{"noteIndex":0},"schema":"https://github.com/citation-style-language/schema/raw/master/csl-citation.json"}</w:instrText>
      </w:r>
      <w:r w:rsidR="00E118BE" w:rsidRPr="00AE0B3D">
        <w:rPr>
          <w:rFonts w:cs="Times New Roman"/>
          <w:noProof/>
        </w:rPr>
        <w:fldChar w:fldCharType="separate"/>
      </w:r>
      <w:r w:rsidR="00E118BE" w:rsidRPr="00AE0B3D">
        <w:rPr>
          <w:rFonts w:cs="Times New Roman"/>
          <w:noProof/>
        </w:rPr>
        <w:t>(2015)</w:t>
      </w:r>
      <w:r w:rsidR="00E118BE" w:rsidRPr="00AE0B3D">
        <w:rPr>
          <w:rFonts w:cs="Times New Roman"/>
          <w:noProof/>
        </w:rPr>
        <w:fldChar w:fldCharType="end"/>
      </w:r>
      <w:r w:rsidRPr="00AE0B3D">
        <w:rPr>
          <w:rFonts w:cs="Times New Roman"/>
        </w:rPr>
        <w:t xml:space="preserve"> on evaluating the relationship between remuneration and performance found that there is a positive relationship. Even so, </w:t>
      </w:r>
      <w:r w:rsidRPr="00AE0B3D">
        <w:rPr>
          <w:rFonts w:cs="Times New Roman"/>
          <w:noProof/>
        </w:rPr>
        <w:t>financial</w:t>
      </w:r>
      <w:r w:rsidRPr="00AE0B3D">
        <w:rPr>
          <w:rFonts w:cs="Times New Roman"/>
        </w:rPr>
        <w:t xml:space="preserve"> incentive to employee’s performance was identified to differ from one individual to the other. It calls for </w:t>
      </w:r>
      <w:r w:rsidRPr="00AE0B3D">
        <w:rPr>
          <w:rFonts w:cs="Times New Roman"/>
          <w:noProof/>
        </w:rPr>
        <w:t>development</w:t>
      </w:r>
      <w:r w:rsidRPr="00AE0B3D">
        <w:rPr>
          <w:rFonts w:cs="Times New Roman"/>
        </w:rPr>
        <w:t xml:space="preserve"> of </w:t>
      </w:r>
      <w:r w:rsidR="0087121D" w:rsidRPr="00AE0B3D">
        <w:rPr>
          <w:rFonts w:cs="Times New Roman"/>
        </w:rPr>
        <w:t xml:space="preserve">a </w:t>
      </w:r>
      <w:r w:rsidRPr="00AE0B3D">
        <w:rPr>
          <w:rFonts w:cs="Times New Roman"/>
          <w:noProof/>
        </w:rPr>
        <w:t>system</w:t>
      </w:r>
      <w:r w:rsidRPr="00AE0B3D">
        <w:rPr>
          <w:rFonts w:cs="Times New Roman"/>
        </w:rPr>
        <w:t xml:space="preserve"> that </w:t>
      </w:r>
      <w:r w:rsidRPr="00AE0B3D">
        <w:rPr>
          <w:rFonts w:cs="Times New Roman"/>
          <w:noProof/>
        </w:rPr>
        <w:t>target</w:t>
      </w:r>
      <w:r w:rsidR="0087121D" w:rsidRPr="00AE0B3D">
        <w:rPr>
          <w:rFonts w:cs="Times New Roman"/>
          <w:noProof/>
        </w:rPr>
        <w:t>s</w:t>
      </w:r>
      <w:r w:rsidRPr="00AE0B3D">
        <w:rPr>
          <w:rFonts w:cs="Times New Roman"/>
        </w:rPr>
        <w:t xml:space="preserve"> individual to facilitate creating </w:t>
      </w:r>
      <w:r w:rsidR="0087121D" w:rsidRPr="00AE0B3D">
        <w:rPr>
          <w:rFonts w:cs="Times New Roman"/>
        </w:rPr>
        <w:t xml:space="preserve">an </w:t>
      </w:r>
      <w:r w:rsidRPr="00AE0B3D">
        <w:rPr>
          <w:rFonts w:cs="Times New Roman"/>
          <w:noProof/>
        </w:rPr>
        <w:t>incentive</w:t>
      </w:r>
      <w:r w:rsidRPr="00AE0B3D">
        <w:rPr>
          <w:rFonts w:cs="Times New Roman"/>
        </w:rPr>
        <w:t xml:space="preserve"> to perform</w:t>
      </w:r>
      <w:r w:rsidR="0087121D" w:rsidRPr="00AE0B3D">
        <w:rPr>
          <w:rFonts w:cs="Times New Roman"/>
        </w:rPr>
        <w:t xml:space="preserve"> </w:t>
      </w:r>
      <w:r w:rsidRPr="00AE0B3D">
        <w:rPr>
          <w:rFonts w:cs="Times New Roman"/>
        </w:rPr>
        <w:t>better and a better working environment</w:t>
      </w:r>
      <w:r w:rsidR="00E118BE" w:rsidRPr="00AE0B3D">
        <w:rPr>
          <w:rFonts w:cs="Times New Roman"/>
        </w:rPr>
        <w:t xml:space="preserve"> </w:t>
      </w:r>
      <w:r w:rsidR="00E118BE" w:rsidRPr="00AE0B3D">
        <w:rPr>
          <w:rFonts w:cs="Times New Roman"/>
        </w:rPr>
        <w:fldChar w:fldCharType="begin" w:fldLock="1"/>
      </w:r>
      <w:r w:rsidR="00B633DA" w:rsidRPr="00AE0B3D">
        <w:rPr>
          <w:rFonts w:cs="Times New Roman"/>
        </w:rPr>
        <w:instrText>ADDIN CSL_CITATION {"citationItems":[{"id":"ITEM-1","itemData":{"DOI":"10.1111/1748-8583.12072","ISBN":"1748-8583","ISSN":"17488583","abstract":"We challenge the assumption that satisfaction with rewards has the same effect on the behaviour and attitudes of every employee, and hypothesise that there are individual differences in the effects of (satisfaction with) financial, material and psychological rewards on turnover intentions and task performance. Survey data from 179 employees are combined with supervisor-rated task performance data and analysed with cluster-wise regression analysis. As for task performance, no employee types or individual differences were found. However, we identified three different employee types revealing a unique relationship pattern between satisfaction with financial, material and psychological rewards and turnover intentions. These employee types also differed in socio-demographic characteristics and work values. Our findings illustrate that to be able to fully understand the underlying relationship between rewards and employee outcomes, scholars need to adopt an individual difference perspective and methodology. Implications for practice, limitations and opportunities for future studies are discussed.","author":[{"dropping-particle":"","family":"Gieter","given":"Sara","non-dropping-particle":"De","parse-names":false,"suffix":""},{"dropping-particle":"","family":"Hofmans","given":"Joeri","non-dropping-particle":"","parse-names":false,"suffix":""}],"container-title":"Human Resource Management Journal","id":"ITEM-1","issue":"2","issued":{"date-parts":[["2015"]]},"page":"200-216","title":"How reward satisfaction affects employees’ turnover intentions and performance: an individual differences approach","type":"article-journal","volume":"25"},"uris":["http://www.mendeley.com/documents/?uuid=8c97ab07-6317-46b8-9524-6695d648d310"]}],"mendeley":{"formattedCitation":"(De Gieter &amp; Hofmans, 2015)","plainTextFormattedCitation":"(De Gieter &amp; Hofmans, 2015)","previouslyFormattedCitation":"(De Gieter &amp; Hofmans, 2015)"},"properties":{"noteIndex":0},"schema":"https://github.com/citation-style-language/schema/raw/master/csl-citation.json"}</w:instrText>
      </w:r>
      <w:r w:rsidR="00E118BE" w:rsidRPr="00AE0B3D">
        <w:rPr>
          <w:rFonts w:cs="Times New Roman"/>
        </w:rPr>
        <w:fldChar w:fldCharType="separate"/>
      </w:r>
      <w:r w:rsidR="00E118BE" w:rsidRPr="00AE0B3D">
        <w:rPr>
          <w:rFonts w:cs="Times New Roman"/>
          <w:noProof/>
        </w:rPr>
        <w:t>(De Gieter &amp; Hofmans, 2015)</w:t>
      </w:r>
      <w:r w:rsidR="00E118BE" w:rsidRPr="00AE0B3D">
        <w:rPr>
          <w:rFonts w:cs="Times New Roman"/>
        </w:rPr>
        <w:fldChar w:fldCharType="end"/>
      </w:r>
      <w:r w:rsidRPr="00AE0B3D">
        <w:rPr>
          <w:rFonts w:cs="Times New Roman"/>
        </w:rPr>
        <w:t>.</w:t>
      </w:r>
      <w:r w:rsidRPr="00AE0B3D">
        <w:rPr>
          <w:rFonts w:cs="Times New Roman"/>
          <w:noProof/>
        </w:rPr>
        <w:t xml:space="preserve"> Wang</w:t>
      </w:r>
      <w:r w:rsidRPr="00AE0B3D">
        <w:rPr>
          <w:rFonts w:cs="Times New Roman"/>
        </w:rPr>
        <w:t xml:space="preserve"> </w:t>
      </w:r>
      <w:r w:rsidR="00B633DA" w:rsidRPr="00AE0B3D">
        <w:rPr>
          <w:rFonts w:cs="Times New Roman"/>
        </w:rPr>
        <w:fldChar w:fldCharType="begin" w:fldLock="1"/>
      </w:r>
      <w:r w:rsidR="002D4A99" w:rsidRPr="00AE0B3D">
        <w:rPr>
          <w:rFonts w:cs="Times New Roman"/>
        </w:rPr>
        <w:instrText>ADDIN CSL_CITATION {"citationItems":[{"id":"ITEM-1","itemData":{"ISSN":"18173179","abstract":"The purpose of this study is to explore the influence of internal-service quality on organizational performance of international tourist hotels in Taiwan with employee's job satisfaction as the mediating variable. The target population in this study consists of employees of the rooms, catering and management departments at the existing 105 Taiwan-based international tourist hotels, selected using convenience sampling. The linear Structural Equation Modelling (SEM) was adopted to verify the goodness-of-fit effects among the overall model, structural model and measurement model. This study focuses on the path coefficients between \"implicit/latent variables\" (a.k.a. unobservable variables) of the structural model, with the Bayesian Estimation used to test the significance of the model's direct effect, mediating effect and total effect. Findings from this study include: (1) internal-service quality has a positive, significant and direct influence on organizational performance; and (2) internal-service quality has a significantly positive influence on an employee's job satisfaction, which in turn affects the organizational performance in a significant and positive manner. In summary, the employee's job satisfaction has a \"partially\" mediating effect. [PUBLICATION ABSTRACT]","author":[{"dropping-particle":"","family":"Wang","given":"Gao-Liang","non-dropping-particle":"","parse-names":false,"suffix":""}],"container-title":"Journal of Global Business Management","id":"ITEM-1","issue":"2","issued":{"date-parts":[["2011"]]},"page":"1-12","title":"A Study of How the Internal-Service Quality of International Tourist Hotels Affects Organizational Performance: Using Employees' Job Satisfaction as the Mediator","type":"article-journal","volume":"7"},"uris":["http://www.mendeley.com/documents/?uuid=50bc1281-af38-4484-a417-0b48afed0fff"]}],"mendeley":{"formattedCitation":"(Wang, 2011)","manualFormatting":"(2011)","plainTextFormattedCitation":"(Wang, 2011)","previouslyFormattedCitation":"(Wang, 2011)"},"properties":{"noteIndex":0},"schema":"https://github.com/citation-style-language/schema/raw/master/csl-citation.json"}</w:instrText>
      </w:r>
      <w:r w:rsidR="00B633DA" w:rsidRPr="00AE0B3D">
        <w:rPr>
          <w:rFonts w:cs="Times New Roman"/>
        </w:rPr>
        <w:fldChar w:fldCharType="separate"/>
      </w:r>
      <w:r w:rsidR="00B633DA" w:rsidRPr="00AE0B3D">
        <w:rPr>
          <w:rFonts w:cs="Times New Roman"/>
          <w:noProof/>
        </w:rPr>
        <w:t>(2011)</w:t>
      </w:r>
      <w:r w:rsidR="00B633DA" w:rsidRPr="00AE0B3D">
        <w:rPr>
          <w:rFonts w:cs="Times New Roman"/>
        </w:rPr>
        <w:fldChar w:fldCharType="end"/>
      </w:r>
      <w:r w:rsidRPr="00AE0B3D">
        <w:rPr>
          <w:rFonts w:cs="Times New Roman"/>
        </w:rPr>
        <w:t xml:space="preserve"> identified that remuneration increased employee job satisfaction which </w:t>
      </w:r>
      <w:r w:rsidRPr="00AE0B3D">
        <w:rPr>
          <w:rFonts w:cs="Times New Roman"/>
          <w:noProof/>
        </w:rPr>
        <w:t>enhance</w:t>
      </w:r>
      <w:r w:rsidR="0087121D" w:rsidRPr="00AE0B3D">
        <w:rPr>
          <w:rFonts w:cs="Times New Roman"/>
          <w:noProof/>
        </w:rPr>
        <w:t>s</w:t>
      </w:r>
      <w:r w:rsidRPr="00AE0B3D">
        <w:rPr>
          <w:rFonts w:cs="Times New Roman"/>
        </w:rPr>
        <w:t xml:space="preserve"> their performance and as well as </w:t>
      </w:r>
      <w:r w:rsidRPr="00AE0B3D">
        <w:rPr>
          <w:rFonts w:cs="Times New Roman"/>
          <w:noProof/>
        </w:rPr>
        <w:t>lower</w:t>
      </w:r>
      <w:r w:rsidRPr="00AE0B3D">
        <w:rPr>
          <w:rFonts w:cs="Times New Roman"/>
        </w:rPr>
        <w:t xml:space="preserve"> rate of turnover of the organization.</w:t>
      </w:r>
      <w:r w:rsidRPr="00AE0B3D">
        <w:rPr>
          <w:rFonts w:cs="Times New Roman"/>
          <w:noProof/>
        </w:rPr>
        <w:t xml:space="preserve"> </w:t>
      </w:r>
      <w:bookmarkStart w:id="52" w:name="_Hlk14883582"/>
      <w:r w:rsidRPr="00AE0B3D">
        <w:rPr>
          <w:rFonts w:cs="Times New Roman"/>
          <w:noProof/>
        </w:rPr>
        <w:t>Ton and Huckman</w:t>
      </w:r>
      <w:r w:rsidRPr="00AE0B3D">
        <w:rPr>
          <w:rFonts w:cs="Times New Roman"/>
        </w:rPr>
        <w:t xml:space="preserve"> </w:t>
      </w:r>
      <w:r w:rsidR="002D4A99" w:rsidRPr="00AE0B3D">
        <w:rPr>
          <w:rFonts w:cs="Times New Roman"/>
        </w:rPr>
        <w:fldChar w:fldCharType="begin" w:fldLock="1"/>
      </w:r>
      <w:r w:rsidR="001A77CF" w:rsidRPr="00AE0B3D">
        <w:rPr>
          <w:rFonts w:cs="Times New Roman"/>
        </w:rPr>
        <w:instrText>ADDIN CSL_CITATION {"citationItems":[{"id":"ITEM-1","itemData":{"DOI":"10.1287/orsc.1070.0294","ISBN":"1047-7039","ISSN":"1047-7039","PMID":"252985400004","abstract":"We examine the impact of employee turnover on operating performance in settings that require high levels of knowledge exploitation. Using 48 months of turnover data from U.S. stores of a major retail chain, we find that, on average, employee turnover is associated with decreased performance, as measured by profit margin and customer service. The effect of turnover on performance, however, is mitigated by the nature of management at the store level. The particular aspect of management on which we focus is process conformance—the extent to which managers aim to reduce variation in store operations in accordance with a set of prescribed standards for task performance. At high-process-conformance stores, managers use discipline in implementing standardized policies and procedures, whereas at low-process-conformance stores, managers tolerate deviations from these standards. We find that increasing turnover does not have a negative effect on store performance at high-process-conformance stores; at low-process-c...","author":[{"dropping-particle":"","family":"Ton","given":"Zeynep","non-dropping-particle":"","parse-names":false,"suffix":""},{"dropping-particle":"","family":"Huckman","given":"Robert S.","non-dropping-particle":"","parse-names":false,"suffix":""}],"container-title":"Organization Science","id":"ITEM-1","issue":"1","issued":{"date-parts":[["2008"]]},"page":"56-68","title":"Managing the Impact of Employee Turnover on Performance: The Role of Process Conformance","type":"article-journal","volume":"19"},"uris":["http://www.mendeley.com/documents/?uuid=a7873296-56bc-4774-ab32-249a1f5151ea"]}],"mendeley":{"formattedCitation":"(Ton &amp; Huckman, 2008)","manualFormatting":"(2008)","plainTextFormattedCitation":"(Ton &amp; Huckman, 2008)","previouslyFormattedCitation":"(Ton &amp; Huckman, 2008)"},"properties":{"noteIndex":0},"schema":"https://github.com/citation-style-language/schema/raw/master/csl-citation.json"}</w:instrText>
      </w:r>
      <w:r w:rsidR="002D4A99" w:rsidRPr="00AE0B3D">
        <w:rPr>
          <w:rFonts w:cs="Times New Roman"/>
        </w:rPr>
        <w:fldChar w:fldCharType="separate"/>
      </w:r>
      <w:r w:rsidR="002D4A99" w:rsidRPr="00AE0B3D">
        <w:rPr>
          <w:rFonts w:cs="Times New Roman"/>
          <w:noProof/>
        </w:rPr>
        <w:t>(2008)</w:t>
      </w:r>
      <w:r w:rsidR="002D4A99" w:rsidRPr="00AE0B3D">
        <w:rPr>
          <w:rFonts w:cs="Times New Roman"/>
        </w:rPr>
        <w:fldChar w:fldCharType="end"/>
      </w:r>
      <w:bookmarkEnd w:id="52"/>
      <w:r w:rsidR="002D4A99" w:rsidRPr="00AE0B3D">
        <w:rPr>
          <w:rFonts w:cs="Times New Roman"/>
        </w:rPr>
        <w:t xml:space="preserve"> </w:t>
      </w:r>
      <w:r w:rsidRPr="00AE0B3D">
        <w:rPr>
          <w:rFonts w:cs="Times New Roman"/>
        </w:rPr>
        <w:t>identified that turnover result t</w:t>
      </w:r>
      <w:r w:rsidR="00BC5D95" w:rsidRPr="00AE0B3D">
        <w:rPr>
          <w:rFonts w:cs="Times New Roman"/>
        </w:rPr>
        <w:t>o</w:t>
      </w:r>
      <w:r w:rsidRPr="00AE0B3D">
        <w:rPr>
          <w:rFonts w:cs="Times New Roman"/>
        </w:rPr>
        <w:t xml:space="preserve"> loss of experienced employees </w:t>
      </w:r>
      <w:r w:rsidRPr="00AE0B3D">
        <w:rPr>
          <w:rFonts w:cs="Times New Roman"/>
        </w:rPr>
        <w:lastRenderedPageBreak/>
        <w:t xml:space="preserve">which lowers </w:t>
      </w:r>
      <w:r w:rsidR="0087121D" w:rsidRPr="00AE0B3D">
        <w:rPr>
          <w:rFonts w:cs="Times New Roman"/>
        </w:rPr>
        <w:t xml:space="preserve">the </w:t>
      </w:r>
      <w:r w:rsidRPr="00AE0B3D">
        <w:rPr>
          <w:rFonts w:cs="Times New Roman"/>
          <w:noProof/>
        </w:rPr>
        <w:t>efficiency</w:t>
      </w:r>
      <w:r w:rsidRPr="00AE0B3D">
        <w:rPr>
          <w:rFonts w:cs="Times New Roman"/>
        </w:rPr>
        <w:t xml:space="preserve"> of the organization as well as performance. </w:t>
      </w:r>
      <w:r w:rsidR="00EC6462" w:rsidRPr="00AE0B3D">
        <w:rPr>
          <w:rFonts w:cs="Times New Roman"/>
        </w:rPr>
        <w:t>Turnover</w:t>
      </w:r>
      <w:r w:rsidR="00C66756" w:rsidRPr="00AE0B3D">
        <w:rPr>
          <w:rFonts w:cs="Times New Roman"/>
        </w:rPr>
        <w:t xml:space="preserve"> in</w:t>
      </w:r>
      <w:r w:rsidRPr="00AE0B3D">
        <w:rPr>
          <w:rFonts w:cs="Times New Roman"/>
        </w:rPr>
        <w:t xml:space="preserve"> the organization</w:t>
      </w:r>
      <w:r w:rsidR="00EC6462" w:rsidRPr="00AE0B3D">
        <w:rPr>
          <w:rFonts w:cs="Times New Roman"/>
        </w:rPr>
        <w:t xml:space="preserve"> results to</w:t>
      </w:r>
      <w:r w:rsidRPr="00AE0B3D">
        <w:rPr>
          <w:rFonts w:cs="Times New Roman"/>
        </w:rPr>
        <w:t xml:space="preserve"> productivity loss and incur loses through </w:t>
      </w:r>
      <w:r w:rsidRPr="00AE0B3D">
        <w:rPr>
          <w:rFonts w:cs="Times New Roman"/>
          <w:noProof/>
        </w:rPr>
        <w:t>cost</w:t>
      </w:r>
      <w:r w:rsidRPr="00AE0B3D">
        <w:rPr>
          <w:rFonts w:cs="Times New Roman"/>
        </w:rPr>
        <w:t xml:space="preserve"> of replacing the employees. Improving employee job satisfaction through motivation thus facilitate improved long-term overall employee performance as well as organization performance</w:t>
      </w:r>
      <w:r w:rsidR="00BD3D36" w:rsidRPr="00AE0B3D">
        <w:rPr>
          <w:rFonts w:cs="Times New Roman"/>
        </w:rPr>
        <w:t xml:space="preserve"> </w:t>
      </w:r>
      <w:r w:rsidR="00BD3D36" w:rsidRPr="00AE0B3D">
        <w:rPr>
          <w:rFonts w:cs="Times New Roman"/>
        </w:rPr>
        <w:fldChar w:fldCharType="begin" w:fldLock="1"/>
      </w:r>
      <w:r w:rsidR="009B5D5E" w:rsidRPr="00AE0B3D">
        <w:rPr>
          <w:rFonts w:cs="Times New Roman"/>
        </w:rPr>
        <w:instrText>ADDIN CSL_CITATION {"citationItems":[{"id":"ITEM-1","itemData":{"DOI":"10.1037/a0030723","ISBN":"0021-9010","ISSN":"00219010","PMID":"23244224","abstract":"The author of this article reviews the burgeoning literature on turnover rates and dimensions of organizational performance, and concludes that substantial evidence indicates that turnover rates have negative implications for several dimensions of organizational performance (e.g., safety, productivity, and monetary), that the content of turnover rates plays a role in the magnitude and form of the relationship between turnover rates and organizational performance, and that turnover rates affect distal measures (e.g., profitability, financial performance) through decreased productivity and losses in human and social capital. A roadmap is provided for future theory-building and empirical work in this area.","author":[{"dropping-particle":"","family":"Park","given":"Tae Youn","non-dropping-particle":"","parse-names":false,"suffix":""},{"dropping-particle":"","family":"Shaw","given":"Jason D.","non-dropping-particle":"","parse-names":false,"suffix":""}],"container-title":"Journal of Applied Psychology","id":"ITEM-1","issue":"2","issued":{"date-parts":[["2013"]]},"page":"268-309","title":"Turnover rates and organizational performance: A meta-analysis","type":"article-journal","volume":"98"},"uris":["http://www.mendeley.com/documents/?uuid=79fcf0d7-019a-46cf-acf9-0be2a036d88a"]}],"mendeley":{"formattedCitation":"(Park &amp; Shaw, 2013)","plainTextFormattedCitation":"(Park &amp; Shaw, 2013)","previouslyFormattedCitation":"(Park &amp; Shaw, 2013)"},"properties":{"noteIndex":0},"schema":"https://github.com/citation-style-language/schema/raw/master/csl-citation.json"}</w:instrText>
      </w:r>
      <w:r w:rsidR="00BD3D36" w:rsidRPr="00AE0B3D">
        <w:rPr>
          <w:rFonts w:cs="Times New Roman"/>
        </w:rPr>
        <w:fldChar w:fldCharType="separate"/>
      </w:r>
      <w:r w:rsidR="00BD3D36" w:rsidRPr="00AE0B3D">
        <w:rPr>
          <w:rFonts w:cs="Times New Roman"/>
          <w:noProof/>
        </w:rPr>
        <w:t>(Park &amp; Shaw, 2013)</w:t>
      </w:r>
      <w:r w:rsidR="00BD3D36" w:rsidRPr="00AE0B3D">
        <w:rPr>
          <w:rFonts w:cs="Times New Roman"/>
        </w:rPr>
        <w:fldChar w:fldCharType="end"/>
      </w:r>
      <w:r w:rsidRPr="00AE0B3D">
        <w:rPr>
          <w:rFonts w:cs="Times New Roman"/>
        </w:rPr>
        <w:t>.</w:t>
      </w:r>
      <w:r w:rsidR="00BD3D36" w:rsidRPr="00AE0B3D">
        <w:rPr>
          <w:rFonts w:cs="Times New Roman"/>
        </w:rPr>
        <w:t xml:space="preserve"> </w:t>
      </w:r>
      <w:r w:rsidR="00BD3D36" w:rsidRPr="00AE0B3D">
        <w:rPr>
          <w:rFonts w:cs="Times New Roman"/>
          <w:noProof/>
        </w:rPr>
        <w:t>Park and Shaw</w:t>
      </w:r>
      <w:r w:rsidRPr="00AE0B3D">
        <w:rPr>
          <w:rFonts w:cs="Times New Roman"/>
        </w:rPr>
        <w:t xml:space="preserve"> </w:t>
      </w:r>
      <w:r w:rsidR="001A77CF" w:rsidRPr="00AE0B3D">
        <w:rPr>
          <w:rFonts w:cs="Times New Roman"/>
        </w:rPr>
        <w:fldChar w:fldCharType="begin" w:fldLock="1"/>
      </w:r>
      <w:r w:rsidR="00BD3D36" w:rsidRPr="00AE0B3D">
        <w:rPr>
          <w:rFonts w:cs="Times New Roman"/>
        </w:rPr>
        <w:instrText>ADDIN CSL_CITATION {"citationItems":[{"id":"ITEM-1","itemData":{"DOI":"10.1037/a0030723","ISBN":"0021-9010","ISSN":"00219010","PMID":"23244224","abstract":"The author of this article reviews the burgeoning literature on turnover rates and dimensions of organizational performance, and concludes that substantial evidence indicates that turnover rates have negative implications for several dimensions of organizational performance (e.g., safety, productivity, and monetary), that the content of turnover rates plays a role in the magnitude and form of the relationship between turnover rates and organizational performance, and that turnover rates affect distal measures (e.g., profitability, financial performance) through decreased productivity and losses in human and social capital. A roadmap is provided for future theory-building and empirical work in this area.","author":[{"dropping-particle":"","family":"Park","given":"Tae Youn","non-dropping-particle":"","parse-names":false,"suffix":""},{"dropping-particle":"","family":"Shaw","given":"Jason D.","non-dropping-particle":"","parse-names":false,"suffix":""}],"container-title":"Journal of Applied Psychology","id":"ITEM-1","issue":"2","issued":{"date-parts":[["2013"]]},"page":"268-309","title":"Turnover rates and organizational performance: A meta-analysis","type":"article-journal","volume":"98"},"uris":["http://www.mendeley.com/documents/?uuid=79fcf0d7-019a-46cf-acf9-0be2a036d88a"]}],"mendeley":{"formattedCitation":"(Park &amp; Shaw, 2013)","manualFormatting":"(2013)","plainTextFormattedCitation":"(Park &amp; Shaw, 2013)","previouslyFormattedCitation":"(Park &amp; Shaw, 2013)"},"properties":{"noteIndex":0},"schema":"https://github.com/citation-style-language/schema/raw/master/csl-citation.json"}</w:instrText>
      </w:r>
      <w:r w:rsidR="001A77CF" w:rsidRPr="00AE0B3D">
        <w:rPr>
          <w:rFonts w:cs="Times New Roman"/>
        </w:rPr>
        <w:fldChar w:fldCharType="separate"/>
      </w:r>
      <w:r w:rsidR="001A77CF" w:rsidRPr="00AE0B3D">
        <w:rPr>
          <w:rFonts w:cs="Times New Roman"/>
          <w:noProof/>
        </w:rPr>
        <w:t>(2013)</w:t>
      </w:r>
      <w:r w:rsidR="001A77CF" w:rsidRPr="00AE0B3D">
        <w:rPr>
          <w:rFonts w:cs="Times New Roman"/>
        </w:rPr>
        <w:fldChar w:fldCharType="end"/>
      </w:r>
      <w:r w:rsidR="00BD3D36" w:rsidRPr="00AE0B3D">
        <w:rPr>
          <w:rFonts w:cs="Times New Roman"/>
        </w:rPr>
        <w:t xml:space="preserve"> utilised </w:t>
      </w:r>
      <w:r w:rsidR="005E15B3" w:rsidRPr="00AE0B3D">
        <w:rPr>
          <w:rFonts w:cs="Times New Roman"/>
        </w:rPr>
        <w:t xml:space="preserve">evaluation of  </w:t>
      </w:r>
      <w:r w:rsidR="003D225C" w:rsidRPr="00AE0B3D">
        <w:rPr>
          <w:rFonts w:cs="Times New Roman"/>
        </w:rPr>
        <w:t xml:space="preserve">literature on turn over </w:t>
      </w:r>
      <w:r w:rsidR="00151525" w:rsidRPr="00AE0B3D">
        <w:rPr>
          <w:rFonts w:cs="Times New Roman"/>
        </w:rPr>
        <w:t>issues that affect employees and its impact of the financial performance. There was a correlation between organisation rate of turnover and the financial performance</w:t>
      </w:r>
      <w:r w:rsidR="005D23FA" w:rsidRPr="00AE0B3D">
        <w:rPr>
          <w:rFonts w:cs="Times New Roman"/>
        </w:rPr>
        <w:t xml:space="preserve">. The increased rate of turnover was associated with reduced motivation from the remuneration strategy that organisation utilised. </w:t>
      </w:r>
    </w:p>
    <w:p w14:paraId="5ED91ACA" w14:textId="33C3E521" w:rsidR="0032680D" w:rsidRPr="00AE0B3D" w:rsidRDefault="00256268" w:rsidP="008F069F">
      <w:pPr>
        <w:rPr>
          <w:lang w:val="en-US"/>
        </w:rPr>
      </w:pPr>
      <w:r w:rsidRPr="00AE0B3D">
        <w:t xml:space="preserve">The relationship between remuneration and employee performance can have an indirect relationship with the overall organization performance. According to </w:t>
      </w:r>
      <w:bookmarkStart w:id="53" w:name="_Hlk14883679"/>
      <w:r w:rsidRPr="00AE0B3D">
        <w:t xml:space="preserve">Chi and </w:t>
      </w:r>
      <w:proofErr w:type="spellStart"/>
      <w:r w:rsidRPr="00AE0B3D">
        <w:t>Gursoy</w:t>
      </w:r>
      <w:proofErr w:type="spellEnd"/>
      <w:r w:rsidR="009B742B" w:rsidRPr="00AE0B3D">
        <w:t xml:space="preserve"> </w:t>
      </w:r>
      <w:sdt>
        <w:sdtPr>
          <w:id w:val="-647520938"/>
          <w:citation/>
        </w:sdtPr>
        <w:sdtEndPr/>
        <w:sdtContent>
          <w:r w:rsidR="00587420" w:rsidRPr="00AE0B3D">
            <w:fldChar w:fldCharType="begin"/>
          </w:r>
          <w:r w:rsidRPr="00AE0B3D">
            <w:instrText xml:space="preserve">CITATION Chi09 \n  \t  \l 1033 </w:instrText>
          </w:r>
          <w:r w:rsidR="00587420" w:rsidRPr="00AE0B3D">
            <w:fldChar w:fldCharType="separate"/>
          </w:r>
          <w:r w:rsidR="0054398B" w:rsidRPr="00AE0B3D">
            <w:rPr>
              <w:noProof/>
            </w:rPr>
            <w:t>(2009)</w:t>
          </w:r>
          <w:r w:rsidR="00587420" w:rsidRPr="00AE0B3D">
            <w:fldChar w:fldCharType="end"/>
          </w:r>
        </w:sdtContent>
      </w:sdt>
      <w:r w:rsidR="00EF5AEB" w:rsidRPr="00AE0B3D">
        <w:t>, employee</w:t>
      </w:r>
      <w:r w:rsidRPr="00AE0B3D">
        <w:t xml:space="preserve"> satisfaction influences the overall financial performance through increasing customer satisfaction.</w:t>
      </w:r>
      <w:r w:rsidR="004A5848" w:rsidRPr="00AE0B3D">
        <w:t xml:space="preserve"> </w:t>
      </w:r>
      <w:bookmarkEnd w:id="53"/>
      <w:r w:rsidR="004A5848" w:rsidRPr="00AE0B3D">
        <w:t>T</w:t>
      </w:r>
      <w:r w:rsidRPr="00AE0B3D">
        <w:t xml:space="preserve">here is </w:t>
      </w:r>
      <w:r w:rsidR="00596569" w:rsidRPr="00AE0B3D">
        <w:t xml:space="preserve">a </w:t>
      </w:r>
      <w:r w:rsidRPr="00AE0B3D">
        <w:rPr>
          <w:noProof/>
        </w:rPr>
        <w:t>positive</w:t>
      </w:r>
      <w:r w:rsidRPr="00AE0B3D">
        <w:t xml:space="preserve"> relationship between non-financial </w:t>
      </w:r>
      <w:r w:rsidR="003216E0" w:rsidRPr="00AE0B3D">
        <w:t>remuneration</w:t>
      </w:r>
      <w:r w:rsidRPr="00AE0B3D">
        <w:t xml:space="preserve"> and financial performance. This points to the importance of all the activities that the employees are involved in on the overall financial performance of the organization</w:t>
      </w:r>
      <w:r w:rsidR="00D17209" w:rsidRPr="00AE0B3D">
        <w:t xml:space="preserve"> </w:t>
      </w:r>
      <w:r w:rsidR="00C64AF4" w:rsidRPr="00AE0B3D">
        <w:fldChar w:fldCharType="begin" w:fldLock="1"/>
      </w:r>
      <w:r w:rsidR="00FF090E" w:rsidRPr="00AE0B3D">
        <w:instrText>ADDIN CSL_CITATION {"citationItems":[{"id":"ITEM-1","itemData":{"DOI":"10.1111/j.1467-6486.2011.01018.x","ISSN":"00222380","abstract":"This study empirically investigated culture's consequences on employee perceptions of the performance implications of financial and non‐financial rewards. Using a sample (n = 568) drawn from the banking industry in Finland and Hong Kong, we found that although the effects and predictive capability of culture (i.e. masculinity–femininity, individualism–collectivism, uncertainty avoidance, and power distance) offered some important insights, a range of other contextual factors (i.e. organizational, institutional, economic) wielded influence over and shaped reward–performance values, preferences, and behaviours. The emergence of these new paradigms necessitates that the US centric economic and behavioural theories (e.g. exchange) that underpin reward–performance be revisited and extended if they are to be applicable in the international context. Understanding the influence of a range of contextual forces is therefore critical to multinational organizations attempting to implement effective reward strategies aimed at achieving a diverse set of performance priorities. In addition to these novel theoretical and practical contributions, this study also paves the way for future research in this promising area of management studies.","author":[{"dropping-particle":"","family":"Chiang","given":"Flora F.T.","non-dropping-particle":"","parse-names":false,"suffix":""},{"dropping-particle":"","family":"Birtch","given":"Thomas A.","non-dropping-particle":"","parse-names":false,"suffix":""}],"container-title":"Journal of Management Studies","id":"ITEM-1","issue":"3","issued":{"date-parts":[["2012"]]},"page":"538-570","title":"The Performance Implications of Financial and Non-Financial Rewards: An Asian Nordic Comparison","type":"article-journal","volume":"49"},"uris":["http://www.mendeley.com/documents/?uuid=a30f643e-7c61-4864-9461-c3ac02820980"]}],"mendeley":{"formattedCitation":"(Chiang &amp; Birtch, 2012)","plainTextFormattedCitation":"(Chiang &amp; Birtch, 2012)","previouslyFormattedCitation":"(Chiang &amp; Birtch, 2012)"},"properties":{"noteIndex":0},"schema":"https://github.com/citation-style-language/schema/raw/master/csl-citation.json"}</w:instrText>
      </w:r>
      <w:r w:rsidR="00C64AF4" w:rsidRPr="00AE0B3D">
        <w:fldChar w:fldCharType="separate"/>
      </w:r>
      <w:r w:rsidR="00C64AF4" w:rsidRPr="00AE0B3D">
        <w:rPr>
          <w:noProof/>
        </w:rPr>
        <w:t>(Chiang &amp; Birtch, 2012)</w:t>
      </w:r>
      <w:r w:rsidR="00C64AF4" w:rsidRPr="00AE0B3D">
        <w:fldChar w:fldCharType="end"/>
      </w:r>
      <w:r w:rsidRPr="00AE0B3D">
        <w:t>.</w:t>
      </w:r>
      <w:r w:rsidRPr="00AE0B3D">
        <w:rPr>
          <w:noProof/>
        </w:rPr>
        <w:t xml:space="preserve"> </w:t>
      </w:r>
      <w:r w:rsidR="008F069F" w:rsidRPr="00AE0B3D">
        <w:rPr>
          <w:noProof/>
        </w:rPr>
        <w:t>H</w:t>
      </w:r>
      <w:proofErr w:type="spellStart"/>
      <w:r w:rsidR="008F069F" w:rsidRPr="00AE0B3D">
        <w:t>igh</w:t>
      </w:r>
      <w:proofErr w:type="spellEnd"/>
      <w:r w:rsidRPr="00AE0B3D">
        <w:t xml:space="preserve"> cash incentive in the different organization level resulted </w:t>
      </w:r>
      <w:r w:rsidR="0087121D" w:rsidRPr="00AE0B3D">
        <w:rPr>
          <w:noProof/>
        </w:rPr>
        <w:t>in</w:t>
      </w:r>
      <w:r w:rsidRPr="00AE0B3D">
        <w:t xml:space="preserve"> high sales growth as well as enhanced acquiring and retaining high quality personnel in the organization. The use of diverse incentive compensation was also identified to result </w:t>
      </w:r>
      <w:r w:rsidR="0087121D" w:rsidRPr="00AE0B3D">
        <w:rPr>
          <w:noProof/>
        </w:rPr>
        <w:t>in</w:t>
      </w:r>
      <w:r w:rsidRPr="00AE0B3D">
        <w:t xml:space="preserve"> high organization performance. The compensation system was </w:t>
      </w:r>
      <w:r w:rsidRPr="00AE0B3D">
        <w:rPr>
          <w:noProof/>
        </w:rPr>
        <w:t>identified</w:t>
      </w:r>
      <w:r w:rsidRPr="00AE0B3D">
        <w:t xml:space="preserve"> as the differentiating factor between the high performing and low performing firms that are privately owned</w:t>
      </w:r>
      <w:r w:rsidR="001354AA" w:rsidRPr="00AE0B3D">
        <w:t xml:space="preserve"> </w:t>
      </w:r>
      <w:r w:rsidR="009B742B" w:rsidRPr="00AE0B3D">
        <w:fldChar w:fldCharType="begin" w:fldLock="1"/>
      </w:r>
      <w:r w:rsidR="00C64AF4" w:rsidRPr="00AE0B3D">
        <w:instrText>ADDIN CSL_CITATION {"citationItems":[{"id":"ITEM-1","itemData":{"DOI":"10.1016/j.iref.2012.09.004","ISSN":"1059-0560","author":[{"dropping-particle":"","family":"Xu","given":"Pisun Tracy","non-dropping-particle":"","parse-names":false,"suffix":""}],"container-title":"International Review of Economics and Finance","id":"ITEM-1","issued":{"date-parts":[["2013"]]},"page":"80-96","publisher":"Elsevier Inc.","title":"Managerial incentives and a fi rm ' s cash fl ow sensitivities","type":"article-journal","volume":"27"},"uris":["http://www.mendeley.com/documents/?uuid=cdc44dfe-bb54-4413-9d64-efc354898b97"]}],"mendeley":{"formattedCitation":"(Xu, 2013)","plainTextFormattedCitation":"(Xu, 2013)","previouslyFormattedCitation":"(Xu, 2013)"},"properties":{"noteIndex":0},"schema":"https://github.com/citation-style-language/schema/raw/master/csl-citation.json"}</w:instrText>
      </w:r>
      <w:r w:rsidR="009B742B" w:rsidRPr="00AE0B3D">
        <w:fldChar w:fldCharType="separate"/>
      </w:r>
      <w:r w:rsidR="009B742B" w:rsidRPr="00AE0B3D">
        <w:rPr>
          <w:noProof/>
        </w:rPr>
        <w:t>(Xu, 2013)</w:t>
      </w:r>
      <w:r w:rsidR="009B742B" w:rsidRPr="00AE0B3D">
        <w:fldChar w:fldCharType="end"/>
      </w:r>
      <w:r w:rsidRPr="00AE0B3D">
        <w:t xml:space="preserve">. </w:t>
      </w:r>
      <w:r w:rsidR="0032680D" w:rsidRPr="00AE0B3D">
        <w:rPr>
          <w:noProof/>
          <w:lang w:val="en-US"/>
        </w:rPr>
        <w:t>Quresh et al.</w:t>
      </w:r>
      <w:r w:rsidR="0032680D" w:rsidRPr="00AE0B3D">
        <w:rPr>
          <w:lang w:val="en-US"/>
        </w:rPr>
        <w:t xml:space="preserve"> </w:t>
      </w:r>
      <w:r w:rsidR="0032680D" w:rsidRPr="00AE0B3D">
        <w:rPr>
          <w:lang w:val="en-US"/>
        </w:rPr>
        <w:fldChar w:fldCharType="begin" w:fldLock="1"/>
      </w:r>
      <w:r w:rsidR="00955099">
        <w:rPr>
          <w:lang w:val="en-US"/>
        </w:rPr>
        <w:instrText>ADDIN CSL_CITATION {"citationItems":[{"id":"ITEM-1","itemData":{"ISSN":"1993-8233","abstract":"Human resource management (HRM) practices are being increasingly\\nconsidered as major contributory factors in financial performance of\\norganizations. This research study effectively highlights the importance\\nof HRM practices with impact on financial performance of banks (FPB)\\noperating in Pakistan. The major objective of the study is to find out\\nthe relationship between `HRM Practices' and the `Financial Performance\\nof Banks'. As a sample, 46 scheduled banks were contacted, of which 38\\nresponded. The HRM practices selected for the research study were\\nselection, training, performance appraisal system, compensation system\\nand employee participation. Empirical evidence was calculated through\\nstepwise regression analysis, Pearson correlation and descriptive\\nstatistics to support theoretical models that link HRM practices with\\nfinancial performance of banks. The study concluded that all tested\\nvariables have a positive relation and impact on financial performance\\nof banks but the major contributory practices are selection, training,\\ncompensation and employee participation.","author":[{"dropping-particle":"","family":"Quresh","given":"Tahir Masood","non-dropping-particle":"","parse-names":false,"suffix":""},{"dropping-particle":"","family":"Akbar","given":"Ayisha","non-dropping-particle":"","parse-names":false,"suffix":""},{"dropping-particle":"","family":"Khan","given":"Mohammad Aslam","non-dropping-particle":"","parse-names":false,"suffix":""},{"dropping-particle":"","family":"Sheikh","given":"Rauf A","non-dropping-particle":"","parse-names":false,"suffix":""},{"dropping-particle":"","family":"Hijazi","given":"Syed Tahir","non-dropping-particle":"","parse-names":false,"suffix":""}],"container-title":"African Journal of Business Management","id":"ITEM-1","issue":"7","issued":{"date-parts":[["2010"]]},"page":"1281-1288","title":"Do human resource management practices have an impact on financial performance of banks?","type":"article-journal","volume":"4"},"uris":["http://www.mendeley.com/documents/?uuid=82769a07-3b25-4c39-9c97-ebf30570086e"]}],"mendeley":{"formattedCitation":"(Quresh et al., 2010)","manualFormatting":"( 2010)","plainTextFormattedCitation":"(Quresh et al., 2010)","previouslyFormattedCitation":"(Quresh et al., 2010)"},"properties":{"noteIndex":0},"schema":"https://github.com/citation-style-language/schema/raw/master/csl-citation.json"}</w:instrText>
      </w:r>
      <w:r w:rsidR="0032680D" w:rsidRPr="00AE0B3D">
        <w:rPr>
          <w:lang w:val="en-US"/>
        </w:rPr>
        <w:fldChar w:fldCharType="separate"/>
      </w:r>
      <w:r w:rsidR="0032680D" w:rsidRPr="00AE0B3D">
        <w:rPr>
          <w:noProof/>
          <w:lang w:val="en-US"/>
        </w:rPr>
        <w:t>( 2010)</w:t>
      </w:r>
      <w:r w:rsidR="0032680D" w:rsidRPr="00AE0B3D">
        <w:rPr>
          <w:lang w:val="en-US"/>
        </w:rPr>
        <w:fldChar w:fldCharType="end"/>
      </w:r>
      <w:r w:rsidR="0032680D" w:rsidRPr="00AE0B3D">
        <w:rPr>
          <w:lang w:val="en-US"/>
        </w:rPr>
        <w:t xml:space="preserve"> evaluated the relationship between human resources practices and the financial performance of the banks of Pakistan. Positive </w:t>
      </w:r>
      <w:r w:rsidR="0032680D" w:rsidRPr="00AE0B3D">
        <w:rPr>
          <w:lang w:val="en-US"/>
        </w:rPr>
        <w:lastRenderedPageBreak/>
        <w:t xml:space="preserve">relationships were identified between the human resource activities and financial performance. </w:t>
      </w:r>
    </w:p>
    <w:p w14:paraId="4313F7AF" w14:textId="17074039" w:rsidR="00256268" w:rsidRPr="00AE0B3D" w:rsidRDefault="00256268" w:rsidP="00256268">
      <w:pPr>
        <w:rPr>
          <w:rFonts w:cs="Times New Roman"/>
        </w:rPr>
      </w:pPr>
      <w:r w:rsidRPr="00AE0B3D">
        <w:rPr>
          <w:rFonts w:cs="Times New Roman"/>
        </w:rPr>
        <w:t>Even so, there are some research studies that contradict the positive relationship between remuneration and employee performance</w:t>
      </w:r>
      <w:r w:rsidR="007C3D18" w:rsidRPr="00AE0B3D">
        <w:rPr>
          <w:rFonts w:cs="Times New Roman"/>
        </w:rPr>
        <w:t xml:space="preserve"> </w:t>
      </w:r>
      <w:r w:rsidR="007C3D18" w:rsidRPr="00AE0B3D">
        <w:rPr>
          <w:rFonts w:cs="Times New Roman"/>
          <w:noProof/>
        </w:rPr>
        <w:fldChar w:fldCharType="begin" w:fldLock="1"/>
      </w:r>
      <w:r w:rsidR="007C3D18" w:rsidRPr="00AE0B3D">
        <w:rPr>
          <w:rFonts w:cs="Times New Roman"/>
          <w:noProof/>
        </w:rPr>
        <w:instrText>ADDIN CSL_CITATION {"citationItems":[{"id":"ITEM-1","itemData":{"author":[{"dropping-particle":"","family":"Lindström","given":"Anna","non-dropping-particle":"","parse-names":false,"suffix":""},{"dropping-particle":"","family":"Svensson","given":"Johanna","non-dropping-particle":"","parse-names":false,"suffix":""}],"id":"ITEM-1","issued":{"date-parts":[["2016"]]},"title":"Top management compensation and firm performance - A matter of context ?","type":"article-journal"},"uris":["http://www.mendeley.com/documents/?uuid=9705f8f7-84e6-4bbc-bead-b13e296f34fb"]},{"id":"ITEM-2","itemData":{"DOI":"10.4102/sajhrm.v13i1.668","ISSN":"1683-7584","abstract":"Orientation: The relationship between Chief Executive Officer (CEO) remuneration and organisation performance has been a topic of close scrutiny, especially since the global financial crisis. Optimal contracting relies on the premise that effective incentives will link organisation financial performance and CEO remuneration in ways that will be in the best interests of both shareholders and CEOs.Research purpose: The purpose of this research study was to investigate the relationship between CEO remuneration and organisation performance in South Africa between 2006 and 2012 and to determine whether the two constructs were positively correlated.Motivation for the study: The study provides an evidenced-based understanding of the nature of the CEO pay-performance relationship in South Africa. Understanding this relationship is critical to finding a suitable model to structure executive remuneration that will protect shareholders from over-remunerating executives in times of economic appreciation, whilst protecting executives from being underpaid in times of economic depreciation.Method: The financial results and CEO remuneration of 21 of the top 40 listed companies on the Johannesburg Stock Exchange were analysed for the period 2006–2012. The research was a quantitative, archival study. The primary statistical techniques used in the study were correlation analysis and multiple regression analysis.Main findings: The primary finding of the current research indicates that between 2006 and 2012 organisation executives have noticeably been moving away from focusing on short-termincentives, which are categorised as performance-related elements of remuneration packages.Based on these findings, it is evident that the relationship between executive remuneration and organisational financial performance has been experiencing a decline, especially since the 2008 global financial crisis. The decline has predominantly been due to a move away from performance-related elements of remuneration contracts by CEOs, creating a disconnect between CEO remuneration and organisational performance. The findings suggest that, to a large extent, remuneration contracts for CEOs are no longer optimal for the organisation and its shareholders, but are influenced by the propensity of executives to enhance their own remuneration. There exists a link between short-term incentives received by CEOs and accounting-based organisational performance measures; on the other hand, fixed pay linked w…","author":[{"dropping-particle":"","family":"Bussin","given":"Mark","non-dropping-particle":"","parse-names":false,"suffix":""},{"dropping-particle":"","family":"Modau","given":"Minute F.","non-dropping-particle":"","parse-names":false,"suffix":""}],"container-title":"SA Journal of Human Resource Management","id":"ITEM-2","issue":"1","issued":{"date-parts":[["2015"]]},"page":"1-18","title":"The relationship between Chief Executive Officer remuneration and financial performance in South Africa between 2006 and 2012","type":"article-journal","volume":"13"},"uris":["http://www.mendeley.com/documents/?uuid=6ebf2310-43ae-464d-ae17-f340a102ef4d"]},{"id":"ITEM-3","itemData":{"DOI":"10.4102/sajems.v21i1.2004","ISSN":"1015-8812","abstract":"Background: The executive directors of a company are the agents of the shareholders and should manage the company in the best interest of the shareholders, not only for personal gain. It is therefore important for companies to ensure that they implement remuneration policies which will result in motivated employees who will execute decisions and actions which are in the best interest of the shareholders. However, it is widely acknowledged that the relationship between company performance and executive remuneration is weak. This implies that executives are still rewarded excessive remuneration regardless of the performance of their companies. Aim: The purpose of this study was to determine whether a relationship exists between the performance-based remuneration of executive directors and the financial performance of South African companies. Setting: The study was conducted in South Africa, specifically on companies listed on the Johannesburg Stock Exchange. Methods: The study design was quantitative and made use of a Pearson correlation and generalised least squares regression with bootstrapping at a 95% confidence interval to analyse the relationship between executive director remuneration and the financial performance of 42 companies in the consumer goods and services industry of the Johannesburg Stock Exchange (JSE) from 2006 to 2015. Results: The study established that the remuneration policies in place for South African executive directors within the consumer goods and services industry seem to be affected by the share price of the company. Conclusion: In the South African environment, executive director remuneration is thus not directly related to profitability or company size, as was the case in some earlier studies. The link between executive director remuneration and share performance may be an indication that remuneration policies are based on the share price and are thus directly connected to the principle of shareholder wealth maximisation.","author":[{"dropping-particle":"","family":"Kirsten","given":"Elize","non-dropping-particle":"","parse-names":false,"suffix":""},{"dropping-particle":"","family":"Toit","given":"Elda","non-dropping-particle":"Du","parse-names":false,"suffix":""}],"container-title":"South African Journal of Economic and Management Sciences","id":"ITEM-3","issue":"1","issued":{"date-parts":[["2018"]]},"page":"1-10","title":"The relationship between remuneration and financial performance for companies listed on the Johannesburg Stock Exchange","type":"article-journal","volume":"21"},"uris":["http://www.mendeley.com/documents/?uuid=4f06aaf2-3fcf-4983-9226-a311f918e73c"]}],"mendeley":{"formattedCitation":"(Bussin &amp; Modau, 2015; Kirsten &amp; Du Toit, 2018; Lindström &amp; Svensson, 2016)","plainTextFormattedCitation":"(Bussin &amp; Modau, 2015; Kirsten &amp; Du Toit, 2018; Lindström &amp; Svensson, 2016)","previouslyFormattedCitation":"(Bussin &amp; Modau, 2015; Kirsten &amp; Du Toit, 2018; Lindström &amp; Svensson, 2016)"},"properties":{"noteIndex":0},"schema":"https://github.com/citation-style-language/schema/raw/master/csl-citation.json"}</w:instrText>
      </w:r>
      <w:r w:rsidR="007C3D18" w:rsidRPr="00AE0B3D">
        <w:rPr>
          <w:rFonts w:cs="Times New Roman"/>
          <w:noProof/>
        </w:rPr>
        <w:fldChar w:fldCharType="separate"/>
      </w:r>
      <w:r w:rsidR="007C3D18" w:rsidRPr="00AE0B3D">
        <w:rPr>
          <w:rFonts w:cs="Times New Roman"/>
          <w:noProof/>
        </w:rPr>
        <w:t>(Bussin &amp; Modau, 2015; Kirsten &amp; Du Toit, 2018; Lindström &amp; Svensson, 2016)</w:t>
      </w:r>
      <w:r w:rsidR="007C3D18" w:rsidRPr="00AE0B3D">
        <w:rPr>
          <w:rFonts w:cs="Times New Roman"/>
          <w:noProof/>
        </w:rPr>
        <w:fldChar w:fldCharType="end"/>
      </w:r>
      <w:r w:rsidRPr="00AE0B3D">
        <w:rPr>
          <w:rFonts w:cs="Times New Roman"/>
        </w:rPr>
        <w:t xml:space="preserve">. </w:t>
      </w:r>
      <w:r w:rsidRPr="00AE0B3D">
        <w:rPr>
          <w:rFonts w:cs="Times New Roman"/>
          <w:noProof/>
        </w:rPr>
        <w:t>Njanja et al.</w:t>
      </w:r>
      <w:r w:rsidRPr="00AE0B3D">
        <w:rPr>
          <w:rFonts w:cs="Times New Roman"/>
        </w:rPr>
        <w:t xml:space="preserve"> </w:t>
      </w:r>
      <w:r w:rsidR="001354AA" w:rsidRPr="00AE0B3D">
        <w:rPr>
          <w:rFonts w:cs="Times New Roman"/>
          <w:noProof/>
        </w:rPr>
        <w:t>(2013)</w:t>
      </w:r>
      <w:r w:rsidRPr="00AE0B3D">
        <w:rPr>
          <w:rFonts w:cs="Times New Roman"/>
        </w:rPr>
        <w:t xml:space="preserve"> through evaluating the relationship between reward on employee performance of Kenya Power and Lighting Company found that there is no relationship between employee performance and cash bonuses. The research utilized a questionnaire survey of the company employees</w:t>
      </w:r>
      <w:r w:rsidRPr="00AE0B3D">
        <w:rPr>
          <w:rFonts w:cs="Times New Roman"/>
          <w:noProof/>
        </w:rPr>
        <w:t xml:space="preserve"> </w:t>
      </w:r>
      <w:r w:rsidR="001354AA" w:rsidRPr="00AE0B3D">
        <w:rPr>
          <w:rFonts w:cs="Times New Roman"/>
          <w:noProof/>
        </w:rPr>
        <w:fldChar w:fldCharType="begin" w:fldLock="1"/>
      </w:r>
      <w:r w:rsidR="00955099">
        <w:rPr>
          <w:rFonts w:cs="Times New Roman"/>
          <w:noProof/>
        </w:rPr>
        <w:instrText>ADDIN CSL_CITATION {"citationItems":[{"id":"ITEM-1","itemData":{"DOI":"10.5539/ijbm.v8n21p41","ISSN":"1833-8119","abstract":"Today's organizations are operating in a very dynamic and highly competitive environment. To remain relevant in the market, they have to be able to respond quickly to ever changing customer demands. Reward management is one of the ways used by organizations for attracting and retaining suitable employees as well as facilitating them to improve their performance. KPLC is an organization that offers essential energy services that support other sectors of the economy. The management has established rewards in their organization in pursuit of increasing employee performance so as to ensure prompt and quality service. However, the extent to which the rewards adopted at KPLC have influenced employee performance is not established. This study therefore aimed at determining the effect of reward on employee performance at KPLC. Specifically the study sought to determine the effect of cash bonus on employee performance. The research adopted correlation research design. 68 management employees responded. Data was collected using questionnaires. Descriptive statistics (frequency tables, percentages) were used to present data. Inferential statistics (chi-square) was used to analyze the relationship between cash bonuses and employee performance. Data was analyzed with the help of the Statistical Package for Social Sciences (SPSS) computer programme. The findingsof the study showed that cash bonus have no effect on employee performance (p=0.8). This is because those who received cash bonuses and those who did not all agree that the cash bonus affects their performance the same. The organization should focus on changing the intrinsic nature and content of jobs. This will increase employee motivation as employees will get more autonomy more challenging job assignments and responsibilities. Further research can be done to find out impact of other rewards on performance e.g. owning equity. Research can also be done to identify other factors which may affect performance. Such findings can enhance management of performance.","author":[{"dropping-particle":"","family":"Njanja","given":"Lilly W","non-dropping-particle":"","parse-names":false,"suffix":""},{"dropping-particle":"","family":"Maina","given":"R. N.","non-dropping-particle":"","parse-names":false,"suffix":""},{"dropping-particle":"","family":"Kibet","given":"L. K.","non-dropping-particle":"","parse-names":false,"suffix":""},{"dropping-particle":"","family":"Njagi","given":"Kageni","non-dropping-particle":"","parse-names":false,"suffix":""}],"container-title":"International Journal of Business and Management","id":"ITEM-1","issue":"21","issued":{"date-parts":[["2013"]]},"page":"41-49","title":"Effect of Reward on Employee Performance: A Case of Kenya Power and Lighting Company Ltd., Nakuru, Kenya","type":"article-journal","volume":"8"},"uris":["http://www.mendeley.com/documents/?uuid=46c56efc-316d-457b-8744-76ea543409e6"]}],"mendeley":{"formattedCitation":"(Njanja et al., 2013)","manualFormatting":"(Njanja et al., 2013)","plainTextFormattedCitation":"(Njanja et al., 2013)","previouslyFormattedCitation":"(Njanja et al., 2013)"},"properties":{"noteIndex":0},"schema":"https://github.com/citation-style-language/schema/raw/master/csl-citation.json"}</w:instrText>
      </w:r>
      <w:r w:rsidR="001354AA" w:rsidRPr="00AE0B3D">
        <w:rPr>
          <w:rFonts w:cs="Times New Roman"/>
          <w:noProof/>
        </w:rPr>
        <w:fldChar w:fldCharType="separate"/>
      </w:r>
      <w:r w:rsidR="00EF5AEB">
        <w:rPr>
          <w:rFonts w:cs="Times New Roman"/>
          <w:noProof/>
        </w:rPr>
        <w:t xml:space="preserve">(Njanja </w:t>
      </w:r>
      <w:r w:rsidR="00EF5AEB" w:rsidRPr="006B3E1F">
        <w:rPr>
          <w:rFonts w:cs="Times New Roman"/>
          <w:noProof/>
        </w:rPr>
        <w:t>et al.</w:t>
      </w:r>
      <w:r w:rsidR="00375960" w:rsidRPr="00AE0B3D">
        <w:rPr>
          <w:rFonts w:cs="Times New Roman"/>
          <w:noProof/>
        </w:rPr>
        <w:t>, 2013)</w:t>
      </w:r>
      <w:r w:rsidR="001354AA" w:rsidRPr="00AE0B3D">
        <w:rPr>
          <w:rFonts w:cs="Times New Roman"/>
          <w:noProof/>
        </w:rPr>
        <w:fldChar w:fldCharType="end"/>
      </w:r>
      <w:r w:rsidRPr="00AE0B3D">
        <w:rPr>
          <w:rFonts w:cs="Times New Roman"/>
        </w:rPr>
        <w:t xml:space="preserve">. </w:t>
      </w:r>
    </w:p>
    <w:p w14:paraId="7011BA8E" w14:textId="1607B5DE" w:rsidR="00AE139E" w:rsidRPr="00AE0B3D" w:rsidRDefault="006645E9" w:rsidP="005E7658">
      <w:pPr>
        <w:pStyle w:val="Heading2"/>
        <w:rPr>
          <w:rFonts w:cs="Times New Roman"/>
        </w:rPr>
      </w:pPr>
      <w:bookmarkStart w:id="54" w:name="_Toc78067516"/>
      <w:r w:rsidRPr="00AE0B3D">
        <w:rPr>
          <w:rFonts w:cs="Times New Roman"/>
        </w:rPr>
        <w:t>Employee’s</w:t>
      </w:r>
      <w:r w:rsidR="00603E39" w:rsidRPr="00AE0B3D">
        <w:rPr>
          <w:rFonts w:cs="Times New Roman"/>
        </w:rPr>
        <w:t xml:space="preserve"> remuneration</w:t>
      </w:r>
      <w:r w:rsidR="00AE139E" w:rsidRPr="00AE0B3D">
        <w:rPr>
          <w:rFonts w:cs="Times New Roman"/>
        </w:rPr>
        <w:t xml:space="preserve"> and </w:t>
      </w:r>
      <w:r w:rsidR="0036439E" w:rsidRPr="00AE0B3D">
        <w:rPr>
          <w:rFonts w:cs="Times New Roman"/>
        </w:rPr>
        <w:t>F</w:t>
      </w:r>
      <w:r w:rsidR="00AE139E" w:rsidRPr="00AE0B3D">
        <w:rPr>
          <w:rFonts w:cs="Times New Roman"/>
        </w:rPr>
        <w:t xml:space="preserve">inancial </w:t>
      </w:r>
      <w:r w:rsidR="0036439E" w:rsidRPr="00AE0B3D">
        <w:rPr>
          <w:rFonts w:cs="Times New Roman"/>
        </w:rPr>
        <w:t>P</w:t>
      </w:r>
      <w:r w:rsidR="00AE139E" w:rsidRPr="00AE0B3D">
        <w:rPr>
          <w:rFonts w:cs="Times New Roman"/>
        </w:rPr>
        <w:t xml:space="preserve">erformance </w:t>
      </w:r>
      <w:r w:rsidR="00603E39" w:rsidRPr="00AE0B3D">
        <w:rPr>
          <w:rFonts w:cs="Times New Roman"/>
        </w:rPr>
        <w:t xml:space="preserve">of </w:t>
      </w:r>
      <w:r w:rsidR="0036439E" w:rsidRPr="00AE0B3D">
        <w:rPr>
          <w:rFonts w:cs="Times New Roman"/>
        </w:rPr>
        <w:t>O</w:t>
      </w:r>
      <w:r w:rsidR="00AE139E" w:rsidRPr="00AE0B3D">
        <w:rPr>
          <w:rFonts w:cs="Times New Roman"/>
        </w:rPr>
        <w:t>rganization</w:t>
      </w:r>
      <w:bookmarkEnd w:id="54"/>
    </w:p>
    <w:p w14:paraId="732ECC73" w14:textId="674278F3" w:rsidR="00A14CA1" w:rsidRPr="00AE0B3D" w:rsidRDefault="001623A2" w:rsidP="001623A2">
      <w:pPr>
        <w:rPr>
          <w:rFonts w:cs="Times New Roman"/>
        </w:rPr>
      </w:pPr>
      <w:r w:rsidRPr="00AE0B3D">
        <w:rPr>
          <w:rFonts w:cs="Times New Roman"/>
        </w:rPr>
        <w:t xml:space="preserve">Sustainable shareholders return on their investment depends on the organization income generation. The success of the organization is dependent on the work of the management and the employees which in turns influences the </w:t>
      </w:r>
      <w:r w:rsidR="00D660AC" w:rsidRPr="00AE0B3D">
        <w:rPr>
          <w:rFonts w:cs="Times New Roman"/>
        </w:rPr>
        <w:t>financial performance of the organization</w:t>
      </w:r>
      <w:r w:rsidR="000E5C16" w:rsidRPr="00AE0B3D">
        <w:rPr>
          <w:rFonts w:cs="Times New Roman"/>
        </w:rPr>
        <w:t xml:space="preserve"> </w:t>
      </w:r>
      <w:r w:rsidR="000E5C16" w:rsidRPr="00AE0B3D">
        <w:rPr>
          <w:rFonts w:cs="Times New Roman"/>
        </w:rPr>
        <w:fldChar w:fldCharType="begin" w:fldLock="1"/>
      </w:r>
      <w:r w:rsidR="00955099">
        <w:rPr>
          <w:rFonts w:cs="Times New Roman"/>
        </w:rPr>
        <w:instrText xml:space="preserve">ADDIN CSL_CITATION {"citationItems":[{"id":"ITEM-1","itemData":{"abstract":"This paper empirically tests the determinants of executive pay.  In order to gain more understanding of the fat cat problem that have been subject to hot debate, we also examine a sample firms that suffer from the “fat cat problem”, defined as firms with poor performance while their Chief Executive Offers (CEOs) receive high compensation.  Based on a sample of 903 US firms between 2007 and 2010, we find that there is a substitution effect between CEO compensation and the level of CEO ownership and that larger firms give higher pay to their CEOs.  When the sample is limited to fat cat companies only, we find that tenure and firm size are significantly positively associated with CEO compensation.  The firm size, leverage ratio and investment opportunities are found to be significantly associated with the CEO total compensation when the sample is limited to fat cat companies in the financial services industries.  Overall, firm size appears to be the most important determinant of CEO compensation and that there is a general lack of linkage between pay and performance.  The evidence thus calls for public attention for reexamining the effectiveness of current pay system.","author":[{"dropping-particle":"","family":"Lin","given":"Dan","non-dropping-particle":"","parse-names":false,"suffix":""},{"dropping-particle":"","family":"Kuo","given":"HC","non-dropping-particle":"","parse-names":false,"suffix":""},{"dropping-particle":"","family":"Wang","given":"LH","non-dropping-particle":"","parse-names":false,"suffix":""}],"container-title":"International Journal of Business and Finance Research","id":"ITEM-1","issue":"2","issued":{"date-parts":[["2013"]]},"page":"27-42","title":"Chief executive compensation: An empirical study of fat cat CEOs","type":"article-journal","volume":"7"},"uris":["http://www.mendeley.com/documents/?uuid=222f3f5e-39de-49f1-93f9-e3dccb3a3369"]},{"id":"ITEM-2","itemData":{"DOI":"10.1016/j.pacfin.2012.08.006","ISSN":"0927-538X","author":[{"dropping-particle":"","family":"Lam","given":"Kevin C K","non-dropping-particle":"","parse-names":false,"suffix":""},{"dropping-particle":"","family":"Mcguinness","given":"Paul B","non-dropping-particle":"","parse-names":false,"suffix":""},{"dropping-particle":"","family":"Paulo","given":"João","non-dropping-particle":"","parse-names":false,"suffix":""}],"container-title":"Pacific-Basin Finance Journal","id":"ITEM-2","issue":"1","issued":{"date-parts":[["2013"]]},"page":"1136-1159","title":"Paci fi c-Basin Finance Journal CEO gender , executive compensation and fi rm performance in Chinese ‐ listed enterprises </w:instrText>
      </w:r>
      <w:r w:rsidR="00955099">
        <w:rPr>
          <w:rFonts w:ascii="Segoe UI Symbol" w:hAnsi="Segoe UI Symbol" w:cs="Segoe UI Symbol"/>
        </w:rPr>
        <w:instrText>☆</w:instrText>
      </w:r>
      <w:r w:rsidR="00955099">
        <w:rPr>
          <w:rFonts w:cs="Times New Roman"/>
        </w:rPr>
        <w:instrText>","type":"article-journal","volume":"21"},"uris":["http://www.mendeley.com/documents/?uuid=996a86e2-5cd1-471f-bf9b-1e3c2d1ca9e9"]}],"mendeley":{"formattedCitation":"(Lam et al., 2013; Lin et al., 2013)","manualFormatting":"(Lam et al., 2013; Lin et al., 2013)","plainTextFormattedCitation":"(Lam et al., 2013; Lin et al., 2013)","previouslyFormattedCitation":"(Lam et al., 2013; Lin et al., 2013)"},"properties":{"noteIndex":0},"schema":"https://github.com/citation-style-language/schema/raw/master/csl-citation.json"}</w:instrText>
      </w:r>
      <w:r w:rsidR="000E5C16" w:rsidRPr="00AE0B3D">
        <w:rPr>
          <w:rFonts w:cs="Times New Roman"/>
        </w:rPr>
        <w:fldChar w:fldCharType="separate"/>
      </w:r>
      <w:r w:rsidR="00EF5AEB">
        <w:rPr>
          <w:rFonts w:cs="Times New Roman"/>
          <w:noProof/>
        </w:rPr>
        <w:t xml:space="preserve">(Lam </w:t>
      </w:r>
      <w:r w:rsidR="00EF5AEB" w:rsidRPr="006B3E1F">
        <w:rPr>
          <w:rFonts w:cs="Times New Roman"/>
          <w:noProof/>
        </w:rPr>
        <w:t>et al.</w:t>
      </w:r>
      <w:r w:rsidR="00EF5AEB">
        <w:rPr>
          <w:rFonts w:cs="Times New Roman"/>
          <w:noProof/>
        </w:rPr>
        <w:t xml:space="preserve">, 2013; Lin </w:t>
      </w:r>
      <w:r w:rsidR="00EF5AEB" w:rsidRPr="006B3E1F">
        <w:rPr>
          <w:rFonts w:cs="Times New Roman"/>
          <w:noProof/>
        </w:rPr>
        <w:t>et al.</w:t>
      </w:r>
      <w:r w:rsidR="000E5C16" w:rsidRPr="00AE0B3D">
        <w:rPr>
          <w:rFonts w:cs="Times New Roman"/>
          <w:noProof/>
        </w:rPr>
        <w:t>, 2013)</w:t>
      </w:r>
      <w:r w:rsidR="000E5C16" w:rsidRPr="00AE0B3D">
        <w:rPr>
          <w:rFonts w:cs="Times New Roman"/>
        </w:rPr>
        <w:fldChar w:fldCharType="end"/>
      </w:r>
      <w:r w:rsidR="00D660AC" w:rsidRPr="00AE0B3D">
        <w:rPr>
          <w:rFonts w:cs="Times New Roman"/>
        </w:rPr>
        <w:t xml:space="preserve">. </w:t>
      </w:r>
      <w:r w:rsidR="00004B75" w:rsidRPr="00AE0B3D">
        <w:rPr>
          <w:rFonts w:cs="Times New Roman"/>
        </w:rPr>
        <w:t xml:space="preserve">There is </w:t>
      </w:r>
      <w:r w:rsidR="0087121D" w:rsidRPr="00AE0B3D">
        <w:rPr>
          <w:rFonts w:cs="Times New Roman"/>
        </w:rPr>
        <w:t xml:space="preserve">an </w:t>
      </w:r>
      <w:r w:rsidR="00004B75" w:rsidRPr="00AE0B3D">
        <w:rPr>
          <w:rFonts w:cs="Times New Roman"/>
          <w:noProof/>
        </w:rPr>
        <w:t>increasing</w:t>
      </w:r>
      <w:r w:rsidR="00004B75" w:rsidRPr="00AE0B3D">
        <w:rPr>
          <w:rFonts w:cs="Times New Roman"/>
        </w:rPr>
        <w:t xml:space="preserve"> body of knowledge that </w:t>
      </w:r>
      <w:r w:rsidR="00004B75" w:rsidRPr="00AE0B3D">
        <w:rPr>
          <w:rFonts w:cs="Times New Roman"/>
          <w:noProof/>
        </w:rPr>
        <w:t>identif</w:t>
      </w:r>
      <w:r w:rsidR="0087121D" w:rsidRPr="00AE0B3D">
        <w:rPr>
          <w:rFonts w:cs="Times New Roman"/>
          <w:noProof/>
        </w:rPr>
        <w:t>ies</w:t>
      </w:r>
      <w:r w:rsidR="00004B75" w:rsidRPr="00AE0B3D">
        <w:rPr>
          <w:rFonts w:cs="Times New Roman"/>
        </w:rPr>
        <w:t xml:space="preserve"> </w:t>
      </w:r>
      <w:r w:rsidR="00D130E5" w:rsidRPr="00AE0B3D">
        <w:rPr>
          <w:rFonts w:cs="Times New Roman"/>
        </w:rPr>
        <w:t>compensation as an important factor</w:t>
      </w:r>
      <w:r w:rsidR="00A14CA1" w:rsidRPr="00AE0B3D">
        <w:rPr>
          <w:rFonts w:cs="Times New Roman"/>
        </w:rPr>
        <w:t xml:space="preserve"> that</w:t>
      </w:r>
      <w:r w:rsidR="00D130E5" w:rsidRPr="00AE0B3D">
        <w:rPr>
          <w:rFonts w:cs="Times New Roman"/>
        </w:rPr>
        <w:t xml:space="preserve"> </w:t>
      </w:r>
      <w:r w:rsidR="00D130E5" w:rsidRPr="00AE0B3D">
        <w:rPr>
          <w:rFonts w:cs="Times New Roman"/>
          <w:noProof/>
        </w:rPr>
        <w:t>influence</w:t>
      </w:r>
      <w:r w:rsidR="0087121D" w:rsidRPr="00AE0B3D">
        <w:rPr>
          <w:rFonts w:cs="Times New Roman"/>
          <w:noProof/>
        </w:rPr>
        <w:t>s</w:t>
      </w:r>
      <w:r w:rsidR="00D130E5" w:rsidRPr="00AE0B3D">
        <w:rPr>
          <w:rFonts w:cs="Times New Roman"/>
        </w:rPr>
        <w:t xml:space="preserve"> financial performance </w:t>
      </w:r>
      <w:r w:rsidR="000D1153" w:rsidRPr="00AE0B3D">
        <w:rPr>
          <w:rFonts w:cs="Times New Roman"/>
          <w:noProof/>
        </w:rPr>
        <w:t>(Deysel &amp; Kruger, 2015)</w:t>
      </w:r>
      <w:r w:rsidR="00FD5084" w:rsidRPr="00AE0B3D">
        <w:rPr>
          <w:rFonts w:cs="Times New Roman"/>
        </w:rPr>
        <w:t xml:space="preserve"> and financial decision of the organization</w:t>
      </w:r>
      <w:r w:rsidR="006A5779" w:rsidRPr="00AE0B3D">
        <w:rPr>
          <w:rFonts w:cs="Times New Roman"/>
        </w:rPr>
        <w:t xml:space="preserve"> </w:t>
      </w:r>
      <w:r w:rsidR="006A5779" w:rsidRPr="00AE0B3D">
        <w:rPr>
          <w:rFonts w:cs="Times New Roman"/>
        </w:rPr>
        <w:fldChar w:fldCharType="begin" w:fldLock="1"/>
      </w:r>
      <w:r w:rsidR="00955099">
        <w:rPr>
          <w:rFonts w:cs="Times New Roman"/>
        </w:rPr>
        <w:instrText>ADDIN CSL_CITATION {"citationItems":[{"id":"ITEM-1","itemData":{"DOI":"10.1016/j.jfineco.2017.01.010","ISBN":"6142925026","ISSN":"0304405X","PMID":"1903480523","abstract":"Using a large data set of performance goals employed in executive incentive contracts, we find that a disproportionately large number of firms exceed their goals by a small margin as compared to the number that fall short of the goal by a similar margin. This asymmetry is particularly acute for earnings goals, when compensation is contingent on a single goal, when the pay-performance relationship around the goal is concave-shaped, and for grants with non-equity-based payouts. Firms that exceed their compensation target by a small margin are more likely to beat the target the next period and CEOs of firms that miss their targets are more likely to experience a forced turnover. Firms that just exceed their Earnings Per Share (EPS) goals have higher abnormal accruals and lower Research and Development (R&amp;D) expenditures, and firms that just exceed their profit goals have lower Selling, General and Administrative (SG&amp;A) expenditures. Overall, our results highlight some of the costs of linking managerial compensation to specific compensation targets.","author":[{"dropping-particle":"","family":"Bennett","given":"Benjamin","non-dropping-particle":"","parse-names":false,"suffix":""},{"dropping-particle":"","family":"Bettis","given":"J. Carr","non-dropping-particle":"","parse-names":false,"suffix":""},{"dropping-particle":"","family":"Gopalan","given":"Radhakrishnan","non-dropping-particle":"","parse-names":false,"suffix":""},{"dropping-particle":"","family":"Milbourn","given":"Todd","non-dropping-particle":"","parse-names":false,"suffix":""}],"container-title":"Journal of Financial Economics","id":"ITEM-1","issue":"2","issued":{"date-parts":[["2017"]]},"page":"307-330","title":"Compensation goals and firm performance","type":"article-journal","volume":"124"},"uris":["http://www.mendeley.com/documents/?uuid=009fbeb8-8d9a-45b1-a666-fa1f8dce64a7"]}],"mendeley":{"formattedCitation":"(Bennett et al., 2017)","manualFormatting":"(Bennett et al., 2017)","plainTextFormattedCitation":"(Bennett et al., 2017)","previouslyFormattedCitation":"(Bennett et al., 2017)"},"properties":{"noteIndex":0},"schema":"https://github.com/citation-style-language/schema/raw/master/csl-citation.json"}</w:instrText>
      </w:r>
      <w:r w:rsidR="006A5779" w:rsidRPr="00AE0B3D">
        <w:rPr>
          <w:rFonts w:cs="Times New Roman"/>
        </w:rPr>
        <w:fldChar w:fldCharType="separate"/>
      </w:r>
      <w:r w:rsidR="00EF5AEB">
        <w:rPr>
          <w:rFonts w:cs="Times New Roman"/>
          <w:noProof/>
        </w:rPr>
        <w:t xml:space="preserve">(Bennett </w:t>
      </w:r>
      <w:r w:rsidR="00EF5AEB" w:rsidRPr="006B3E1F">
        <w:rPr>
          <w:rFonts w:cs="Times New Roman"/>
          <w:noProof/>
        </w:rPr>
        <w:t>et al.</w:t>
      </w:r>
      <w:r w:rsidR="006A5779" w:rsidRPr="00AE0B3D">
        <w:rPr>
          <w:rFonts w:cs="Times New Roman"/>
          <w:noProof/>
        </w:rPr>
        <w:t>, 2017)</w:t>
      </w:r>
      <w:r w:rsidR="006A5779" w:rsidRPr="00AE0B3D">
        <w:rPr>
          <w:rFonts w:cs="Times New Roman"/>
        </w:rPr>
        <w:fldChar w:fldCharType="end"/>
      </w:r>
      <w:r w:rsidR="00FD5084" w:rsidRPr="00AE0B3D">
        <w:rPr>
          <w:rFonts w:cs="Times New Roman"/>
        </w:rPr>
        <w:t>.</w:t>
      </w:r>
      <w:r w:rsidR="001A20B7" w:rsidRPr="00AE0B3D">
        <w:rPr>
          <w:rFonts w:cs="Times New Roman"/>
        </w:rPr>
        <w:t xml:space="preserve"> </w:t>
      </w:r>
      <w:r w:rsidR="000E66FD" w:rsidRPr="00AE0B3D">
        <w:rPr>
          <w:rFonts w:cs="Times New Roman"/>
        </w:rPr>
        <w:t xml:space="preserve">According to </w:t>
      </w:r>
      <w:r w:rsidR="00040172" w:rsidRPr="00AE0B3D">
        <w:rPr>
          <w:rFonts w:cs="Times New Roman"/>
        </w:rPr>
        <w:t xml:space="preserve">a research by </w:t>
      </w:r>
      <w:r w:rsidR="000E66FD" w:rsidRPr="00AE0B3D">
        <w:rPr>
          <w:rFonts w:cs="Times New Roman"/>
          <w:noProof/>
        </w:rPr>
        <w:t>Deysel and Kruger</w:t>
      </w:r>
      <w:r w:rsidR="006A5779" w:rsidRPr="00AE0B3D">
        <w:rPr>
          <w:rFonts w:cs="Times New Roman"/>
        </w:rPr>
        <w:t xml:space="preserve"> </w:t>
      </w:r>
      <w:r w:rsidR="006A5779" w:rsidRPr="00AE0B3D">
        <w:rPr>
          <w:rFonts w:cs="Times New Roman"/>
        </w:rPr>
        <w:fldChar w:fldCharType="begin" w:fldLock="1"/>
      </w:r>
      <w:r w:rsidR="006A5779" w:rsidRPr="00AE0B3D">
        <w:rPr>
          <w:rFonts w:cs="Times New Roman"/>
        </w:rPr>
        <w:instrText>ADDIN CSL_CITATION {"citationItems":[{"id":"ITEM-1","itemData":{"ISBN":"0022-3476; 0022-3476","ISSN":"1998-8125","abstract":"This exploratory study is based on a statistical data analysis to\\ndetermine whether a long-term correlation is present between South\\nAfrican CEO compensation and company performance in the banking sector.\\nThe detailed analysis, using a seven-year time period, is performed at\\nindividual company level as well as at sector level and includes two\\nmeasures of company performance, namely market performance (share price)\\nand accounting performance (return on equity, EBITDA and HEPS). The\\nstudy is based on the agency theory, which postulates that linking CEO\\ncompensation to company performance is a means of reducing agency\\nmonitoring costs. It takes into account the historical and current\\ntrends in CEO compensation, including King III and its ``say-on-pay{''}\\nprovision. Six out of seven null hypotheses were accepted in the study,\\nindicating a long-term correlation between CEO compensation and\\nvariables such as company performance, average employee salary, general\\nmarket performance and inflation. No correlation was found with company\\nsize.","author":[{"dropping-particle":"","family":"Deysel","given":"B","non-dropping-particle":"","parse-names":false,"suffix":""},{"dropping-particle":"","family":"Kruger","given":"J","non-dropping-particle":"","parse-names":false,"suffix":""}],"container-title":"Southern African Business Review","id":"ITEM-1","issue":"1","issued":{"date-parts":[["2015"]]},"page":"169","title":"The relationship between South African CEO compensation and company performance in the banking industry","type":"article-journal","volume":"19"},"uris":["http://www.mendeley.com/documents/?uuid=04943ffd-1e44-48b5-8b50-28a638700f31"]}],"mendeley":{"formattedCitation":"(Deysel &amp; Kruger, 2015)","manualFormatting":"( 2015)","plainTextFormattedCitation":"(Deysel &amp; Kruger, 2015)","previouslyFormattedCitation":"(Deysel &amp; Kruger, 2015)"},"properties":{"noteIndex":0},"schema":"https://github.com/citation-style-language/schema/raw/master/csl-citation.json"}</w:instrText>
      </w:r>
      <w:r w:rsidR="006A5779" w:rsidRPr="00AE0B3D">
        <w:rPr>
          <w:rFonts w:cs="Times New Roman"/>
        </w:rPr>
        <w:fldChar w:fldCharType="separate"/>
      </w:r>
      <w:r w:rsidR="006A5779" w:rsidRPr="00AE0B3D">
        <w:rPr>
          <w:rFonts w:cs="Times New Roman"/>
          <w:noProof/>
        </w:rPr>
        <w:t>( 2015)</w:t>
      </w:r>
      <w:r w:rsidR="006A5779" w:rsidRPr="00AE0B3D">
        <w:rPr>
          <w:rFonts w:cs="Times New Roman"/>
        </w:rPr>
        <w:fldChar w:fldCharType="end"/>
      </w:r>
      <w:r w:rsidR="006A5779" w:rsidRPr="00AE0B3D">
        <w:rPr>
          <w:rFonts w:cs="Times New Roman"/>
        </w:rPr>
        <w:t xml:space="preserve"> </w:t>
      </w:r>
      <w:r w:rsidR="000E66FD" w:rsidRPr="00AE0B3D">
        <w:rPr>
          <w:rFonts w:cs="Times New Roman"/>
        </w:rPr>
        <w:t xml:space="preserve">using historical data, a positive correlation between </w:t>
      </w:r>
      <w:r w:rsidR="000E66FD" w:rsidRPr="00AE0B3D">
        <w:rPr>
          <w:rFonts w:cs="Times New Roman"/>
          <w:noProof/>
        </w:rPr>
        <w:t>compensation</w:t>
      </w:r>
      <w:r w:rsidR="000E66FD" w:rsidRPr="00AE0B3D">
        <w:rPr>
          <w:rFonts w:cs="Times New Roman"/>
        </w:rPr>
        <w:t xml:space="preserve"> of South African CEOs and the overall organization performance exists. </w:t>
      </w:r>
      <w:r w:rsidR="00552273" w:rsidRPr="00AE0B3D">
        <w:rPr>
          <w:rFonts w:cs="Times New Roman"/>
        </w:rPr>
        <w:t>I</w:t>
      </w:r>
      <w:r w:rsidR="00B2577E" w:rsidRPr="00AE0B3D">
        <w:rPr>
          <w:rFonts w:cs="Times New Roman"/>
          <w:noProof/>
        </w:rPr>
        <w:t>n</w:t>
      </w:r>
      <w:r w:rsidR="003D0036" w:rsidRPr="00AE0B3D">
        <w:rPr>
          <w:rFonts w:cs="Times New Roman"/>
          <w:noProof/>
        </w:rPr>
        <w:t>crease</w:t>
      </w:r>
      <w:r w:rsidR="003D0036" w:rsidRPr="00AE0B3D">
        <w:rPr>
          <w:rFonts w:cs="Times New Roman"/>
        </w:rPr>
        <w:t xml:space="preserve"> in the profit of the company result </w:t>
      </w:r>
      <w:r w:rsidR="00596569" w:rsidRPr="00AE0B3D">
        <w:rPr>
          <w:rFonts w:cs="Times New Roman"/>
          <w:noProof/>
        </w:rPr>
        <w:t>in</w:t>
      </w:r>
      <w:r w:rsidR="003D0036" w:rsidRPr="00AE0B3D">
        <w:rPr>
          <w:rFonts w:cs="Times New Roman"/>
        </w:rPr>
        <w:t xml:space="preserve"> </w:t>
      </w:r>
      <w:r w:rsidR="0087121D" w:rsidRPr="00AE0B3D">
        <w:rPr>
          <w:rFonts w:cs="Times New Roman"/>
        </w:rPr>
        <w:t xml:space="preserve">an </w:t>
      </w:r>
      <w:r w:rsidR="003D0036" w:rsidRPr="00AE0B3D">
        <w:rPr>
          <w:rFonts w:cs="Times New Roman"/>
          <w:noProof/>
        </w:rPr>
        <w:t>increase</w:t>
      </w:r>
      <w:r w:rsidR="003D0036" w:rsidRPr="00AE0B3D">
        <w:rPr>
          <w:rFonts w:cs="Times New Roman"/>
        </w:rPr>
        <w:t xml:space="preserve"> in the compensation of the employees. The increase in compensation</w:t>
      </w:r>
      <w:r w:rsidR="0087121D" w:rsidRPr="00AE0B3D">
        <w:rPr>
          <w:rFonts w:cs="Times New Roman"/>
        </w:rPr>
        <w:t>, however,</w:t>
      </w:r>
      <w:r w:rsidR="003D0036" w:rsidRPr="00AE0B3D">
        <w:rPr>
          <w:rFonts w:cs="Times New Roman"/>
        </w:rPr>
        <w:t xml:space="preserve"> vari</w:t>
      </w:r>
      <w:r w:rsidR="003450F4" w:rsidRPr="00AE0B3D">
        <w:rPr>
          <w:rFonts w:cs="Times New Roman"/>
        </w:rPr>
        <w:t>es between the lower and higher management teams of the organization.</w:t>
      </w:r>
      <w:r w:rsidR="00B066D0" w:rsidRPr="00AE0B3D">
        <w:rPr>
          <w:rFonts w:cs="Times New Roman"/>
        </w:rPr>
        <w:t xml:space="preserve"> </w:t>
      </w:r>
      <w:r w:rsidR="002F7F55" w:rsidRPr="00AE0B3D">
        <w:rPr>
          <w:rFonts w:cs="Times New Roman"/>
        </w:rPr>
        <w:t xml:space="preserve">The same was identified for large companies in </w:t>
      </w:r>
      <w:r w:rsidR="0087121D" w:rsidRPr="00AE0B3D">
        <w:rPr>
          <w:rFonts w:cs="Times New Roman"/>
        </w:rPr>
        <w:t xml:space="preserve">the </w:t>
      </w:r>
      <w:r w:rsidR="007F440C" w:rsidRPr="00AE0B3D">
        <w:rPr>
          <w:rFonts w:cs="Times New Roman"/>
          <w:noProof/>
        </w:rPr>
        <w:t>USA</w:t>
      </w:r>
      <w:r w:rsidR="007F440C" w:rsidRPr="00AE0B3D">
        <w:rPr>
          <w:rFonts w:cs="Times New Roman"/>
        </w:rPr>
        <w:t xml:space="preserve">, </w:t>
      </w:r>
      <w:r w:rsidR="006645E9" w:rsidRPr="00AE0B3D">
        <w:rPr>
          <w:rFonts w:cs="Times New Roman"/>
        </w:rPr>
        <w:t>Britain,</w:t>
      </w:r>
      <w:r w:rsidR="007F440C" w:rsidRPr="00AE0B3D">
        <w:rPr>
          <w:rFonts w:cs="Times New Roman"/>
        </w:rPr>
        <w:t xml:space="preserve"> and Japan. </w:t>
      </w:r>
      <w:r w:rsidR="009D7F87" w:rsidRPr="00AE0B3D">
        <w:rPr>
          <w:rFonts w:cs="Times New Roman"/>
          <w:noProof/>
        </w:rPr>
        <w:t>Harper and Jin</w:t>
      </w:r>
      <w:r w:rsidR="008F697F" w:rsidRPr="00AE0B3D">
        <w:rPr>
          <w:rFonts w:cs="Times New Roman"/>
          <w:noProof/>
        </w:rPr>
        <w:t xml:space="preserve"> </w:t>
      </w:r>
      <w:r w:rsidR="008F697F" w:rsidRPr="00AE0B3D">
        <w:rPr>
          <w:rFonts w:cs="Times New Roman"/>
          <w:noProof/>
        </w:rPr>
        <w:fldChar w:fldCharType="begin" w:fldLock="1"/>
      </w:r>
      <w:r w:rsidR="006A5779" w:rsidRPr="00AE0B3D">
        <w:rPr>
          <w:rFonts w:cs="Times New Roman"/>
          <w:noProof/>
        </w:rPr>
        <w:instrText>ADDIN CSL_CITATION {"citationItems":[{"id":"ITEM-1","itemData":{"author":[{"dropping-particle":"","family":"Harper","given":"Alan H.","non-dropping-particle":"","parse-names":false,"suffix":""},{"dropping-particle":"","family":"Jin","given":"Zhenhu","non-dropping-particle":"","parse-names":false,"suffix":""}],"container-title":"Journal of Finance Issues Fall","id":"ITEM-1","issued":{"date-parts":[["2016"]]},"title":"The Determinants of CEO Compensation in the U.S. General Merchandise Sector","type":"article-journal","volume":"48"},"uris":["http://www.mendeley.com/documents/?uuid=29641bee-37c5-497a-90e6-74866e7c75ee"]}],"mendeley":{"formattedCitation":"(Harper &amp; Jin, 2016)","manualFormatting":"(2016)","plainTextFormattedCitation":"(Harper &amp; Jin, 2016)","previouslyFormattedCitation":"(Harper &amp; Jin, 2016)"},"properties":{"noteIndex":0},"schema":"https://github.com/citation-style-language/schema/raw/master/csl-citation.json"}</w:instrText>
      </w:r>
      <w:r w:rsidR="008F697F" w:rsidRPr="00AE0B3D">
        <w:rPr>
          <w:rFonts w:cs="Times New Roman"/>
          <w:noProof/>
        </w:rPr>
        <w:fldChar w:fldCharType="separate"/>
      </w:r>
      <w:r w:rsidR="008F697F" w:rsidRPr="00AE0B3D">
        <w:rPr>
          <w:rFonts w:cs="Times New Roman"/>
          <w:noProof/>
        </w:rPr>
        <w:t>(2016)</w:t>
      </w:r>
      <w:r w:rsidR="008F697F" w:rsidRPr="00AE0B3D">
        <w:rPr>
          <w:rFonts w:cs="Times New Roman"/>
          <w:noProof/>
        </w:rPr>
        <w:fldChar w:fldCharType="end"/>
      </w:r>
      <w:r w:rsidR="009D7F87" w:rsidRPr="00AE0B3D">
        <w:rPr>
          <w:rFonts w:cs="Times New Roman"/>
        </w:rPr>
        <w:t xml:space="preserve"> </w:t>
      </w:r>
      <w:r w:rsidR="00F95745" w:rsidRPr="00AE0B3D">
        <w:rPr>
          <w:rFonts w:cs="Times New Roman"/>
        </w:rPr>
        <w:t xml:space="preserve">through </w:t>
      </w:r>
      <w:r w:rsidR="0087121D" w:rsidRPr="00AE0B3D">
        <w:rPr>
          <w:rFonts w:cs="Times New Roman"/>
        </w:rPr>
        <w:t xml:space="preserve">the </w:t>
      </w:r>
      <w:r w:rsidR="00F95745" w:rsidRPr="00AE0B3D">
        <w:rPr>
          <w:rFonts w:cs="Times New Roman"/>
          <w:noProof/>
        </w:rPr>
        <w:t>use</w:t>
      </w:r>
      <w:r w:rsidR="00F95745" w:rsidRPr="00AE0B3D">
        <w:rPr>
          <w:rFonts w:cs="Times New Roman"/>
        </w:rPr>
        <w:t xml:space="preserve"> of secondary </w:t>
      </w:r>
      <w:r w:rsidR="006572A8" w:rsidRPr="00AE0B3D">
        <w:rPr>
          <w:rFonts w:cs="Times New Roman"/>
        </w:rPr>
        <w:t>data found</w:t>
      </w:r>
      <w:r w:rsidR="00F95745" w:rsidRPr="00AE0B3D">
        <w:rPr>
          <w:rFonts w:cs="Times New Roman"/>
        </w:rPr>
        <w:t xml:space="preserve"> that </w:t>
      </w:r>
      <w:r w:rsidR="00A7332A" w:rsidRPr="00AE0B3D">
        <w:rPr>
          <w:rFonts w:cs="Times New Roman"/>
        </w:rPr>
        <w:t xml:space="preserve">CEO compensation was positively correlated with the market </w:t>
      </w:r>
      <w:r w:rsidR="00A7332A" w:rsidRPr="00AE0B3D">
        <w:rPr>
          <w:rFonts w:cs="Times New Roman"/>
        </w:rPr>
        <w:lastRenderedPageBreak/>
        <w:t xml:space="preserve">capitalization and profit margin for </w:t>
      </w:r>
      <w:r w:rsidR="0087121D" w:rsidRPr="00AE0B3D">
        <w:rPr>
          <w:rFonts w:cs="Times New Roman"/>
        </w:rPr>
        <w:t xml:space="preserve">the </w:t>
      </w:r>
      <w:r w:rsidR="00A7332A" w:rsidRPr="00AE0B3D">
        <w:rPr>
          <w:rFonts w:cs="Times New Roman"/>
          <w:noProof/>
        </w:rPr>
        <w:t>general</w:t>
      </w:r>
      <w:r w:rsidR="00A7332A" w:rsidRPr="00AE0B3D">
        <w:rPr>
          <w:rFonts w:cs="Times New Roman"/>
        </w:rPr>
        <w:t xml:space="preserve"> </w:t>
      </w:r>
      <w:r w:rsidR="002706B1" w:rsidRPr="00AE0B3D">
        <w:rPr>
          <w:rFonts w:cs="Times New Roman"/>
        </w:rPr>
        <w:t xml:space="preserve">merchandise sector in </w:t>
      </w:r>
      <w:r w:rsidR="002706B1" w:rsidRPr="00AE0B3D">
        <w:rPr>
          <w:rFonts w:cs="Times New Roman"/>
          <w:noProof/>
        </w:rPr>
        <w:t>USA</w:t>
      </w:r>
      <w:r w:rsidR="002706B1" w:rsidRPr="00AE0B3D">
        <w:rPr>
          <w:rFonts w:cs="Times New Roman"/>
        </w:rPr>
        <w:t xml:space="preserve">. </w:t>
      </w:r>
      <w:r w:rsidR="00ED6CB2" w:rsidRPr="00AE0B3D">
        <w:rPr>
          <w:rFonts w:cs="Times New Roman"/>
        </w:rPr>
        <w:t xml:space="preserve">In assessing public listed hospitality </w:t>
      </w:r>
      <w:r w:rsidR="00C54441" w:rsidRPr="00AE0B3D">
        <w:rPr>
          <w:rFonts w:cs="Times New Roman"/>
        </w:rPr>
        <w:t xml:space="preserve">companies, </w:t>
      </w:r>
      <w:r w:rsidR="00C54441" w:rsidRPr="00AE0B3D">
        <w:rPr>
          <w:rFonts w:cs="Times New Roman"/>
          <w:noProof/>
        </w:rPr>
        <w:t>Li and Singal</w:t>
      </w:r>
      <w:r w:rsidR="008F697F" w:rsidRPr="00AE0B3D">
        <w:rPr>
          <w:rFonts w:cs="Times New Roman"/>
          <w:noProof/>
        </w:rPr>
        <w:t xml:space="preserve"> </w:t>
      </w:r>
      <w:r w:rsidR="008F697F" w:rsidRPr="00AE0B3D">
        <w:rPr>
          <w:rFonts w:cs="Times New Roman"/>
          <w:noProof/>
        </w:rPr>
        <w:fldChar w:fldCharType="begin" w:fldLock="1"/>
      </w:r>
      <w:r w:rsidR="00690F1D">
        <w:rPr>
          <w:rFonts w:cs="Times New Roman"/>
          <w:noProof/>
        </w:rPr>
        <w:instrText>ADDIN CSL_CITATION {"citationItems":[{"id":"ITEM-1","itemData":{"DOI":"10.1177/1096348018776453","ISBN":"1096348018776","ISSN":"15577554","abstract":"Past research has shown mixed results regarding the role CEO compensation plays in influencing firm financial performance in the hospitality industry. To explore this relationship further, we concomitantly examine the role of compensation and CEO attributes like education, age, tenure, functional background, and gender on firm financial performance. Our analyses are based on secondary and hand-collected data from a large and comprehensive sample of U.S. publicly traded hospitality firms. The results from panel data analyses show that CEO cash compensation is positively related to return on assets, while equity compensation is unrelated to firm performance. We further find that when CEO compensation and attributes are jointly examined, CEO compensation has a relatively lower impact on firm performance than CEO attributes do. The results imply that the hospitality industry may want to reconsider its compensation practices in order to better align the interests of managers and shareholders and motivate manag...","author":[{"dropping-particle":"","family":"Li","given":"Yuan","non-dropping-particle":"","parse-names":false,"suffix":""},{"dropping-particle":"","family":"Singal","given":"Manisha","non-dropping-particle":"","parse-names":false,"suffix":""}],"container-title":"Journal of Hospitality and Tourism Research","id":"ITEM-1","issue":"X","issued":{"date-parts":[["2018"]]},"page":"1-11","title":"Firm Performance in the Hospitality Industry: Do CEO Attributes and Compensation Matter?","type":"article-journal","volume":"XX"},"uris":["http://www.mendeley.com/documents/?uuid=492fde1c-b3f7-42e3-9add-f3d06c0d1739"]}],"mendeley":{"formattedCitation":"(Li &amp; Singal, 2018)","manualFormatting":"(2018)","plainTextFormattedCitation":"(Li &amp; Singal, 2018)","previouslyFormattedCitation":"(Li &amp; Singal, 2018)"},"properties":{"noteIndex":0},"schema":"https://github.com/citation-style-language/schema/raw/master/csl-citation.json"}</w:instrText>
      </w:r>
      <w:r w:rsidR="008F697F" w:rsidRPr="00AE0B3D">
        <w:rPr>
          <w:rFonts w:cs="Times New Roman"/>
          <w:noProof/>
        </w:rPr>
        <w:fldChar w:fldCharType="separate"/>
      </w:r>
      <w:r w:rsidR="003C6206">
        <w:rPr>
          <w:rFonts w:cs="Times New Roman"/>
          <w:noProof/>
        </w:rPr>
        <w:t>(</w:t>
      </w:r>
      <w:r w:rsidR="008F697F" w:rsidRPr="00AE0B3D">
        <w:rPr>
          <w:rFonts w:cs="Times New Roman"/>
          <w:noProof/>
        </w:rPr>
        <w:t>2018)</w:t>
      </w:r>
      <w:r w:rsidR="008F697F" w:rsidRPr="00AE0B3D">
        <w:rPr>
          <w:rFonts w:cs="Times New Roman"/>
          <w:noProof/>
        </w:rPr>
        <w:fldChar w:fldCharType="end"/>
      </w:r>
      <w:r w:rsidR="00C54441" w:rsidRPr="00AE0B3D">
        <w:rPr>
          <w:rFonts w:cs="Times New Roman"/>
        </w:rPr>
        <w:t xml:space="preserve"> </w:t>
      </w:r>
      <w:r w:rsidR="00C27941" w:rsidRPr="00AE0B3D">
        <w:rPr>
          <w:rFonts w:cs="Times New Roman"/>
        </w:rPr>
        <w:t xml:space="preserve">identified that </w:t>
      </w:r>
      <w:r w:rsidR="00A640EB" w:rsidRPr="00AE0B3D">
        <w:rPr>
          <w:rFonts w:cs="Times New Roman"/>
        </w:rPr>
        <w:t>CEO compensation ha</w:t>
      </w:r>
      <w:r w:rsidR="00327822" w:rsidRPr="00AE0B3D">
        <w:rPr>
          <w:rFonts w:cs="Times New Roman"/>
        </w:rPr>
        <w:t>d a</w:t>
      </w:r>
      <w:r w:rsidR="00A640EB" w:rsidRPr="00AE0B3D">
        <w:rPr>
          <w:rFonts w:cs="Times New Roman"/>
        </w:rPr>
        <w:t xml:space="preserve"> </w:t>
      </w:r>
      <w:r w:rsidR="005C39ED" w:rsidRPr="00AE0B3D">
        <w:rPr>
          <w:rFonts w:cs="Times New Roman"/>
        </w:rPr>
        <w:t xml:space="preserve">relation with the returns of the organizations. </w:t>
      </w:r>
      <w:r w:rsidR="00D9618D" w:rsidRPr="00AE0B3D">
        <w:rPr>
          <w:rFonts w:cs="Times New Roman"/>
        </w:rPr>
        <w:t xml:space="preserve">Both </w:t>
      </w:r>
      <w:r w:rsidR="00327822" w:rsidRPr="00AE0B3D">
        <w:rPr>
          <w:rFonts w:cs="Times New Roman"/>
        </w:rPr>
        <w:t>equities</w:t>
      </w:r>
      <w:r w:rsidR="00D9618D" w:rsidRPr="00AE0B3D">
        <w:rPr>
          <w:rFonts w:cs="Times New Roman"/>
        </w:rPr>
        <w:t xml:space="preserve"> based </w:t>
      </w:r>
      <w:r w:rsidR="00665E6E" w:rsidRPr="00AE0B3D">
        <w:rPr>
          <w:rFonts w:cs="Times New Roman"/>
        </w:rPr>
        <w:t>and cash</w:t>
      </w:r>
      <w:r w:rsidR="00D9618D" w:rsidRPr="00AE0B3D">
        <w:rPr>
          <w:rFonts w:cs="Times New Roman"/>
        </w:rPr>
        <w:t xml:space="preserve"> compensation of the firm ha</w:t>
      </w:r>
      <w:r w:rsidR="00327822" w:rsidRPr="00AE0B3D">
        <w:rPr>
          <w:rFonts w:cs="Times New Roman"/>
        </w:rPr>
        <w:t>d</w:t>
      </w:r>
      <w:r w:rsidR="00D9618D" w:rsidRPr="00AE0B3D">
        <w:rPr>
          <w:rFonts w:cs="Times New Roman"/>
        </w:rPr>
        <w:t xml:space="preserve"> </w:t>
      </w:r>
      <w:r w:rsidR="00D9618D" w:rsidRPr="00AE0B3D">
        <w:rPr>
          <w:rFonts w:cs="Times New Roman"/>
          <w:noProof/>
        </w:rPr>
        <w:t>positive</w:t>
      </w:r>
      <w:r w:rsidR="00D9618D" w:rsidRPr="00AE0B3D">
        <w:rPr>
          <w:rFonts w:cs="Times New Roman"/>
        </w:rPr>
        <w:t xml:space="preserve"> influence on the </w:t>
      </w:r>
      <w:r w:rsidR="00665E6E" w:rsidRPr="00AE0B3D">
        <w:rPr>
          <w:rFonts w:cs="Times New Roman"/>
        </w:rPr>
        <w:t>accounting-based</w:t>
      </w:r>
      <w:r w:rsidR="00D9618D" w:rsidRPr="00AE0B3D">
        <w:rPr>
          <w:rFonts w:cs="Times New Roman"/>
        </w:rPr>
        <w:t xml:space="preserve"> performance of the organizations</w:t>
      </w:r>
      <w:r w:rsidR="00CE164C" w:rsidRPr="00AE0B3D">
        <w:rPr>
          <w:rFonts w:cs="Times New Roman"/>
        </w:rPr>
        <w:t xml:space="preserve"> </w:t>
      </w:r>
      <w:r w:rsidR="00CE164C" w:rsidRPr="00AE0B3D">
        <w:rPr>
          <w:rFonts w:cs="Times New Roman"/>
        </w:rPr>
        <w:fldChar w:fldCharType="begin" w:fldLock="1"/>
      </w:r>
      <w:r w:rsidR="00E67D18" w:rsidRPr="00AE0B3D">
        <w:rPr>
          <w:rFonts w:cs="Times New Roman"/>
        </w:rPr>
        <w:instrText>ADDIN CSL_CITATION {"citationItems":[{"id":"ITEM-1","itemData":{"author":[{"dropping-particle":"van der","family":"Wijst","given":"N.G.P","non-dropping-particle":"","parse-names":false,"suffix":""}],"id":"ITEM-1","issued":{"date-parts":[["2018"]]},"title":"The influence of CEO compensation on firm performance and its relation to economic growth","type":"thesis"},"uris":["http://www.mendeley.com/documents/?uuid=5d63da3d-c41b-48f0-b016-7472c460f066"]}],"mendeley":{"formattedCitation":"(Wijst, 2018)","plainTextFormattedCitation":"(Wijst, 2018)","previouslyFormattedCitation":"(Wijst, 2018)"},"properties":{"noteIndex":0},"schema":"https://github.com/citation-style-language/schema/raw/master/csl-citation.json"}</w:instrText>
      </w:r>
      <w:r w:rsidR="00CE164C" w:rsidRPr="00AE0B3D">
        <w:rPr>
          <w:rFonts w:cs="Times New Roman"/>
        </w:rPr>
        <w:fldChar w:fldCharType="separate"/>
      </w:r>
      <w:r w:rsidR="00CE164C" w:rsidRPr="00AE0B3D">
        <w:rPr>
          <w:rFonts w:cs="Times New Roman"/>
          <w:noProof/>
        </w:rPr>
        <w:t>(Wijst, 2018)</w:t>
      </w:r>
      <w:r w:rsidR="00CE164C" w:rsidRPr="00AE0B3D">
        <w:rPr>
          <w:rFonts w:cs="Times New Roman"/>
        </w:rPr>
        <w:fldChar w:fldCharType="end"/>
      </w:r>
      <w:r w:rsidR="00D9618D" w:rsidRPr="00AE0B3D">
        <w:rPr>
          <w:rFonts w:cs="Times New Roman"/>
        </w:rPr>
        <w:t>.</w:t>
      </w:r>
      <w:r w:rsidR="00E34167" w:rsidRPr="00AE0B3D">
        <w:rPr>
          <w:rFonts w:cs="Times New Roman"/>
        </w:rPr>
        <w:t xml:space="preserve"> </w:t>
      </w:r>
      <w:r w:rsidR="00166E5D" w:rsidRPr="00AE0B3D">
        <w:rPr>
          <w:rFonts w:cs="Times New Roman"/>
          <w:noProof/>
        </w:rPr>
        <w:t xml:space="preserve">In the </w:t>
      </w:r>
      <w:r w:rsidR="00E34167" w:rsidRPr="00AE0B3D">
        <w:rPr>
          <w:rFonts w:cs="Times New Roman"/>
        </w:rPr>
        <w:t xml:space="preserve">banking sector, the remuneration of the CEO increases </w:t>
      </w:r>
      <w:r w:rsidR="00166E5D" w:rsidRPr="00AE0B3D">
        <w:rPr>
          <w:rFonts w:cs="Times New Roman"/>
        </w:rPr>
        <w:t>with</w:t>
      </w:r>
      <w:r w:rsidR="00E34167" w:rsidRPr="00AE0B3D">
        <w:rPr>
          <w:rFonts w:cs="Times New Roman"/>
        </w:rPr>
        <w:t xml:space="preserve"> </w:t>
      </w:r>
      <w:r w:rsidR="00E34167" w:rsidRPr="00AE0B3D">
        <w:rPr>
          <w:rFonts w:cs="Times New Roman"/>
          <w:noProof/>
        </w:rPr>
        <w:t>increase</w:t>
      </w:r>
      <w:r w:rsidR="00E34167" w:rsidRPr="00AE0B3D">
        <w:rPr>
          <w:rFonts w:cs="Times New Roman"/>
        </w:rPr>
        <w:t xml:space="preserve"> in the overall financial performance of the bank. </w:t>
      </w:r>
      <w:r w:rsidR="00166E5D" w:rsidRPr="00AE0B3D">
        <w:rPr>
          <w:rFonts w:cs="Times New Roman"/>
        </w:rPr>
        <w:t xml:space="preserve">The influence of compensation and the financial performance in the banking </w:t>
      </w:r>
      <w:r w:rsidR="00AE32D4" w:rsidRPr="00AE0B3D">
        <w:rPr>
          <w:rFonts w:cs="Times New Roman"/>
        </w:rPr>
        <w:t xml:space="preserve">sector have increased </w:t>
      </w:r>
      <w:r w:rsidR="00E67D18" w:rsidRPr="00AE0B3D">
        <w:rPr>
          <w:rFonts w:cs="Times New Roman"/>
        </w:rPr>
        <w:fldChar w:fldCharType="begin" w:fldLock="1"/>
      </w:r>
      <w:r w:rsidR="008F697F" w:rsidRPr="00AE0B3D">
        <w:rPr>
          <w:rFonts w:cs="Times New Roman"/>
        </w:rPr>
        <w:instrText>ADDIN CSL_CITATION {"citationItems":[{"id":"ITEM-1","itemData":{"ISBN":"0022-3476; 0022-3476","ISSN":"1998-8125","abstract":"This exploratory study is based on a statistical data analysis to\\ndetermine whether a long-term correlation is present between South\\nAfrican CEO compensation and company performance in the banking sector.\\nThe detailed analysis, using a seven-year time period, is performed at\\nindividual company level as well as at sector level and includes two\\nmeasures of company performance, namely market performance (share price)\\nand accounting performance (return on equity, EBITDA and HEPS). The\\nstudy is based on the agency theory, which postulates that linking CEO\\ncompensation to company performance is a means of reducing agency\\nmonitoring costs. It takes into account the historical and current\\ntrends in CEO compensation, including King III and its ``say-on-pay{''}\\nprovision. Six out of seven null hypotheses were accepted in the study,\\nindicating a long-term correlation between CEO compensation and\\nvariables such as company performance, average employee salary, general\\nmarket performance and inflation. No correlation was found with company\\nsize.","author":[{"dropping-particle":"","family":"Deysel","given":"B","non-dropping-particle":"","parse-names":false,"suffix":""},{"dropping-particle":"","family":"Kruger","given":"J","non-dropping-particle":"","parse-names":false,"suffix":""}],"container-title":"Southern African Business Review","id":"ITEM-1","issue":"1","issued":{"date-parts":[["2015"]]},"page":"169","title":"The relationship between South African CEO compensation and company performance in the banking industry","type":"article-journal","volume":"19"},"uris":["http://www.mendeley.com/documents/?uuid=04943ffd-1e44-48b5-8b50-28a638700f31"]},{"id":"ITEM-2","itemData":{"DOI":"10.1111/j.1468-036X.2013.12024.x","ISSN":"13547798","abstract":"Beginning in 2014, the European Union (EU) will limit the amount of bankers' bonuses to the amount of fixed remuneration; the cap could be increased to 2:1 with the backing of a supermajority of shareholders. I demonstrate that the pending EU regulations restrictions will: (1) increase rather than decrease incentives for excessive risk taking; (2) result in significant increase in fixed remuneration; (3) reduce incentives to create value; (4) reduce the competitiveness of the EU banking sector; and (5) result in a general degradation in the quality of EU investment bankers, thereby decreasing access to capital and increasing the cost of capital.","author":[{"dropping-particle":"","family":"Murphy","given":"Kevin J.","non-dropping-particle":"","parse-names":false,"suffix":""}],"container-title":"European Financial Management","id":"ITEM-2","issue":"4","issued":{"date-parts":[["2013"]]},"page":"631-657","title":"Regulating banking bonuses in the european union: A case study in unintended consequences","type":"article-journal","volume":"19"},"uris":["http://www.mendeley.com/documents/?uuid=bddf21ba-47e7-4e58-a638-ff8ee365948b"]}],"mendeley":{"formattedCitation":"(Deysel &amp; Kruger, 2015; Murphy, 2013)","plainTextFormattedCitation":"(Deysel &amp; Kruger, 2015; Murphy, 2013)","previouslyFormattedCitation":"(Deysel &amp; Kruger, 2015; Murphy, 2013)"},"properties":{"noteIndex":0},"schema":"https://github.com/citation-style-language/schema/raw/master/csl-citation.json"}</w:instrText>
      </w:r>
      <w:r w:rsidR="00E67D18" w:rsidRPr="00AE0B3D">
        <w:rPr>
          <w:rFonts w:cs="Times New Roman"/>
        </w:rPr>
        <w:fldChar w:fldCharType="separate"/>
      </w:r>
      <w:r w:rsidR="008F697F" w:rsidRPr="00AE0B3D">
        <w:rPr>
          <w:rFonts w:cs="Times New Roman"/>
          <w:noProof/>
        </w:rPr>
        <w:t>(Deysel &amp; Kruger, 2015; Murphy, 2013)</w:t>
      </w:r>
      <w:r w:rsidR="00E67D18" w:rsidRPr="00AE0B3D">
        <w:rPr>
          <w:rFonts w:cs="Times New Roman"/>
        </w:rPr>
        <w:fldChar w:fldCharType="end"/>
      </w:r>
      <w:r w:rsidR="00AE32D4" w:rsidRPr="00AE0B3D">
        <w:rPr>
          <w:rFonts w:cs="Times New Roman"/>
        </w:rPr>
        <w:t xml:space="preserve">. </w:t>
      </w:r>
    </w:p>
    <w:p w14:paraId="069C45EB" w14:textId="568C27BB" w:rsidR="0032680D" w:rsidRPr="00AE0B3D" w:rsidRDefault="006572A8" w:rsidP="00B1665B">
      <w:pPr>
        <w:rPr>
          <w:rFonts w:cs="Times New Roman"/>
        </w:rPr>
      </w:pPr>
      <w:r w:rsidRPr="00AE0B3D">
        <w:rPr>
          <w:rFonts w:cs="Times New Roman"/>
        </w:rPr>
        <w:t xml:space="preserve">The relationship between </w:t>
      </w:r>
      <w:r w:rsidR="00386EBE" w:rsidRPr="00AE0B3D">
        <w:rPr>
          <w:rFonts w:cs="Times New Roman"/>
        </w:rPr>
        <w:t xml:space="preserve">remuneration or compensation with the performance of the organization </w:t>
      </w:r>
      <w:r w:rsidR="00386EBE" w:rsidRPr="00AE0B3D">
        <w:rPr>
          <w:rFonts w:cs="Times New Roman"/>
          <w:noProof/>
        </w:rPr>
        <w:t>ha</w:t>
      </w:r>
      <w:r w:rsidR="0087121D" w:rsidRPr="00AE0B3D">
        <w:rPr>
          <w:rFonts w:cs="Times New Roman"/>
          <w:noProof/>
        </w:rPr>
        <w:t>s</w:t>
      </w:r>
      <w:r w:rsidR="00386EBE" w:rsidRPr="00AE0B3D">
        <w:rPr>
          <w:rFonts w:cs="Times New Roman"/>
        </w:rPr>
        <w:t xml:space="preserve"> been inconsistent with other research</w:t>
      </w:r>
      <w:r w:rsidR="003A5A92" w:rsidRPr="00AE0B3D">
        <w:rPr>
          <w:rFonts w:cs="Times New Roman"/>
        </w:rPr>
        <w:t xml:space="preserve"> studies</w:t>
      </w:r>
      <w:r w:rsidR="00386EBE" w:rsidRPr="00AE0B3D">
        <w:rPr>
          <w:rFonts w:cs="Times New Roman"/>
        </w:rPr>
        <w:t xml:space="preserve"> finding negative, weak or no relationship. The correlation between </w:t>
      </w:r>
      <w:r w:rsidR="0087121D" w:rsidRPr="00AE0B3D">
        <w:rPr>
          <w:rFonts w:cs="Times New Roman"/>
        </w:rPr>
        <w:t xml:space="preserve">the </w:t>
      </w:r>
      <w:r w:rsidR="00386EBE" w:rsidRPr="00AE0B3D">
        <w:rPr>
          <w:rFonts w:cs="Times New Roman"/>
          <w:noProof/>
        </w:rPr>
        <w:t>financial</w:t>
      </w:r>
      <w:r w:rsidR="00386EBE" w:rsidRPr="00AE0B3D">
        <w:rPr>
          <w:rFonts w:cs="Times New Roman"/>
        </w:rPr>
        <w:t xml:space="preserve"> performance of the organization and the compensation of the management is weak and differ with industry. </w:t>
      </w:r>
      <w:r w:rsidR="00386EBE" w:rsidRPr="00AE0B3D">
        <w:rPr>
          <w:rFonts w:cs="Times New Roman"/>
          <w:noProof/>
        </w:rPr>
        <w:t xml:space="preserve">Lindström </w:t>
      </w:r>
      <w:r w:rsidR="00F739EC" w:rsidRPr="00AE0B3D">
        <w:rPr>
          <w:rFonts w:cs="Times New Roman"/>
          <w:noProof/>
        </w:rPr>
        <w:t>and</w:t>
      </w:r>
      <w:r w:rsidR="00386EBE" w:rsidRPr="00AE0B3D">
        <w:rPr>
          <w:rFonts w:cs="Times New Roman"/>
          <w:noProof/>
        </w:rPr>
        <w:t xml:space="preserve"> Svensson</w:t>
      </w:r>
      <w:r w:rsidR="00F739EC" w:rsidRPr="00AE0B3D">
        <w:rPr>
          <w:rFonts w:cs="Times New Roman"/>
          <w:noProof/>
        </w:rPr>
        <w:t xml:space="preserve"> </w:t>
      </w:r>
      <w:r w:rsidR="00F42718" w:rsidRPr="00AE0B3D">
        <w:rPr>
          <w:rFonts w:cs="Times New Roman"/>
          <w:noProof/>
        </w:rPr>
        <w:t>(2016)</w:t>
      </w:r>
      <w:r w:rsidR="00F739EC" w:rsidRPr="00AE0B3D">
        <w:rPr>
          <w:rFonts w:cs="Times New Roman"/>
        </w:rPr>
        <w:t xml:space="preserve"> identif</w:t>
      </w:r>
      <w:r w:rsidR="00F03219" w:rsidRPr="00AE0B3D">
        <w:rPr>
          <w:rFonts w:cs="Times New Roman"/>
        </w:rPr>
        <w:t>ied</w:t>
      </w:r>
      <w:r w:rsidR="00F739EC" w:rsidRPr="00AE0B3D">
        <w:rPr>
          <w:rFonts w:cs="Times New Roman"/>
        </w:rPr>
        <w:t xml:space="preserve"> that </w:t>
      </w:r>
      <w:r w:rsidR="007E4A0E" w:rsidRPr="00AE0B3D">
        <w:rPr>
          <w:rFonts w:cs="Times New Roman"/>
        </w:rPr>
        <w:t xml:space="preserve">context is important in the relationship </w:t>
      </w:r>
      <w:r w:rsidR="008E03B5" w:rsidRPr="00AE0B3D">
        <w:rPr>
          <w:rFonts w:cs="Times New Roman"/>
        </w:rPr>
        <w:t xml:space="preserve">between </w:t>
      </w:r>
      <w:r w:rsidR="00B96BD3" w:rsidRPr="00AE0B3D">
        <w:rPr>
          <w:rFonts w:cs="Times New Roman"/>
        </w:rPr>
        <w:t xml:space="preserve">management </w:t>
      </w:r>
      <w:r w:rsidR="008E03B5" w:rsidRPr="00AE0B3D">
        <w:rPr>
          <w:rFonts w:cs="Times New Roman"/>
        </w:rPr>
        <w:t>compensation</w:t>
      </w:r>
      <w:r w:rsidR="007E4A0E" w:rsidRPr="00AE0B3D">
        <w:rPr>
          <w:rFonts w:cs="Times New Roman"/>
        </w:rPr>
        <w:t xml:space="preserve"> and organization </w:t>
      </w:r>
      <w:r w:rsidR="004363DD" w:rsidRPr="00AE0B3D">
        <w:rPr>
          <w:rFonts w:cs="Times New Roman"/>
        </w:rPr>
        <w:t>performance</w:t>
      </w:r>
      <w:r w:rsidR="007E4A0E" w:rsidRPr="00AE0B3D">
        <w:rPr>
          <w:rFonts w:cs="Times New Roman"/>
        </w:rPr>
        <w:t xml:space="preserve">. </w:t>
      </w:r>
      <w:r w:rsidR="00B96BD3" w:rsidRPr="00AE0B3D">
        <w:rPr>
          <w:rFonts w:cs="Times New Roman"/>
        </w:rPr>
        <w:t xml:space="preserve">In Swedish </w:t>
      </w:r>
      <w:r w:rsidR="00425E03" w:rsidRPr="00AE0B3D">
        <w:rPr>
          <w:rFonts w:cs="Times New Roman"/>
        </w:rPr>
        <w:t>companies’</w:t>
      </w:r>
      <w:r w:rsidR="00B96BD3" w:rsidRPr="00AE0B3D">
        <w:rPr>
          <w:rFonts w:cs="Times New Roman"/>
        </w:rPr>
        <w:t xml:space="preserve"> incentive for management had no relationship with organization </w:t>
      </w:r>
      <w:r w:rsidR="00425E03" w:rsidRPr="00AE0B3D">
        <w:rPr>
          <w:rFonts w:cs="Times New Roman"/>
        </w:rPr>
        <w:t>performance</w:t>
      </w:r>
      <w:r w:rsidR="00B96BD3" w:rsidRPr="00AE0B3D">
        <w:rPr>
          <w:rFonts w:cs="Times New Roman"/>
        </w:rPr>
        <w:t xml:space="preserve"> </w:t>
      </w:r>
      <w:r w:rsidR="00425E03" w:rsidRPr="00AE0B3D">
        <w:rPr>
          <w:rFonts w:cs="Times New Roman"/>
        </w:rPr>
        <w:t xml:space="preserve">which </w:t>
      </w:r>
      <w:r w:rsidR="00425E03" w:rsidRPr="00AE0B3D">
        <w:rPr>
          <w:rFonts w:cs="Times New Roman"/>
          <w:noProof/>
        </w:rPr>
        <w:t>contrast</w:t>
      </w:r>
      <w:r w:rsidR="0087121D" w:rsidRPr="00AE0B3D">
        <w:rPr>
          <w:rFonts w:cs="Times New Roman"/>
          <w:noProof/>
        </w:rPr>
        <w:t>s</w:t>
      </w:r>
      <w:r w:rsidR="00425E03" w:rsidRPr="00AE0B3D">
        <w:rPr>
          <w:rFonts w:cs="Times New Roman"/>
        </w:rPr>
        <w:t xml:space="preserve"> finding</w:t>
      </w:r>
      <w:r w:rsidR="00F03219" w:rsidRPr="00AE0B3D">
        <w:rPr>
          <w:rFonts w:cs="Times New Roman"/>
        </w:rPr>
        <w:t>s</w:t>
      </w:r>
      <w:r w:rsidR="00425E03" w:rsidRPr="00AE0B3D">
        <w:rPr>
          <w:rFonts w:cs="Times New Roman"/>
        </w:rPr>
        <w:t xml:space="preserve"> of</w:t>
      </w:r>
      <w:r w:rsidR="00F03219" w:rsidRPr="00AE0B3D">
        <w:rPr>
          <w:rFonts w:cs="Times New Roman"/>
        </w:rPr>
        <w:t xml:space="preserve"> research done for</w:t>
      </w:r>
      <w:r w:rsidR="00425E03" w:rsidRPr="00AE0B3D">
        <w:rPr>
          <w:rFonts w:cs="Times New Roman"/>
        </w:rPr>
        <w:t xml:space="preserve"> </w:t>
      </w:r>
      <w:r w:rsidR="00425E03" w:rsidRPr="00AE0B3D">
        <w:rPr>
          <w:rFonts w:cs="Times New Roman"/>
          <w:noProof/>
        </w:rPr>
        <w:t>USA</w:t>
      </w:r>
      <w:r w:rsidR="00425E03" w:rsidRPr="00AE0B3D">
        <w:rPr>
          <w:rFonts w:cs="Times New Roman"/>
        </w:rPr>
        <w:t xml:space="preserve"> and British companies</w:t>
      </w:r>
      <w:r w:rsidR="00B77A27" w:rsidRPr="00AE0B3D">
        <w:rPr>
          <w:rFonts w:cs="Times New Roman"/>
        </w:rPr>
        <w:t xml:space="preserve"> </w:t>
      </w:r>
      <w:r w:rsidR="00ED4D8E" w:rsidRPr="00AE0B3D">
        <w:rPr>
          <w:rFonts w:cs="Times New Roman"/>
        </w:rPr>
        <w:fldChar w:fldCharType="begin" w:fldLock="1"/>
      </w:r>
      <w:r w:rsidR="00C47F10" w:rsidRPr="00AE0B3D">
        <w:rPr>
          <w:rFonts w:cs="Times New Roman"/>
        </w:rPr>
        <w:instrText>ADDIN CSL_CITATION {"citationItems":[{"id":"ITEM-1","itemData":{"author":[{"dropping-particle":"","family":"Lindström","given":"Anna","non-dropping-particle":"","parse-names":false,"suffix":""},{"dropping-particle":"","family":"Svensson","given":"Johanna","non-dropping-particle":"","parse-names":false,"suffix":""}],"id":"ITEM-1","issued":{"date-parts":[["2016"]]},"title":"Top management compensation and firm performance - A matter of context ?","type":"article-journal"},"uris":["http://www.mendeley.com/documents/?uuid=9705f8f7-84e6-4bbc-bead-b13e296f34fb"]}],"mendeley":{"formattedCitation":"(Lindström &amp; Svensson, 2016)","plainTextFormattedCitation":"(Lindström &amp; Svensson, 2016)","previouslyFormattedCitation":"(Lindström &amp; Svensson, 2016)"},"properties":{"noteIndex":0},"schema":"https://github.com/citation-style-language/schema/raw/master/csl-citation.json"}</w:instrText>
      </w:r>
      <w:r w:rsidR="00ED4D8E" w:rsidRPr="00AE0B3D">
        <w:rPr>
          <w:rFonts w:cs="Times New Roman"/>
        </w:rPr>
        <w:fldChar w:fldCharType="separate"/>
      </w:r>
      <w:r w:rsidR="00ED4D8E" w:rsidRPr="00AE0B3D">
        <w:rPr>
          <w:rFonts w:cs="Times New Roman"/>
          <w:noProof/>
        </w:rPr>
        <w:t>(Lindström &amp; Svensson, 2016)</w:t>
      </w:r>
      <w:r w:rsidR="00ED4D8E" w:rsidRPr="00AE0B3D">
        <w:rPr>
          <w:rFonts w:cs="Times New Roman"/>
        </w:rPr>
        <w:fldChar w:fldCharType="end"/>
      </w:r>
      <w:r w:rsidR="00425E03" w:rsidRPr="00AE0B3D">
        <w:rPr>
          <w:rFonts w:cs="Times New Roman"/>
        </w:rPr>
        <w:t>.</w:t>
      </w:r>
      <w:r w:rsidR="00493D34" w:rsidRPr="00AE0B3D">
        <w:rPr>
          <w:rFonts w:cs="Times New Roman"/>
        </w:rPr>
        <w:t xml:space="preserve"> </w:t>
      </w:r>
      <w:r w:rsidR="00651807" w:rsidRPr="00AE0B3D">
        <w:rPr>
          <w:rFonts w:cs="Times New Roman"/>
        </w:rPr>
        <w:t>E</w:t>
      </w:r>
      <w:r w:rsidR="00A47C4D" w:rsidRPr="00AE0B3D">
        <w:rPr>
          <w:rFonts w:cs="Times New Roman"/>
        </w:rPr>
        <w:t xml:space="preserve">xcess compensation of management has </w:t>
      </w:r>
      <w:r w:rsidR="0087121D" w:rsidRPr="00AE0B3D">
        <w:rPr>
          <w:rFonts w:cs="Times New Roman"/>
        </w:rPr>
        <w:t xml:space="preserve">a </w:t>
      </w:r>
      <w:r w:rsidR="00A47C4D" w:rsidRPr="00AE0B3D">
        <w:rPr>
          <w:rFonts w:cs="Times New Roman"/>
          <w:noProof/>
        </w:rPr>
        <w:t>negative</w:t>
      </w:r>
      <w:r w:rsidR="00A47C4D" w:rsidRPr="00AE0B3D">
        <w:rPr>
          <w:rFonts w:cs="Times New Roman"/>
        </w:rPr>
        <w:t xml:space="preserve"> impact on the performance of the organization. </w:t>
      </w:r>
      <w:r w:rsidR="00665E6E" w:rsidRPr="00AE0B3D">
        <w:rPr>
          <w:rFonts w:cs="Times New Roman"/>
        </w:rPr>
        <w:t>The research was based on historical data of the companies that were studied in the research</w:t>
      </w:r>
      <w:r w:rsidR="004142D9" w:rsidRPr="00AE0B3D">
        <w:rPr>
          <w:rFonts w:cs="Times New Roman"/>
        </w:rPr>
        <w:t xml:space="preserve"> </w:t>
      </w:r>
      <w:r w:rsidR="009B5D5E" w:rsidRPr="00AE0B3D">
        <w:rPr>
          <w:rFonts w:cs="Times New Roman"/>
        </w:rPr>
        <w:fldChar w:fldCharType="begin" w:fldLock="1"/>
      </w:r>
      <w:r w:rsidR="00955099">
        <w:rPr>
          <w:rFonts w:cs="Times New Roman"/>
        </w:rPr>
        <w:instrText>ADDIN CSL_CITATION {"citationItems":[{"id":"ITEM-1","itemData":{"author":[{"dropping-particle":"","family":"Brick","given":"Ivan E","non-dropping-particle":"","parse-names":false,"suffix":""},{"dropping-particle":"","family":"Palmon","given":"Oded","non-dropping-particle":"","parse-names":false,"suffix":""},{"dropping-particle":"","family":"Wald","given":"John K","non-dropping-particle":"","parse-names":false,"suffix":""}],"container-title":"Journal of Corporate Finance","id":"ITEM-1","issue":"3","issued":{"date-parts":[["2006"]]},"page":"403-423","title":"CEO Compensation, Director Compensation, and Firm Performance","type":"article-journal","volume":"12"},"uris":["http://www.mendeley.com/documents/?uuid=32924346-54bd-40c7-89d5-f52d0b7822ec"]}],"mendeley":{"formattedCitation":"(Brick et al., 2006)","manualFormatting":"(Brick et al, 2006)","plainTextFormattedCitation":"(Brick et al., 2006)","previouslyFormattedCitation":"(Brick et al., 2006)"},"properties":{"noteIndex":0},"schema":"https://github.com/citation-style-language/schema/raw/master/csl-citation.json"}</w:instrText>
      </w:r>
      <w:r w:rsidR="009B5D5E" w:rsidRPr="00AE0B3D">
        <w:rPr>
          <w:rFonts w:cs="Times New Roman"/>
        </w:rPr>
        <w:fldChar w:fldCharType="separate"/>
      </w:r>
      <w:r w:rsidR="00BE3A73">
        <w:rPr>
          <w:rFonts w:cs="Times New Roman"/>
          <w:noProof/>
        </w:rPr>
        <w:t>(Brick</w:t>
      </w:r>
      <w:r w:rsidR="009B5D5E" w:rsidRPr="00AE0B3D">
        <w:rPr>
          <w:rFonts w:cs="Times New Roman"/>
          <w:noProof/>
        </w:rPr>
        <w:t xml:space="preserve"> </w:t>
      </w:r>
      <w:r w:rsidR="00BE3A73">
        <w:rPr>
          <w:rFonts w:cs="Times New Roman"/>
          <w:noProof/>
        </w:rPr>
        <w:t>et al</w:t>
      </w:r>
      <w:r w:rsidR="009B5D5E" w:rsidRPr="00AE0B3D">
        <w:rPr>
          <w:rFonts w:cs="Times New Roman"/>
          <w:noProof/>
        </w:rPr>
        <w:t>, 2006)</w:t>
      </w:r>
      <w:r w:rsidR="009B5D5E" w:rsidRPr="00AE0B3D">
        <w:rPr>
          <w:rFonts w:cs="Times New Roman"/>
        </w:rPr>
        <w:fldChar w:fldCharType="end"/>
      </w:r>
      <w:r w:rsidR="00665E6E" w:rsidRPr="00AE0B3D">
        <w:rPr>
          <w:rFonts w:cs="Times New Roman"/>
        </w:rPr>
        <w:t xml:space="preserve">. The influence </w:t>
      </w:r>
      <w:r w:rsidR="00B313C2" w:rsidRPr="00AE0B3D">
        <w:rPr>
          <w:rFonts w:cs="Times New Roman"/>
        </w:rPr>
        <w:t xml:space="preserve">of compensation on the financial </w:t>
      </w:r>
      <w:r w:rsidR="001C00EE" w:rsidRPr="00AE0B3D">
        <w:rPr>
          <w:rFonts w:cs="Times New Roman"/>
        </w:rPr>
        <w:t>performance</w:t>
      </w:r>
      <w:r w:rsidR="00B313C2" w:rsidRPr="00AE0B3D">
        <w:rPr>
          <w:rFonts w:cs="Times New Roman"/>
        </w:rPr>
        <w:t xml:space="preserve"> of organization from the review point for </w:t>
      </w:r>
      <w:r w:rsidR="00B313C2" w:rsidRPr="00AE0B3D">
        <w:rPr>
          <w:rFonts w:cs="Times New Roman"/>
          <w:noProof/>
        </w:rPr>
        <w:t>existence</w:t>
      </w:r>
      <w:r w:rsidR="00B313C2" w:rsidRPr="00AE0B3D">
        <w:rPr>
          <w:rFonts w:cs="Times New Roman"/>
        </w:rPr>
        <w:t xml:space="preserve"> of inconsistencies which requires more research to iron out </w:t>
      </w:r>
      <w:r w:rsidR="00391820" w:rsidRPr="00AE0B3D">
        <w:rPr>
          <w:rFonts w:cs="Times New Roman"/>
        </w:rPr>
        <w:t>issues that bring about differences and misunderstanding</w:t>
      </w:r>
      <w:r w:rsidR="00AD6C44" w:rsidRPr="00AE0B3D">
        <w:rPr>
          <w:rFonts w:cs="Times New Roman"/>
        </w:rPr>
        <w:t xml:space="preserve"> </w:t>
      </w:r>
      <w:r w:rsidR="00AD6C44" w:rsidRPr="00AE0B3D">
        <w:rPr>
          <w:rFonts w:cs="Times New Roman"/>
        </w:rPr>
        <w:fldChar w:fldCharType="begin" w:fldLock="1"/>
      </w:r>
      <w:r w:rsidR="00CE164C" w:rsidRPr="00AE0B3D">
        <w:rPr>
          <w:rFonts w:cs="Times New Roman"/>
        </w:rPr>
        <w:instrText>ADDIN CSL_CITATION {"citationItems":[{"id":"ITEM-1","itemData":{"DOI":"10.1016/j.jcorpfin.2014.12.016","ISBN":"09291199","ISSN":"09291199","PMID":"101000450","abstract":"I study the relationship between chief executive compensation, organizational performance, and governance quality in large U.S. nonprofits. Due in large part to the absence of shareholders, the nonprofit sector is characterized by weaker monitoring mechanisms and potentially more severe agency problems relative to their for-profit counterparts. As a result, there have been numerous instances of executive abuse, such as exorbitant pay for very little work. Despite the size of the nonprofit sector (5.5% of GDP and 9% of employment) and the obvious monitoring and legal responsibility concerns, governance issues at nonprofits have received much less attention than that at for-profits. Using recent IRS data on governance practices at nonprofits, I find that, after controlling for known determinants, both the CEO-to-employee relative pay ratio and the consumption of perquisites are significantly negatively related to an index of nonprofit governance quality. Furthermore, consistent with governance problems at nonprofits and inconsistent with the Pay-for-Performance Hypothesis, I find a significantly negative relationship between CEO-to-employee relative pay and multiple measures of nonprofit performance. These results highlight the importance of strong governance mechanisms in mitigating high levels of relative pay to and poor performance by executives in organizations marred by severe agency conflicts and ineffective monitoring mechanisms.","author":[{"dropping-particle":"","family":"Newton","given":"Ashley N.","non-dropping-particle":"","parse-names":false,"suffix":""}],"container-title":"Journal of Corporate Finance","id":"ITEM-1","issue":"2015","issued":{"date-parts":[["2015"]]},"page":"195-222","publisher":"Elsevier B.V.","title":"Executive compensation, organizational performance, and governance quality in the absence of owners","type":"article-journal","volume":"30"},"uris":["http://www.mendeley.com/documents/?uuid=7c8f6561-3b46-4b08-82ba-7742e5c986b4"]}],"mendeley":{"formattedCitation":"(Newton, 2015)","plainTextFormattedCitation":"(Newton, 2015)","previouslyFormattedCitation":"(Newton, 2015)"},"properties":{"noteIndex":0},"schema":"https://github.com/citation-style-language/schema/raw/master/csl-citation.json"}</w:instrText>
      </w:r>
      <w:r w:rsidR="00AD6C44" w:rsidRPr="00AE0B3D">
        <w:rPr>
          <w:rFonts w:cs="Times New Roman"/>
        </w:rPr>
        <w:fldChar w:fldCharType="separate"/>
      </w:r>
      <w:r w:rsidR="00AD6C44" w:rsidRPr="00AE0B3D">
        <w:rPr>
          <w:rFonts w:cs="Times New Roman"/>
          <w:noProof/>
        </w:rPr>
        <w:t>(Newton, 2015)</w:t>
      </w:r>
      <w:r w:rsidR="00AD6C44" w:rsidRPr="00AE0B3D">
        <w:rPr>
          <w:rFonts w:cs="Times New Roman"/>
        </w:rPr>
        <w:fldChar w:fldCharType="end"/>
      </w:r>
      <w:r w:rsidR="00391820" w:rsidRPr="00AE0B3D">
        <w:rPr>
          <w:rFonts w:cs="Times New Roman"/>
        </w:rPr>
        <w:t xml:space="preserve">. </w:t>
      </w:r>
    </w:p>
    <w:p w14:paraId="1F2AEDE3" w14:textId="77777777" w:rsidR="00551170" w:rsidRPr="00AE0B3D" w:rsidRDefault="00551170" w:rsidP="005E7658">
      <w:pPr>
        <w:pStyle w:val="Heading2"/>
        <w:rPr>
          <w:rFonts w:cs="Times New Roman"/>
        </w:rPr>
      </w:pPr>
      <w:bookmarkStart w:id="55" w:name="_Toc78067517"/>
      <w:r w:rsidRPr="00AE0B3D">
        <w:rPr>
          <w:rFonts w:cs="Times New Roman"/>
        </w:rPr>
        <w:lastRenderedPageBreak/>
        <w:t>Cha</w:t>
      </w:r>
      <w:r w:rsidR="00CE7CD0" w:rsidRPr="00AE0B3D">
        <w:rPr>
          <w:rFonts w:cs="Times New Roman"/>
        </w:rPr>
        <w:t xml:space="preserve">llenges </w:t>
      </w:r>
      <w:r w:rsidR="0036439E" w:rsidRPr="00AE0B3D">
        <w:rPr>
          <w:rFonts w:cs="Times New Roman"/>
        </w:rPr>
        <w:t>F</w:t>
      </w:r>
      <w:r w:rsidR="009F14DB" w:rsidRPr="00AE0B3D">
        <w:rPr>
          <w:rFonts w:cs="Times New Roman"/>
        </w:rPr>
        <w:t xml:space="preserve">acing </w:t>
      </w:r>
      <w:r w:rsidR="0036439E" w:rsidRPr="00AE0B3D">
        <w:rPr>
          <w:rFonts w:cs="Times New Roman"/>
        </w:rPr>
        <w:t>C</w:t>
      </w:r>
      <w:r w:rsidRPr="00AE0B3D">
        <w:rPr>
          <w:rFonts w:cs="Times New Roman"/>
        </w:rPr>
        <w:t>ompensation</w:t>
      </w:r>
      <w:r w:rsidR="009F14DB" w:rsidRPr="00AE0B3D">
        <w:rPr>
          <w:rFonts w:cs="Times New Roman"/>
        </w:rPr>
        <w:t xml:space="preserve"> as</w:t>
      </w:r>
      <w:r w:rsidRPr="00AE0B3D">
        <w:rPr>
          <w:rFonts w:cs="Times New Roman"/>
        </w:rPr>
        <w:t xml:space="preserve"> </w:t>
      </w:r>
      <w:r w:rsidR="0036439E" w:rsidRPr="00AE0B3D">
        <w:rPr>
          <w:rFonts w:cs="Times New Roman"/>
        </w:rPr>
        <w:t>F</w:t>
      </w:r>
      <w:r w:rsidR="00BF62DD" w:rsidRPr="00AE0B3D">
        <w:rPr>
          <w:rFonts w:cs="Times New Roman"/>
        </w:rPr>
        <w:t xml:space="preserve">inancial </w:t>
      </w:r>
      <w:r w:rsidR="0036439E" w:rsidRPr="00AE0B3D">
        <w:rPr>
          <w:rFonts w:cs="Times New Roman"/>
        </w:rPr>
        <w:t>P</w:t>
      </w:r>
      <w:r w:rsidR="009F14DB" w:rsidRPr="00AE0B3D">
        <w:rPr>
          <w:rFonts w:cs="Times New Roman"/>
        </w:rPr>
        <w:t xml:space="preserve">erformance </w:t>
      </w:r>
      <w:r w:rsidR="0036439E" w:rsidRPr="00AE0B3D">
        <w:rPr>
          <w:rFonts w:cs="Times New Roman"/>
        </w:rPr>
        <w:t>S</w:t>
      </w:r>
      <w:r w:rsidR="009F14DB" w:rsidRPr="00AE0B3D">
        <w:rPr>
          <w:rFonts w:cs="Times New Roman"/>
        </w:rPr>
        <w:t>trategy</w:t>
      </w:r>
      <w:bookmarkEnd w:id="55"/>
      <w:r w:rsidR="009F14DB" w:rsidRPr="00AE0B3D">
        <w:rPr>
          <w:rFonts w:cs="Times New Roman"/>
        </w:rPr>
        <w:t xml:space="preserve"> </w:t>
      </w:r>
    </w:p>
    <w:p w14:paraId="70659229" w14:textId="05708D5C" w:rsidR="001336FF" w:rsidRPr="00AE0B3D" w:rsidRDefault="004F5606" w:rsidP="00BF62DD">
      <w:pPr>
        <w:rPr>
          <w:rFonts w:cs="Times New Roman"/>
        </w:rPr>
      </w:pPr>
      <w:r w:rsidRPr="00AE0B3D">
        <w:rPr>
          <w:rFonts w:cs="Times New Roman"/>
        </w:rPr>
        <w:t xml:space="preserve">There are some limiting factors that </w:t>
      </w:r>
      <w:r w:rsidRPr="00AE0B3D">
        <w:rPr>
          <w:rFonts w:cs="Times New Roman"/>
          <w:noProof/>
        </w:rPr>
        <w:t>limit</w:t>
      </w:r>
      <w:r w:rsidRPr="00AE0B3D">
        <w:rPr>
          <w:rFonts w:cs="Times New Roman"/>
        </w:rPr>
        <w:t xml:space="preserve"> the adoption </w:t>
      </w:r>
      <w:r w:rsidR="009A3C47" w:rsidRPr="00AE0B3D">
        <w:rPr>
          <w:rFonts w:cs="Times New Roman"/>
        </w:rPr>
        <w:t xml:space="preserve">and success of compensation strategies in motivating employees’ performance and overall organization performance. </w:t>
      </w:r>
      <w:r w:rsidR="009A3C47" w:rsidRPr="00AE0B3D">
        <w:rPr>
          <w:rFonts w:cs="Times New Roman"/>
          <w:noProof/>
        </w:rPr>
        <w:t>Luo and Jackson</w:t>
      </w:r>
      <w:r w:rsidR="001B0F84" w:rsidRPr="00AE0B3D">
        <w:rPr>
          <w:rFonts w:cs="Times New Roman"/>
          <w:noProof/>
        </w:rPr>
        <w:t xml:space="preserve"> </w:t>
      </w:r>
      <w:r w:rsidR="001B0F84" w:rsidRPr="00AE0B3D">
        <w:rPr>
          <w:rFonts w:cs="Times New Roman"/>
          <w:noProof/>
        </w:rPr>
        <w:fldChar w:fldCharType="begin" w:fldLock="1"/>
      </w:r>
      <w:r w:rsidR="00517080" w:rsidRPr="00AE0B3D">
        <w:rPr>
          <w:rFonts w:cs="Times New Roman"/>
          <w:noProof/>
        </w:rPr>
        <w:instrText>ADDIN CSL_CITATION {"citationItems":[{"id":"ITEM-1","itemData":{"DOI":"10.2139/ssrn.1893554","abstract":"Executive compensation in the U.S. banking industry has been criticized as a root cause of the recent financial crisis. This study examines the relationship between executive compensation, ownership structure, and firm performance for Chinese financial corporations during 2001-2009. The results reveal that executive compensation in Chinese banks follows a relation-based rather than a market-based contract. There is little evidence in support of the pay-for-performance setting for Chinese executive compensation. Ownership concentration has significantly negative impacts while firm size has significantly positive impacts on CEO compensation. Further, the involvement of state ownership tends to limit executive compensation, while the compensation committee is friendly and enhances management compensation. The results suggest that the government or regulation may ensure efficient corporate governance in business activity as a helping hand when corporate governance is weak.","author":[{"dropping-particle":"","family":"Luo","given":"Yongli","non-dropping-particle":"","parse-names":false,"suffix":""},{"dropping-particle":"","family":"Jackson","given":"Dave","non-dropping-particle":"","parse-names":false,"suffix":""}],"container-title":"Ssrn","id":"ITEM-1","issued":{"date-parts":[["2011"]]},"page":"56-74","title":"Executive Compensation, Ownership Structure and Firm Performance in Chinese Financial Corporations","type":"article-journal"},"uris":["http://www.mendeley.com/documents/?uuid=bb02e78d-ef0b-48df-8059-41f8bc0a40a3"]}],"mendeley":{"formattedCitation":"(Luo &amp; Jackson, 2011)","manualFormatting":"(2011)","plainTextFormattedCitation":"(Luo &amp; Jackson, 2011)","previouslyFormattedCitation":"(Luo &amp; Jackson, 2011)"},"properties":{"noteIndex":0},"schema":"https://github.com/citation-style-language/schema/raw/master/csl-citation.json"}</w:instrText>
      </w:r>
      <w:r w:rsidR="001B0F84" w:rsidRPr="00AE0B3D">
        <w:rPr>
          <w:rFonts w:cs="Times New Roman"/>
          <w:noProof/>
        </w:rPr>
        <w:fldChar w:fldCharType="separate"/>
      </w:r>
      <w:r w:rsidR="001B0F84" w:rsidRPr="00AE0B3D">
        <w:rPr>
          <w:rFonts w:cs="Times New Roman"/>
          <w:noProof/>
        </w:rPr>
        <w:t>(2011)</w:t>
      </w:r>
      <w:r w:rsidR="001B0F84" w:rsidRPr="00AE0B3D">
        <w:rPr>
          <w:rFonts w:cs="Times New Roman"/>
          <w:noProof/>
        </w:rPr>
        <w:fldChar w:fldCharType="end"/>
      </w:r>
      <w:r w:rsidR="009A3C47" w:rsidRPr="00AE0B3D">
        <w:rPr>
          <w:rFonts w:cs="Times New Roman"/>
        </w:rPr>
        <w:t xml:space="preserve"> identified </w:t>
      </w:r>
      <w:r w:rsidR="00715F75" w:rsidRPr="00AE0B3D">
        <w:rPr>
          <w:rFonts w:cs="Times New Roman"/>
        </w:rPr>
        <w:t xml:space="preserve">that state ownership and concentration of shareholders can limit the </w:t>
      </w:r>
      <w:r w:rsidR="001933FF" w:rsidRPr="00AE0B3D">
        <w:rPr>
          <w:rFonts w:cs="Times New Roman"/>
        </w:rPr>
        <w:t>management compensation</w:t>
      </w:r>
      <w:r w:rsidR="006636E4" w:rsidRPr="00AE0B3D">
        <w:rPr>
          <w:rFonts w:cs="Times New Roman"/>
        </w:rPr>
        <w:t xml:space="preserve"> strategy</w:t>
      </w:r>
      <w:r w:rsidR="00166D71" w:rsidRPr="00AE0B3D">
        <w:rPr>
          <w:rFonts w:cs="Times New Roman"/>
        </w:rPr>
        <w:t xml:space="preserve"> hence limit its influence of the organization performance</w:t>
      </w:r>
      <w:r w:rsidR="001933FF" w:rsidRPr="00AE0B3D">
        <w:rPr>
          <w:rFonts w:cs="Times New Roman"/>
        </w:rPr>
        <w:t xml:space="preserve">. </w:t>
      </w:r>
      <w:r w:rsidR="001931DB" w:rsidRPr="00AE0B3D">
        <w:rPr>
          <w:rFonts w:cs="Times New Roman"/>
        </w:rPr>
        <w:t xml:space="preserve">Compensation for performance is limited to organization growth and can result </w:t>
      </w:r>
      <w:r w:rsidR="0087121D" w:rsidRPr="00AE0B3D">
        <w:rPr>
          <w:rFonts w:cs="Times New Roman"/>
          <w:noProof/>
        </w:rPr>
        <w:t>in</w:t>
      </w:r>
      <w:r w:rsidR="001931DB" w:rsidRPr="00AE0B3D">
        <w:rPr>
          <w:rFonts w:cs="Times New Roman"/>
        </w:rPr>
        <w:t xml:space="preserve"> ethical </w:t>
      </w:r>
      <w:r w:rsidR="00803270" w:rsidRPr="00AE0B3D">
        <w:rPr>
          <w:rFonts w:cs="Times New Roman"/>
        </w:rPr>
        <w:t>and turnover issues when the organization is declining</w:t>
      </w:r>
      <w:r w:rsidR="003118BF" w:rsidRPr="00AE0B3D">
        <w:rPr>
          <w:rFonts w:cs="Times New Roman"/>
        </w:rPr>
        <w:t xml:space="preserve"> </w:t>
      </w:r>
      <w:r w:rsidR="00517080" w:rsidRPr="00AE0B3D">
        <w:rPr>
          <w:rFonts w:cs="Times New Roman"/>
        </w:rPr>
        <w:fldChar w:fldCharType="begin" w:fldLock="1"/>
      </w:r>
      <w:r w:rsidR="00955099">
        <w:rPr>
          <w:rFonts w:cs="Times New Roman"/>
        </w:rPr>
        <w:instrText>ADDIN CSL_CITATION {"citationItems":[{"id":"ITEM-1","itemData":{"DOI":"10.1002/smj","author":[{"dropping-particle":"","family":"Chng","given":"Daniel Han Ming","non-dropping-particle":"","parse-names":false,"suffix":""},{"dropping-particle":"","family":"Rodgers","given":"Matthew S.","non-dropping-particle":"","parse-names":false,"suffix":""},{"dropping-particle":"","family":"Shih","given":"Eric","non-dropping-particle":"","parse-names":false,"suffix":""},{"dropping-particle":"","family":"Song","given":"Xiao-Bing","non-dropping-particle":"","parse-names":false,"suffix":""}],"container-title":"Strategic Management Journal","id":"ITEM-1","issue":"August","issued":{"date-parts":[["2012"]]},"title":"Using Panel Data DEA to Measure CEOS ’ Focus of Attention: An Application to the Study of Cognitive Group Membership and Performance","type":"article-journal"},"uris":["http://www.mendeley.com/documents/?uuid=959b0508-cd50-4001-8464-964be32287f7"]}],"mendeley":{"formattedCitation":"(Chng et al., 2012)","manualFormatting":"(Chng et al, 2012)","plainTextFormattedCitation":"(Chng et al., 2012)","previouslyFormattedCitation":"(Chng et al., 2012)"},"properties":{"noteIndex":0},"schema":"https://github.com/citation-style-language/schema/raw/master/csl-citation.json"}</w:instrText>
      </w:r>
      <w:r w:rsidR="00517080" w:rsidRPr="00AE0B3D">
        <w:rPr>
          <w:rFonts w:cs="Times New Roman"/>
        </w:rPr>
        <w:fldChar w:fldCharType="separate"/>
      </w:r>
      <w:r w:rsidR="00BE3A73">
        <w:rPr>
          <w:rFonts w:cs="Times New Roman"/>
          <w:noProof/>
        </w:rPr>
        <w:t>(Chng et al</w:t>
      </w:r>
      <w:r w:rsidR="00517080" w:rsidRPr="00AE0B3D">
        <w:rPr>
          <w:rFonts w:cs="Times New Roman"/>
          <w:noProof/>
        </w:rPr>
        <w:t>, 2012)</w:t>
      </w:r>
      <w:r w:rsidR="00517080" w:rsidRPr="00AE0B3D">
        <w:rPr>
          <w:rFonts w:cs="Times New Roman"/>
        </w:rPr>
        <w:fldChar w:fldCharType="end"/>
      </w:r>
      <w:r w:rsidR="00517080" w:rsidRPr="00AE0B3D">
        <w:rPr>
          <w:rFonts w:cs="Times New Roman"/>
        </w:rPr>
        <w:t xml:space="preserve">. </w:t>
      </w:r>
    </w:p>
    <w:p w14:paraId="4CF4D237" w14:textId="602EFB6C" w:rsidR="00BF62DD" w:rsidRPr="00AE0B3D" w:rsidRDefault="00C04800" w:rsidP="00BF62DD">
      <w:pPr>
        <w:rPr>
          <w:rFonts w:cs="Times New Roman"/>
        </w:rPr>
      </w:pPr>
      <w:r w:rsidRPr="00AE0B3D">
        <w:rPr>
          <w:rFonts w:cs="Times New Roman"/>
        </w:rPr>
        <w:t xml:space="preserve">The </w:t>
      </w:r>
      <w:r w:rsidR="001336FF" w:rsidRPr="00AE0B3D">
        <w:rPr>
          <w:rFonts w:cs="Times New Roman"/>
        </w:rPr>
        <w:t>management of the organisation was also identified</w:t>
      </w:r>
      <w:r w:rsidR="00C61963" w:rsidRPr="00AE0B3D">
        <w:rPr>
          <w:rFonts w:cs="Times New Roman"/>
        </w:rPr>
        <w:t xml:space="preserve"> as the other important factor that influence the management compensation effectiveness on the performance of the organisation</w:t>
      </w:r>
      <w:r w:rsidR="00A37D43" w:rsidRPr="00AE0B3D">
        <w:rPr>
          <w:rFonts w:cs="Times New Roman"/>
        </w:rPr>
        <w:t xml:space="preserve"> </w:t>
      </w:r>
      <w:r w:rsidR="00A37D43" w:rsidRPr="00AE0B3D">
        <w:rPr>
          <w:rFonts w:cs="Times New Roman"/>
        </w:rPr>
        <w:fldChar w:fldCharType="begin" w:fldLock="1"/>
      </w:r>
      <w:r w:rsidR="00955099">
        <w:rPr>
          <w:rFonts w:cs="Times New Roman"/>
        </w:rPr>
        <w:instrText>ADDIN CSL_CITATION {"citationItems":[{"id":"ITEM-1","itemData":{"DOI":"10.1177/0149206311429378","ISSN":"0149-2063","abstract":"Although studies about the determinants of CEO compensation are ubiquitous, the balance of evidence for one of the more controversial theoretical approaches, managerial power theory, remains inconclusive. We provide a meta-analysis of 219 U.S.-based studies, focusing on the relationships between indicators of managerial power, and levels of CEO compensation and CEO pay-performance sensitivities. Our results indicate that managerial power theory is well-equipped for predicting core compensation variables like total cash and total compensation, but less so for predicting the sensitivity of pay to performance. In most situations where CEOs are expected to have power over the pay setting process, they receive significantly higher levels of total cash and total compensation. In contrast, where boards are expected to have more power, CEOs receive lower total cash and total compensation. In addition, powerful directors also appear to be able to establish tighter links between CEO compensation and firm performance, and can accomplish this even in the face of powerful CEOs. We discuss implications for theory and research regarding the determinants of executive compensation.","author":[{"dropping-particle":"Van","family":"Essen","given":"Marc","non-dropping-particle":"","parse-names":false,"suffix":""},{"dropping-particle":"","family":"Otten","given":"Jordan","non-dropping-particle":"","parse-names":false,"suffix":""},{"dropping-particle":"","family":"Carberry","given":"Edward J.","non-dropping-particle":"","parse-names":false,"suffix":""}],"container-title":"Journal of Management","id":"ITEM-1","issue":"1","issued":{"date-parts":[["2012"]]},"page":"164-202","title":"Assessing Managerial Power Theory","type":"article-journal","volume":"41"},"uris":["http://www.mendeley.com/documents/?uuid=ee9812ad-7792-4412-bb41-1c5f6e7cdebf"]}],"mendeley":{"formattedCitation":"(Essen et al., 2012)","manualFormatting":"(Essen et al, 2012)","plainTextFormattedCitation":"(Essen et al., 2012)","previouslyFormattedCitation":"(Essen et al., 2012)"},"properties":{"noteIndex":0},"schema":"https://github.com/citation-style-language/schema/raw/master/csl-citation.json"}</w:instrText>
      </w:r>
      <w:r w:rsidR="00A37D43" w:rsidRPr="00AE0B3D">
        <w:rPr>
          <w:rFonts w:cs="Times New Roman"/>
        </w:rPr>
        <w:fldChar w:fldCharType="separate"/>
      </w:r>
      <w:r w:rsidR="00BE3A73">
        <w:rPr>
          <w:rFonts w:cs="Times New Roman"/>
          <w:noProof/>
        </w:rPr>
        <w:t>(Essen et al</w:t>
      </w:r>
      <w:r w:rsidR="00CB3552" w:rsidRPr="00AE0B3D">
        <w:rPr>
          <w:rFonts w:cs="Times New Roman"/>
          <w:noProof/>
        </w:rPr>
        <w:t>, 2012)</w:t>
      </w:r>
      <w:r w:rsidR="00A37D43" w:rsidRPr="00AE0B3D">
        <w:rPr>
          <w:rFonts w:cs="Times New Roman"/>
        </w:rPr>
        <w:fldChar w:fldCharType="end"/>
      </w:r>
      <w:r w:rsidR="00C61963" w:rsidRPr="00AE0B3D">
        <w:rPr>
          <w:rFonts w:cs="Times New Roman"/>
        </w:rPr>
        <w:t xml:space="preserve">. </w:t>
      </w:r>
      <w:r w:rsidR="00A37D43" w:rsidRPr="00AE0B3D">
        <w:rPr>
          <w:rFonts w:cs="Times New Roman"/>
        </w:rPr>
        <w:t>The higher the power the board of management has, the lower the compensation of the organisation and this in turn can lower the effectiveness of the  compensation plan on the  management performance and the overall organisation performance</w:t>
      </w:r>
      <w:r w:rsidR="00CB3552" w:rsidRPr="00AE0B3D">
        <w:rPr>
          <w:rFonts w:cs="Times New Roman"/>
        </w:rPr>
        <w:t xml:space="preserve"> </w:t>
      </w:r>
      <w:r w:rsidR="00CB3552" w:rsidRPr="00AE0B3D">
        <w:rPr>
          <w:rFonts w:cs="Times New Roman"/>
        </w:rPr>
        <w:fldChar w:fldCharType="begin" w:fldLock="1"/>
      </w:r>
      <w:r w:rsidR="00C73B40" w:rsidRPr="00AE0B3D">
        <w:rPr>
          <w:rFonts w:cs="Times New Roman"/>
        </w:rPr>
        <w:instrText>ADDIN CSL_CITATION {"citationItems":[{"id":"ITEM-1","itemData":{"DOI":"10.1177/0149206311429378","ISSN":"0149-2063","abstract":"Although studies about the determinants of CEO compensation are ubiquitous, the balance of evidence for one of the more controversial theoretical approaches, managerial power theory, remains inconclusive. We provide a meta-analysis of 219 U.S.-based studies, focusing on the relationships between indicators of managerial power, and levels of CEO compensation and CEO pay-performance sensitivities. Our results indicate that managerial power theory is well-equipped for predicting core compensation variables like total cash and total compensation, but less so for predicting the sensitivity of pay to performance. In most situations where CEOs are expected to have power over the pay setting process, they receive significantly higher levels of total cash and total compensation. In contrast, where boards are expected to have more power, CEOs receive lower total cash and total compensation. In addition, powerful directors also appear to be able to establish tighter links between CEO compensation and firm performance, and can accomplish this even in the face of powerful CEOs. We discuss implications for theory and research regarding the determinants of executive compensation.","author":[{"dropping-particle":"Van","family":"Essen","given":"Marc","non-dropping-particle":"","parse-names":false,"suffix":""},{"dropping-particle":"","family":"Otten","given":"Jordan","non-dropping-particle":"","parse-names":false,"suffix":""},{"dropping-particle":"","family":"Carberry","given":"Edward J.","non-dropping-particle":"","parse-names":false,"suffix":""}],"container-title":"Journal of Management","id":"ITEM-1","issue":"1","issued":{"date-parts":[["2012"]]},"page":"164-202","title":"Assessing Managerial Power Theory","type":"article-journal","volume":"41"},"uris":["http://www.mendeley.com/documents/?uuid=ee9812ad-7792-4412-bb41-1c5f6e7cdebf"]}],"mendeley":{"formattedCitation":"(Essen et al., 2012)","plainTextFormattedCitation":"(Essen et al., 2012)","previouslyFormattedCitation":"(Essen et al., 2012)"},"properties":{"noteIndex":0},"schema":"https://github.com/citation-style-language/schema/raw/master/csl-citation.json"}</w:instrText>
      </w:r>
      <w:r w:rsidR="00CB3552" w:rsidRPr="00AE0B3D">
        <w:rPr>
          <w:rFonts w:cs="Times New Roman"/>
        </w:rPr>
        <w:fldChar w:fldCharType="separate"/>
      </w:r>
      <w:r w:rsidR="00CB3552" w:rsidRPr="00AE0B3D">
        <w:rPr>
          <w:rFonts w:cs="Times New Roman"/>
          <w:noProof/>
        </w:rPr>
        <w:t>(Essen et al., 2012)</w:t>
      </w:r>
      <w:r w:rsidR="00CB3552" w:rsidRPr="00AE0B3D">
        <w:rPr>
          <w:rFonts w:cs="Times New Roman"/>
        </w:rPr>
        <w:fldChar w:fldCharType="end"/>
      </w:r>
      <w:r w:rsidR="00A37D43" w:rsidRPr="00AE0B3D">
        <w:rPr>
          <w:rFonts w:cs="Times New Roman"/>
        </w:rPr>
        <w:t xml:space="preserve">. </w:t>
      </w:r>
    </w:p>
    <w:p w14:paraId="5FF65A9E" w14:textId="7A64163B" w:rsidR="00B836A5" w:rsidRPr="00AE0B3D" w:rsidRDefault="00AA373E" w:rsidP="00763CC2">
      <w:pPr>
        <w:rPr>
          <w:rFonts w:cs="Times New Roman"/>
          <w:noProof/>
        </w:rPr>
      </w:pPr>
      <w:r w:rsidRPr="00AE0B3D">
        <w:rPr>
          <w:rFonts w:cs="Times New Roman"/>
        </w:rPr>
        <w:t xml:space="preserve">Financial compensation is not the only factor that </w:t>
      </w:r>
      <w:r w:rsidRPr="00AE0B3D">
        <w:rPr>
          <w:rFonts w:cs="Times New Roman"/>
          <w:noProof/>
        </w:rPr>
        <w:t>impact</w:t>
      </w:r>
      <w:r w:rsidR="0087121D" w:rsidRPr="00AE0B3D">
        <w:rPr>
          <w:rFonts w:cs="Times New Roman"/>
          <w:noProof/>
        </w:rPr>
        <w:t>s</w:t>
      </w:r>
      <w:r w:rsidRPr="00AE0B3D">
        <w:rPr>
          <w:rFonts w:cs="Times New Roman"/>
        </w:rPr>
        <w:t xml:space="preserve"> employee performance and job satisfaction. </w:t>
      </w:r>
      <w:r w:rsidR="00560618" w:rsidRPr="00AE0B3D">
        <w:rPr>
          <w:rFonts w:cs="Times New Roman"/>
        </w:rPr>
        <w:t>Other</w:t>
      </w:r>
      <w:r w:rsidRPr="00AE0B3D">
        <w:rPr>
          <w:rFonts w:cs="Times New Roman"/>
        </w:rPr>
        <w:t xml:space="preserve"> confounding factors can thus impact on the effect of remuneration system on the financial performance and employee performance of an organization</w:t>
      </w:r>
      <w:r w:rsidR="00200E8A" w:rsidRPr="00AE0B3D">
        <w:rPr>
          <w:rFonts w:cs="Times New Roman"/>
        </w:rPr>
        <w:t xml:space="preserve"> </w:t>
      </w:r>
      <w:r w:rsidR="00C73B40" w:rsidRPr="00AE0B3D">
        <w:rPr>
          <w:rFonts w:cs="Times New Roman"/>
        </w:rPr>
        <w:fldChar w:fldCharType="begin" w:fldLock="1"/>
      </w:r>
      <w:r w:rsidR="00955099">
        <w:rPr>
          <w:rFonts w:cs="Times New Roman"/>
        </w:rPr>
        <w:instrText>ADDIN CSL_CITATION {"citationItems":[{"id":"ITEM-1","itemData":{"DOI":"10.5296/ijld.v2i3.1756","author":[{"dropping-particle":"","family":"Khan","given":"Imran","non-dropping-particle":"","parse-names":false,"suffix":""},{"dropping-particle":"","family":"Ghauri","given":"Tauqir Ahmad","non-dropping-particle":"","parse-names":false,"suffix":""},{"dropping-particle":"","family":"Akram","given":"Kashif","non-dropping-particle":"","parse-names":false,"suffix":""}],"container-title":"International Journal of Learning and Development","id":"ITEM-1","issue":"3","issued":{"date-parts":[["2012"]]},"page":"25-33","title":"Relationship between Job Satisfaction and HR Practices, an Empirical Research of Different Sectors of University Teachers in Pakistan","type":"article-journal","volume":"2"},"uris":["http://www.mendeley.com/documents/?uuid=f079987a-0324-4b6a-8bfe-af31ccf2b38e"]}],"mendeley":{"formattedCitation":"(Khan et al., 2012)","manualFormatting":"(Khan et al, 2012)","plainTextFormattedCitation":"(Khan et al., 2012)","previouslyFormattedCitation":"(Khan et al., 2012)"},"properties":{"noteIndex":0},"schema":"https://github.com/citation-style-language/schema/raw/master/csl-citation.json"}</w:instrText>
      </w:r>
      <w:r w:rsidR="00C73B40" w:rsidRPr="00AE0B3D">
        <w:rPr>
          <w:rFonts w:cs="Times New Roman"/>
        </w:rPr>
        <w:fldChar w:fldCharType="separate"/>
      </w:r>
      <w:r w:rsidR="00BE3A73">
        <w:rPr>
          <w:rFonts w:cs="Times New Roman"/>
          <w:noProof/>
        </w:rPr>
        <w:t>(Khan et al</w:t>
      </w:r>
      <w:r w:rsidR="00C73B40" w:rsidRPr="00AE0B3D">
        <w:rPr>
          <w:rFonts w:cs="Times New Roman"/>
          <w:noProof/>
        </w:rPr>
        <w:t>, 2012)</w:t>
      </w:r>
      <w:r w:rsidR="00C73B40" w:rsidRPr="00AE0B3D">
        <w:rPr>
          <w:rFonts w:cs="Times New Roman"/>
        </w:rPr>
        <w:fldChar w:fldCharType="end"/>
      </w:r>
      <w:r w:rsidRPr="00AE0B3D">
        <w:rPr>
          <w:rFonts w:cs="Times New Roman"/>
        </w:rPr>
        <w:t xml:space="preserve">. </w:t>
      </w:r>
      <w:r w:rsidR="00437866" w:rsidRPr="00AE0B3D">
        <w:rPr>
          <w:rFonts w:cs="Times New Roman"/>
        </w:rPr>
        <w:t xml:space="preserve"> </w:t>
      </w:r>
      <w:r w:rsidR="0021140F" w:rsidRPr="00AE0B3D">
        <w:rPr>
          <w:rFonts w:cs="Times New Roman"/>
        </w:rPr>
        <w:t>A</w:t>
      </w:r>
      <w:r w:rsidRPr="00AE0B3D">
        <w:rPr>
          <w:rFonts w:cs="Times New Roman"/>
        </w:rPr>
        <w:t>part from the financial compensation, other factors such as employee relationship to the supervisor, relationship with workmates, promotions, job security, organization culture and the work environment conditions</w:t>
      </w:r>
      <w:r w:rsidR="003C16BF" w:rsidRPr="00AE0B3D">
        <w:rPr>
          <w:rFonts w:cs="Times New Roman"/>
        </w:rPr>
        <w:t xml:space="preserve"> </w:t>
      </w:r>
      <w:r w:rsidR="00A74FAE" w:rsidRPr="00AE0B3D">
        <w:rPr>
          <w:rFonts w:cs="Times New Roman"/>
        </w:rPr>
        <w:t xml:space="preserve">also influence the performance of the employees </w:t>
      </w:r>
      <w:r w:rsidR="00A74FAE" w:rsidRPr="00AE0B3D">
        <w:rPr>
          <w:rFonts w:cs="Times New Roman"/>
        </w:rPr>
        <w:fldChar w:fldCharType="begin" w:fldLock="1"/>
      </w:r>
      <w:r w:rsidR="00690F1D">
        <w:rPr>
          <w:rFonts w:cs="Times New Roman"/>
        </w:rPr>
        <w:instrText>ADDIN CSL_CITATION {"citationItems":[{"id":"ITEM-1","itemData":{"DOI":"10.5296/ijld.v2i3.1756","author":[{"dropping-particle":"","family":"Khan","given":"Imran","non-dropping-particle":"","parse-names":false,"suffix":""},{"dropping-particle":"","family":"Ghauri","given":"Tauqir Ahmad","non-dropping-particle":"","parse-names":false,"suffix":""},{"dropping-particle":"","family":"Akram","given":"Kashif","non-dropping-particle":"","parse-names":false,"suffix":""}],"container-title":"International Journal of Learning and Development","id":"ITEM-1","issue":"3","issued":{"date-parts":[["2012"]]},"page":"25-33","title":"Relationship between Job Satisfaction and HR Practices, an Empirical Research of Different Sectors of University Teachers in Pakistan","type":"article-journal","volume":"2"},"uris":["http://www.mendeley.com/documents/?uuid=f079987a-0324-4b6a-8bfe-af31ccf2b38e"]}],"mendeley":{"formattedCitation":"(Khan et al., 2012)","plainTextFormattedCitation":"(Khan et al., 2012)","previouslyFormattedCitation":"(Khan et al., 2012)"},"properties":{"noteIndex":0},"schema":"https://github.com/citation-style-language/schema/raw/master/csl-citation.json"}</w:instrText>
      </w:r>
      <w:r w:rsidR="00A74FAE" w:rsidRPr="00AE0B3D">
        <w:rPr>
          <w:rFonts w:cs="Times New Roman"/>
        </w:rPr>
        <w:fldChar w:fldCharType="separate"/>
      </w:r>
      <w:r w:rsidR="00A74FAE" w:rsidRPr="00AE0B3D">
        <w:rPr>
          <w:rFonts w:cs="Times New Roman"/>
          <w:noProof/>
        </w:rPr>
        <w:t>(Khan et al., 2012)</w:t>
      </w:r>
      <w:r w:rsidR="00A74FAE" w:rsidRPr="00AE0B3D">
        <w:rPr>
          <w:rFonts w:cs="Times New Roman"/>
        </w:rPr>
        <w:fldChar w:fldCharType="end"/>
      </w:r>
      <w:r w:rsidRPr="00AE0B3D">
        <w:rPr>
          <w:rFonts w:cs="Times New Roman"/>
        </w:rPr>
        <w:t xml:space="preserve">. </w:t>
      </w:r>
      <w:r w:rsidR="0087121D" w:rsidRPr="00AE0B3D">
        <w:rPr>
          <w:rFonts w:cs="Times New Roman"/>
          <w:noProof/>
        </w:rPr>
        <w:t>A c</w:t>
      </w:r>
      <w:r w:rsidRPr="00AE0B3D">
        <w:rPr>
          <w:rFonts w:cs="Times New Roman"/>
          <w:noProof/>
        </w:rPr>
        <w:t>ondition</w:t>
      </w:r>
      <w:r w:rsidRPr="00AE0B3D">
        <w:rPr>
          <w:rFonts w:cs="Times New Roman"/>
        </w:rPr>
        <w:t xml:space="preserve"> that </w:t>
      </w:r>
      <w:r w:rsidRPr="00AE0B3D">
        <w:rPr>
          <w:rFonts w:cs="Times New Roman"/>
          <w:noProof/>
        </w:rPr>
        <w:t>enhance</w:t>
      </w:r>
      <w:r w:rsidR="0087121D" w:rsidRPr="00AE0B3D">
        <w:rPr>
          <w:rFonts w:cs="Times New Roman"/>
          <w:noProof/>
        </w:rPr>
        <w:t>s</w:t>
      </w:r>
      <w:r w:rsidRPr="00AE0B3D">
        <w:rPr>
          <w:rFonts w:cs="Times New Roman"/>
        </w:rPr>
        <w:t xml:space="preserve"> work efficiency in the </w:t>
      </w:r>
      <w:r w:rsidR="006645E9" w:rsidRPr="00AE0B3D">
        <w:rPr>
          <w:rFonts w:cs="Times New Roman"/>
        </w:rPr>
        <w:t>workplace</w:t>
      </w:r>
      <w:r w:rsidRPr="00AE0B3D">
        <w:rPr>
          <w:rFonts w:cs="Times New Roman"/>
        </w:rPr>
        <w:t xml:space="preserve"> is considered another variable that improves job satisfaction of employees</w:t>
      </w:r>
      <w:r w:rsidR="0021140F" w:rsidRPr="00AE0B3D">
        <w:rPr>
          <w:rFonts w:cs="Times New Roman"/>
        </w:rPr>
        <w:t xml:space="preserve">. Other variables that impact employee satisfaction includes </w:t>
      </w:r>
      <w:r w:rsidR="002E2A1E" w:rsidRPr="00AE0B3D">
        <w:rPr>
          <w:rFonts w:cs="Times New Roman"/>
        </w:rPr>
        <w:t xml:space="preserve">teamwork, quality </w:t>
      </w:r>
      <w:r w:rsidR="002E2A1E" w:rsidRPr="00AE0B3D">
        <w:rPr>
          <w:rFonts w:cs="Times New Roman"/>
        </w:rPr>
        <w:lastRenderedPageBreak/>
        <w:t xml:space="preserve">of </w:t>
      </w:r>
      <w:r w:rsidR="005F742D" w:rsidRPr="00AE0B3D">
        <w:rPr>
          <w:rFonts w:cs="Times New Roman"/>
        </w:rPr>
        <w:t>work life</w:t>
      </w:r>
      <w:r w:rsidR="002E2A1E" w:rsidRPr="00AE0B3D">
        <w:rPr>
          <w:rFonts w:cs="Times New Roman"/>
        </w:rPr>
        <w:t xml:space="preserve"> an</w:t>
      </w:r>
      <w:r w:rsidR="005F742D" w:rsidRPr="00AE0B3D">
        <w:rPr>
          <w:rFonts w:cs="Times New Roman"/>
        </w:rPr>
        <w:t xml:space="preserve">d supervision </w:t>
      </w:r>
      <w:r w:rsidR="005F742D" w:rsidRPr="00AE0B3D">
        <w:rPr>
          <w:rFonts w:cs="Times New Roman"/>
        </w:rPr>
        <w:fldChar w:fldCharType="begin" w:fldLock="1"/>
      </w:r>
      <w:r w:rsidR="00072A72" w:rsidRPr="00AE0B3D">
        <w:rPr>
          <w:rFonts w:cs="Times New Roman"/>
        </w:rPr>
        <w:instrText>ADDIN CSL_CITATION {"citationItems":[{"id":"ITEM-1","itemData":{"DOI":"10.4102/sajip.v40i1.1166","ISSN":"0258-5200","abstract":"Orientation: There is much research on extrinsic motivation, job satisfaction and life satisfaction in organisations. However, empirical evidence on how such factors affect employees in public organisations in developing countries is lacking.Research purpose: To examine the relationships between extrinsic motivation, job satisfaction and life satisfaction amongst employees in a public organisation.Motivation for the study: Labour strife is an endemic phenomenon in South Africa’s public sector as evidenced by the high incidences of industrial action and labour turnover. This study contributes to this subject by identifying the extrinsic factors that could be optimised with a view to enhancing job and life satisfaction amongst government employees.Research approach, design and method: The study used the quantitative research survey approach: a questionnaire was administered to 246 employees in a South African public organisation. Extrinsic motivation factors were identified using principal components analysis. Mean score ranking was used to compare the relative importance of all factors. The conceptual framework was tested using Spearman’s rank correlation analysis and linear regression analysis.Main findings: Statistically significant relationships were observed between job satisfaction and four extrinsic motivation factors: remuneration, quality of work life, supervision and teamwork. The relationship with promotion was insignificant, but a statistically significant relationship was established with life satisfaction.Practical/managerial implications: The findings may be used to implement strategies for enhancing employee performance and industrial relations within public organisations.Contribution/value-add: The study provides evidence of the interplay between extrinsic motivation, job satisfaction and life satisfaction for public servants in developing countries.","author":[{"dropping-particle":"","family":"Mafini","given":"Chengedzai","non-dropping-particle":"","parse-names":false,"suffix":""},{"dropping-particle":"","family":"Dlodlo","given":"Nobukhosi","non-dropping-particle":"","parse-names":false,"suffix":""}],"container-title":"SA Journal of Industrial Psychology","id":"ITEM-1","issue":"1","issued":{"date-parts":[["2014"]]},"page":"1-13","title":"The relationship between extrinsic motivation, job satisfaction and life satisfaction amongst employees in a public organisation","type":"article-journal","volume":"40"},"uris":["http://www.mendeley.com/documents/?uuid=50a572cc-6259-46a7-a6c2-dd016fd04b88"]}],"mendeley":{"formattedCitation":"(Mafini &amp; Dlodlo, 2014)","plainTextFormattedCitation":"(Mafini &amp; Dlodlo, 2014)","previouslyFormattedCitation":"(Mafini &amp; Dlodlo, 2014)"},"properties":{"noteIndex":0},"schema":"https://github.com/citation-style-language/schema/raw/master/csl-citation.json"}</w:instrText>
      </w:r>
      <w:r w:rsidR="005F742D" w:rsidRPr="00AE0B3D">
        <w:rPr>
          <w:rFonts w:cs="Times New Roman"/>
        </w:rPr>
        <w:fldChar w:fldCharType="separate"/>
      </w:r>
      <w:r w:rsidR="005F742D" w:rsidRPr="00AE0B3D">
        <w:rPr>
          <w:rFonts w:cs="Times New Roman"/>
          <w:noProof/>
        </w:rPr>
        <w:t>(Mafini &amp; Dlodlo, 2014)</w:t>
      </w:r>
      <w:r w:rsidR="005F742D" w:rsidRPr="00AE0B3D">
        <w:rPr>
          <w:rFonts w:cs="Times New Roman"/>
        </w:rPr>
        <w:fldChar w:fldCharType="end"/>
      </w:r>
      <w:r w:rsidR="005F742D" w:rsidRPr="00AE0B3D">
        <w:rPr>
          <w:rFonts w:cs="Times New Roman"/>
        </w:rPr>
        <w:t xml:space="preserve">. </w:t>
      </w:r>
      <w:r w:rsidRPr="00AE0B3D">
        <w:rPr>
          <w:rFonts w:cs="Times New Roman"/>
        </w:rPr>
        <w:t>Both top management and lower management employees embrace the work life balance initiatives that are provided by the organization. The work life balance culture in the organization ensures that employee deal well with family work conflict and hence lower employees’ turnover intention which has more impact on the overall performance of the organization</w:t>
      </w:r>
      <w:r w:rsidR="00072A72" w:rsidRPr="00AE0B3D">
        <w:rPr>
          <w:rFonts w:cs="Times New Roman"/>
        </w:rPr>
        <w:t xml:space="preserve"> </w:t>
      </w:r>
      <w:r w:rsidR="00072A72" w:rsidRPr="00AE0B3D">
        <w:rPr>
          <w:rFonts w:cs="Times New Roman"/>
        </w:rPr>
        <w:fldChar w:fldCharType="begin" w:fldLock="1"/>
      </w:r>
      <w:r w:rsidR="00145D76" w:rsidRPr="00AE0B3D">
        <w:rPr>
          <w:rFonts w:cs="Times New Roman"/>
        </w:rPr>
        <w:instrText>ADDIN CSL_CITATION {"citationItems":[{"id":"ITEM-1","itemData":{"DOI":"10.4102/sajip.v40i1.1166","ISSN":"0258-5200","abstract":"Orientation: There is much research on extrinsic motivation, job satisfaction and life satisfaction in organisations. However, empirical evidence on how such factors affect employees in public organisations in developing countries is lacking.Research purpose: To examine the relationships between extrinsic motivation, job satisfaction and life satisfaction amongst employees in a public organisation.Motivation for the study: Labour strife is an endemic phenomenon in South Africa’s public sector as evidenced by the high incidences of industrial action and labour turnover. This study contributes to this subject by identifying the extrinsic factors that could be optimised with a view to enhancing job and life satisfaction amongst government employees.Research approach, design and method: The study used the quantitative research survey approach: a questionnaire was administered to 246 employees in a South African public organisation. Extrinsic motivation factors were identified using principal components analysis. Mean score ranking was used to compare the relative importance of all factors. The conceptual framework was tested using Spearman’s rank correlation analysis and linear regression analysis.Main findings: Statistically significant relationships were observed between job satisfaction and four extrinsic motivation factors: remuneration, quality of work life, supervision and teamwork. The relationship with promotion was insignificant, but a statistically significant relationship was established with life satisfaction.Practical/managerial implications: The findings may be used to implement strategies for enhancing employee performance and industrial relations within public organisations.Contribution/value-add: The study provides evidence of the interplay between extrinsic motivation, job satisfaction and life satisfaction for public servants in developing countries.","author":[{"dropping-particle":"","family":"Mafini","given":"Chengedzai","non-dropping-particle":"","parse-names":false,"suffix":""},{"dropping-particle":"","family":"Dlodlo","given":"Nobukhosi","non-dropping-particle":"","parse-names":false,"suffix":""}],"container-title":"SA Journal of Industrial Psychology","id":"ITEM-1","issue":"1","issued":{"date-parts":[["2014"]]},"page":"1-13","title":"The relationship between extrinsic motivation, job satisfaction and life satisfaction amongst employees in a public organisation","type":"article-journal","volume":"40"},"uris":["http://www.mendeley.com/documents/?uuid=50a572cc-6259-46a7-a6c2-dd016fd04b88"]}],"mendeley":{"formattedCitation":"(Mafini &amp; Dlodlo, 2014)","plainTextFormattedCitation":"(Mafini &amp; Dlodlo, 2014)","previouslyFormattedCitation":"(Mafini &amp; Dlodlo, 2014)"},"properties":{"noteIndex":0},"schema":"https://github.com/citation-style-language/schema/raw/master/csl-citation.json"}</w:instrText>
      </w:r>
      <w:r w:rsidR="00072A72" w:rsidRPr="00AE0B3D">
        <w:rPr>
          <w:rFonts w:cs="Times New Roman"/>
        </w:rPr>
        <w:fldChar w:fldCharType="separate"/>
      </w:r>
      <w:r w:rsidR="00072A72" w:rsidRPr="00AE0B3D">
        <w:rPr>
          <w:rFonts w:cs="Times New Roman"/>
          <w:noProof/>
        </w:rPr>
        <w:t>(Mafini &amp; Dlodlo, 2014)</w:t>
      </w:r>
      <w:r w:rsidR="00072A72" w:rsidRPr="00AE0B3D">
        <w:rPr>
          <w:rFonts w:cs="Times New Roman"/>
        </w:rPr>
        <w:fldChar w:fldCharType="end"/>
      </w:r>
      <w:r w:rsidRPr="00AE0B3D">
        <w:rPr>
          <w:rFonts w:cs="Times New Roman"/>
        </w:rPr>
        <w:t xml:space="preserve">. </w:t>
      </w:r>
      <w:r w:rsidR="008E344C" w:rsidRPr="00AE0B3D">
        <w:rPr>
          <w:rFonts w:cs="Times New Roman"/>
        </w:rPr>
        <w:t>L</w:t>
      </w:r>
      <w:r w:rsidRPr="00AE0B3D">
        <w:rPr>
          <w:rFonts w:cs="Times New Roman"/>
          <w:noProof/>
        </w:rPr>
        <w:t>ack of work life balance is associated with poor customer services that lower customer repurchase intention. Non fanancial issues that can impact the op</w:t>
      </w:r>
      <w:r w:rsidR="00A74FAE" w:rsidRPr="00AE0B3D">
        <w:rPr>
          <w:rFonts w:cs="Times New Roman"/>
          <w:noProof/>
        </w:rPr>
        <w:t>e</w:t>
      </w:r>
      <w:r w:rsidRPr="00AE0B3D">
        <w:rPr>
          <w:rFonts w:cs="Times New Roman"/>
          <w:noProof/>
        </w:rPr>
        <w:t>ration of the organastion same as financial compensation or reward</w:t>
      </w:r>
      <w:r w:rsidR="00BE7A6A" w:rsidRPr="00AE0B3D">
        <w:rPr>
          <w:rFonts w:cs="Times New Roman"/>
          <w:noProof/>
        </w:rPr>
        <w:t xml:space="preserve"> </w:t>
      </w:r>
      <w:r w:rsidR="00BE7A6A" w:rsidRPr="00AE0B3D">
        <w:rPr>
          <w:rFonts w:cs="Times New Roman"/>
          <w:noProof/>
        </w:rPr>
        <w:fldChar w:fldCharType="begin" w:fldLock="1"/>
      </w:r>
      <w:r w:rsidR="00BE7A6A" w:rsidRPr="00AE0B3D">
        <w:rPr>
          <w:rFonts w:cs="Times New Roman"/>
          <w:noProof/>
        </w:rPr>
        <w:instrText>ADDIN CSL_CITATION {"citationItems":[{"id":"ITEM-1","itemData":{"ISBN":"9789811058011","ISSN":"19475667","abstract":"Purpose: The main purpose of the study was to investigate the effect of work-life balance on affective commitment and in-role performance and to explore the mediating role of affective commitment to link work-life balance and in-role performance in the Korean context. Design/methodology/approach: Through the literature review, the hypothesized model and hypotheses were developed. Using data gathered from 293 Korean workers, the current study tested hypotheses using structural equation modeling (SEM) and regression analysis. Findings: The results showed no direct effect of work-life balance on in-role performance. However, it was found that employees' experience of work-life balance increases affective commitment and that affective commitment has a positive influence on in-role performance. Originality/value: Despite favorable outcomes of work-life balance and the increased interest in this topic, less attention has been made on what effect work-life balance has on employees' attitudes and behaviors. Indeed, most of the studies to date on work-life balance have been conducted in Western countries, not in Asian countries. Thus, this study sought to understand work-life balance in Asian countries, especially in Korea, and to compare the results with those from studies conducted in Western countries. The findings of this study could be useful for Korean organizations to understand the role of work-life balance in employees' personal and work life.","author":[{"dropping-particle":"","family":"Kim","given":"Hye Kyoung","non-dropping-particle":"","parse-names":false,"suffix":""}],"container-title":"Global Business &amp; Management Research:An International Journal","id":"ITEM-1","issue":"1","issued":{"date-parts":[["2014"]]},"page":"37-51","title":"Work- Life balance and employees’ performance : The mediating role of affective commitment","type":"article-journal","volume":"6"},"uris":["http://www.mendeley.com/documents/?uuid=73c655c8-ca4b-438a-ae23-74689c96fdc6"]}],"mendeley":{"formattedCitation":"(Kim, 2014)","plainTextFormattedCitation":"(Kim, 2014)","previouslyFormattedCitation":"(Kim, 2014)"},"properties":{"noteIndex":0},"schema":"https://github.com/citation-style-language/schema/raw/master/csl-citation.json"}</w:instrText>
      </w:r>
      <w:r w:rsidR="00BE7A6A" w:rsidRPr="00AE0B3D">
        <w:rPr>
          <w:rFonts w:cs="Times New Roman"/>
          <w:noProof/>
        </w:rPr>
        <w:fldChar w:fldCharType="separate"/>
      </w:r>
      <w:r w:rsidR="00BE7A6A" w:rsidRPr="00AE0B3D">
        <w:rPr>
          <w:rFonts w:cs="Times New Roman"/>
          <w:noProof/>
        </w:rPr>
        <w:t>(Kim, 2014)</w:t>
      </w:r>
      <w:r w:rsidR="00BE7A6A" w:rsidRPr="00AE0B3D">
        <w:rPr>
          <w:rFonts w:cs="Times New Roman"/>
          <w:noProof/>
        </w:rPr>
        <w:fldChar w:fldCharType="end"/>
      </w:r>
      <w:r w:rsidR="003C58AA" w:rsidRPr="00AE0B3D">
        <w:rPr>
          <w:rFonts w:cs="Times New Roman"/>
          <w:noProof/>
        </w:rPr>
        <w:t xml:space="preserve">. </w:t>
      </w:r>
      <w:r w:rsidRPr="00AE0B3D">
        <w:rPr>
          <w:rFonts w:cs="Times New Roman"/>
          <w:noProof/>
        </w:rPr>
        <w:t>Van De Voorde et al.</w:t>
      </w:r>
      <w:r w:rsidR="00BE7A6A" w:rsidRPr="00AE0B3D">
        <w:rPr>
          <w:rFonts w:cs="Times New Roman"/>
          <w:noProof/>
        </w:rPr>
        <w:t xml:space="preserve"> </w:t>
      </w:r>
      <w:r w:rsidR="00BE7A6A" w:rsidRPr="00AE0B3D">
        <w:rPr>
          <w:rFonts w:cs="Times New Roman"/>
          <w:noProof/>
        </w:rPr>
        <w:fldChar w:fldCharType="begin" w:fldLock="1"/>
      </w:r>
      <w:r w:rsidR="00955099">
        <w:rPr>
          <w:rFonts w:cs="Times New Roman"/>
          <w:noProof/>
        </w:rPr>
        <w:instrText>ADDIN CSL_CITATION {"citationItems":[{"id":"ITEM-1","itemData":{"DOI":"10.1111/j.1468-2370.2011.00322.x","ISSN":"14608545","author":[{"dropping-particle":"","family":"Voorde","given":"Karina","non-dropping-particle":"Van De","parse-names":false,"suffix":""},{"dropping-particle":"","family":"Paauwe","given":"Jaap","non-dropping-particle":"","parse-names":false,"suffix":""},{"dropping-particle":"","family":"Veldhoven","given":"Marc","non-dropping-particle":"Van","parse-names":false,"suffix":""}],"container-title":"International Journal of Management Reviews","id":"ITEM-1","issue":"4","issued":{"date-parts":[["2012","12"]]},"page":"391-407","title":"Employee Well-being and the HRM-Organizational Performance Relationship: A Review of Quantitative Studies","type":"article-journal","volume":"14"},"uris":["http://www.mendeley.com/documents/?uuid=ca8c9aa9-995e-356a-b86a-df171e36203e"]}],"mendeley":{"formattedCitation":"(Van De Voorde et al., 2012)","manualFormatting":"(2012)","plainTextFormattedCitation":"(Van De Voorde et al., 2012)","previouslyFormattedCitation":"(Van De Voorde et al., 2012)"},"properties":{"noteIndex":0},"schema":"https://github.com/citation-style-language/schema/raw/master/csl-citation.json"}</w:instrText>
      </w:r>
      <w:r w:rsidR="00BE7A6A" w:rsidRPr="00AE0B3D">
        <w:rPr>
          <w:rFonts w:cs="Times New Roman"/>
          <w:noProof/>
        </w:rPr>
        <w:fldChar w:fldCharType="separate"/>
      </w:r>
      <w:r w:rsidR="00BE7A6A" w:rsidRPr="00AE0B3D">
        <w:rPr>
          <w:rFonts w:cs="Times New Roman"/>
          <w:noProof/>
        </w:rPr>
        <w:t>(2012)</w:t>
      </w:r>
      <w:r w:rsidR="00BE7A6A" w:rsidRPr="00AE0B3D">
        <w:rPr>
          <w:rFonts w:cs="Times New Roman"/>
          <w:noProof/>
        </w:rPr>
        <w:fldChar w:fldCharType="end"/>
      </w:r>
      <w:r w:rsidRPr="00AE0B3D">
        <w:rPr>
          <w:rFonts w:cs="Times New Roman"/>
          <w:noProof/>
        </w:rPr>
        <w:t xml:space="preserve"> idnetified that the well being of </w:t>
      </w:r>
      <w:r w:rsidR="0087121D" w:rsidRPr="00AE0B3D">
        <w:rPr>
          <w:rFonts w:cs="Times New Roman"/>
          <w:noProof/>
        </w:rPr>
        <w:t xml:space="preserve">the </w:t>
      </w:r>
      <w:r w:rsidRPr="00AE0B3D">
        <w:rPr>
          <w:rFonts w:cs="Times New Roman"/>
          <w:noProof/>
        </w:rPr>
        <w:t>employee is as important as other factors that are considered in human resource management. Lack of its consideration can have</w:t>
      </w:r>
      <w:r w:rsidR="00A74FAE" w:rsidRPr="00AE0B3D">
        <w:rPr>
          <w:rFonts w:cs="Times New Roman"/>
          <w:noProof/>
        </w:rPr>
        <w:t xml:space="preserve"> </w:t>
      </w:r>
      <w:r w:rsidRPr="00AE0B3D">
        <w:rPr>
          <w:rFonts w:cs="Times New Roman"/>
          <w:noProof/>
        </w:rPr>
        <w:t>negative impact on other strategic human resource practices that are put in place by the organisation</w:t>
      </w:r>
      <w:r w:rsidR="00B836A5" w:rsidRPr="00AE0B3D">
        <w:rPr>
          <w:rFonts w:cs="Times New Roman"/>
          <w:noProof/>
        </w:rPr>
        <w:t xml:space="preserve"> </w:t>
      </w:r>
      <w:r w:rsidR="00B836A5" w:rsidRPr="00AE0B3D">
        <w:rPr>
          <w:rFonts w:cs="Times New Roman"/>
          <w:noProof/>
        </w:rPr>
        <w:fldChar w:fldCharType="begin" w:fldLock="1"/>
      </w:r>
      <w:r w:rsidR="000C1F88" w:rsidRPr="00AE0B3D">
        <w:rPr>
          <w:rFonts w:cs="Times New Roman"/>
          <w:noProof/>
        </w:rPr>
        <w:instrText>ADDIN CSL_CITATION {"citationItems":[{"id":"ITEM-1","itemData":{"DOI":"10.1111/j.1468-2370.2011.00322.x","ISSN":"14608545","author":[{"dropping-particle":"","family":"Voorde","given":"Karina","non-dropping-particle":"Van De","parse-names":false,"suffix":""},{"dropping-particle":"","family":"Paauwe","given":"Jaap","non-dropping-particle":"","parse-names":false,"suffix":""},{"dropping-particle":"","family":"Veldhoven","given":"Marc","non-dropping-particle":"Van","parse-names":false,"suffix":""}],"container-title":"International Journal of Management Reviews","id":"ITEM-1","issue":"4","issued":{"date-parts":[["2012","12"]]},"page":"391-407","title":"Employee Well-being and the HRM-Organizational Performance Relationship: A Review of Quantitative Studies","type":"article-journal","volume":"14"},"uris":["http://www.mendeley.com/documents/?uuid=ca8c9aa9-995e-356a-b86a-df171e36203e"]}],"mendeley":{"formattedCitation":"(Van De Voorde et al., 2012)","plainTextFormattedCitation":"(Van De Voorde et al., 2012)","previouslyFormattedCitation":"(Van De Voorde et al., 2012)"},"properties":{"noteIndex":0},"schema":"https://github.com/citation-style-language/schema/raw/master/csl-citation.json"}</w:instrText>
      </w:r>
      <w:r w:rsidR="00B836A5" w:rsidRPr="00AE0B3D">
        <w:rPr>
          <w:rFonts w:cs="Times New Roman"/>
          <w:noProof/>
        </w:rPr>
        <w:fldChar w:fldCharType="separate"/>
      </w:r>
      <w:r w:rsidR="00B836A5" w:rsidRPr="00AE0B3D">
        <w:rPr>
          <w:rFonts w:cs="Times New Roman"/>
          <w:noProof/>
        </w:rPr>
        <w:t>(Van De Voorde et al., 2012)</w:t>
      </w:r>
      <w:r w:rsidR="00B836A5" w:rsidRPr="00AE0B3D">
        <w:rPr>
          <w:rFonts w:cs="Times New Roman"/>
          <w:noProof/>
        </w:rPr>
        <w:fldChar w:fldCharType="end"/>
      </w:r>
      <w:r w:rsidR="00B836A5" w:rsidRPr="00AE0B3D">
        <w:rPr>
          <w:rFonts w:cs="Times New Roman"/>
          <w:noProof/>
        </w:rPr>
        <w:t xml:space="preserve">. </w:t>
      </w:r>
    </w:p>
    <w:p w14:paraId="6BCA8F3C" w14:textId="60BC30A0" w:rsidR="00AA373E" w:rsidRPr="00AE0B3D" w:rsidRDefault="00AA373E" w:rsidP="00AA373E">
      <w:pPr>
        <w:rPr>
          <w:rFonts w:cs="Times New Roman"/>
        </w:rPr>
      </w:pPr>
      <w:r w:rsidRPr="00AE0B3D">
        <w:rPr>
          <w:rFonts w:cs="Times New Roman"/>
          <w:noProof/>
        </w:rPr>
        <w:t>Gong, et al.</w:t>
      </w:r>
      <w:r w:rsidR="000C1F88" w:rsidRPr="00AE0B3D">
        <w:rPr>
          <w:rFonts w:cs="Times New Roman"/>
          <w:noProof/>
        </w:rPr>
        <w:t xml:space="preserve"> </w:t>
      </w:r>
      <w:r w:rsidR="000C1F88" w:rsidRPr="00AE0B3D">
        <w:rPr>
          <w:rFonts w:cs="Times New Roman"/>
          <w:noProof/>
        </w:rPr>
        <w:fldChar w:fldCharType="begin" w:fldLock="1"/>
      </w:r>
      <w:r w:rsidR="00955099">
        <w:rPr>
          <w:rFonts w:cs="Times New Roman"/>
          <w:noProof/>
        </w:rPr>
        <w:instrText>ADDIN CSL_CITATION {"citationItems":[{"id":"ITEM-1","itemData":{"DOI":"10.1017/S0376892900032720","ISBN":"0001-4273","ISSN":"14694387","PMID":"43670890","author":[{"dropping-particle":"","family":"Gong","given":"Yaping","non-dropping-particle":"","parse-names":false,"suffix":""},{"dropping-particle":"","family":"Huang","given":"Jia-Chi","non-dropping-particle":"","parse-names":false,"suffix":""},{"dropping-particle":"","family":"Farh.","given":"Jiing-Lih","non-dropping-particle":"","parse-names":false,"suffix":""}],"container-title":"Academy of management Journal","id":"ITEM-1","issue":"4","issued":{"date-parts":[["2009"]]},"page":"765-778","title":"Employee learning orientation, transformational leadership, and employee creativity: The mediating role of employee creative self-efficacy","type":"article-journal","volume":"52"},"uris":["http://www.mendeley.com/documents/?uuid=7100ec35-91d5-4f0d-9c26-0dc9eacbda01"]}],"mendeley":{"formattedCitation":"(Gong et al., 2009)","manualFormatting":"(2009)","plainTextFormattedCitation":"(Gong et al., 2009)","previouslyFormattedCitation":"(Gong et al., 2009)"},"properties":{"noteIndex":0},"schema":"https://github.com/citation-style-language/schema/raw/master/csl-citation.json"}</w:instrText>
      </w:r>
      <w:r w:rsidR="000C1F88" w:rsidRPr="00AE0B3D">
        <w:rPr>
          <w:rFonts w:cs="Times New Roman"/>
          <w:noProof/>
        </w:rPr>
        <w:fldChar w:fldCharType="separate"/>
      </w:r>
      <w:r w:rsidR="000C1F88" w:rsidRPr="00AE0B3D">
        <w:rPr>
          <w:rFonts w:cs="Times New Roman"/>
          <w:noProof/>
        </w:rPr>
        <w:t>(2009)</w:t>
      </w:r>
      <w:r w:rsidR="000C1F88" w:rsidRPr="00AE0B3D">
        <w:rPr>
          <w:rFonts w:cs="Times New Roman"/>
          <w:noProof/>
        </w:rPr>
        <w:fldChar w:fldCharType="end"/>
      </w:r>
      <w:r w:rsidRPr="00AE0B3D">
        <w:rPr>
          <w:rFonts w:cs="Times New Roman"/>
        </w:rPr>
        <w:t xml:space="preserve"> identified that leadership quality of the organization and employee learning orientation play an important for the employee performance. It underpins that employee performance and their influence on the overall performance of the organization is related to effective management and continuous developing the skills and knowledge of the employees in the working environment. Even with compensation, lack of leadership by the management and ineffective knowledge management lower the compensation motivation strategy efficiency of the organization</w:t>
      </w:r>
      <w:r w:rsidR="002170D7" w:rsidRPr="00AE0B3D">
        <w:rPr>
          <w:rFonts w:cs="Times New Roman"/>
        </w:rPr>
        <w:t xml:space="preserve"> </w:t>
      </w:r>
      <w:r w:rsidR="002170D7" w:rsidRPr="00AE0B3D">
        <w:rPr>
          <w:rFonts w:cs="Times New Roman"/>
        </w:rPr>
        <w:fldChar w:fldCharType="begin" w:fldLock="1"/>
      </w:r>
      <w:r w:rsidR="00ED4D8E" w:rsidRPr="00AE0B3D">
        <w:rPr>
          <w:rFonts w:cs="Times New Roman"/>
        </w:rPr>
        <w:instrText>ADDIN CSL_CITATION {"citationItems":[{"id":"ITEM-1","itemData":{"ISBN":"6907150328","author":[{"dropping-particle":"","family":"Gopal","given":"D. M","non-dropping-particle":"","parse-names":false,"suffix":""}],"container-title":"University of Johannesburg","id":"ITEM-1","issued":{"date-parts":[["2016"]]},"title":"A comparative study of leadership, strategic direction and reward on employment perfomance","type":"article-journal"},"uris":["http://www.mendeley.com/documents/?uuid=039c375a-23b0-4978-9722-8b9b2a03d097"]}],"mendeley":{"formattedCitation":"(Gopal, 2016)","plainTextFormattedCitation":"(Gopal, 2016)","previouslyFormattedCitation":"(Gopal, 2016)"},"properties":{"noteIndex":0},"schema":"https://github.com/citation-style-language/schema/raw/master/csl-citation.json"}</w:instrText>
      </w:r>
      <w:r w:rsidR="002170D7" w:rsidRPr="00AE0B3D">
        <w:rPr>
          <w:rFonts w:cs="Times New Roman"/>
        </w:rPr>
        <w:fldChar w:fldCharType="separate"/>
      </w:r>
      <w:r w:rsidR="002170D7" w:rsidRPr="00AE0B3D">
        <w:rPr>
          <w:rFonts w:cs="Times New Roman"/>
          <w:noProof/>
        </w:rPr>
        <w:t>(Gopal, 2016)</w:t>
      </w:r>
      <w:r w:rsidR="002170D7" w:rsidRPr="00AE0B3D">
        <w:rPr>
          <w:rFonts w:cs="Times New Roman"/>
        </w:rPr>
        <w:fldChar w:fldCharType="end"/>
      </w:r>
      <w:r w:rsidRPr="00AE0B3D">
        <w:rPr>
          <w:rFonts w:cs="Times New Roman"/>
        </w:rPr>
        <w:t xml:space="preserve">. </w:t>
      </w:r>
    </w:p>
    <w:p w14:paraId="54E5EBC1" w14:textId="77777777" w:rsidR="00BF62DD" w:rsidRPr="00AE0B3D" w:rsidRDefault="0045232C" w:rsidP="005E7658">
      <w:pPr>
        <w:pStyle w:val="Heading2"/>
        <w:rPr>
          <w:rFonts w:cs="Times New Roman"/>
        </w:rPr>
      </w:pPr>
      <w:bookmarkStart w:id="56" w:name="_Toc78067518"/>
      <w:r w:rsidRPr="00AE0B3D">
        <w:rPr>
          <w:rFonts w:cs="Times New Roman"/>
        </w:rPr>
        <w:t xml:space="preserve">Summary and </w:t>
      </w:r>
      <w:r w:rsidR="00BF62DD" w:rsidRPr="00AE0B3D">
        <w:rPr>
          <w:rFonts w:cs="Times New Roman"/>
        </w:rPr>
        <w:t xml:space="preserve">Research </w:t>
      </w:r>
      <w:r w:rsidR="0036439E" w:rsidRPr="00AE0B3D">
        <w:rPr>
          <w:rFonts w:cs="Times New Roman"/>
        </w:rPr>
        <w:t>G</w:t>
      </w:r>
      <w:r w:rsidR="00BF62DD" w:rsidRPr="00AE0B3D">
        <w:rPr>
          <w:rFonts w:cs="Times New Roman"/>
        </w:rPr>
        <w:t>aps</w:t>
      </w:r>
      <w:bookmarkEnd w:id="56"/>
    </w:p>
    <w:p w14:paraId="4A4FE185" w14:textId="11BD779A" w:rsidR="000C5C0A" w:rsidRDefault="000C5C0A" w:rsidP="000B3CB0">
      <w:pPr>
        <w:rPr>
          <w:rFonts w:cs="Times New Roman"/>
        </w:rPr>
      </w:pPr>
      <w:r>
        <w:rPr>
          <w:rFonts w:cs="Times New Roman"/>
        </w:rPr>
        <w:t xml:space="preserve">The evaluation of literature has identified various management remuneration being utilised by </w:t>
      </w:r>
      <w:r w:rsidR="00ED747C">
        <w:rPr>
          <w:rFonts w:cs="Times New Roman"/>
        </w:rPr>
        <w:t>organisation from</w:t>
      </w:r>
      <w:r>
        <w:rPr>
          <w:rFonts w:cs="Times New Roman"/>
        </w:rPr>
        <w:t xml:space="preserve"> different p</w:t>
      </w:r>
      <w:r w:rsidR="00ED747C">
        <w:rPr>
          <w:rFonts w:cs="Times New Roman"/>
        </w:rPr>
        <w:t xml:space="preserve">arts of the world that include salary, bonus, monetary and non-monetary benefits, </w:t>
      </w:r>
      <w:r w:rsidR="008351BE">
        <w:rPr>
          <w:rFonts w:cs="Times New Roman"/>
        </w:rPr>
        <w:t>and shares</w:t>
      </w:r>
      <w:r w:rsidR="00ED747C">
        <w:rPr>
          <w:rFonts w:cs="Times New Roman"/>
        </w:rPr>
        <w:t xml:space="preserve">. </w:t>
      </w:r>
      <w:r w:rsidR="008351BE">
        <w:rPr>
          <w:rFonts w:cs="Times New Roman"/>
        </w:rPr>
        <w:t xml:space="preserve">Even so, different companies adopt </w:t>
      </w:r>
      <w:r w:rsidR="008351BE">
        <w:rPr>
          <w:rFonts w:cs="Times New Roman"/>
        </w:rPr>
        <w:lastRenderedPageBreak/>
        <w:t xml:space="preserve">different management remuneration strategy. Therefore, need to evaluate the management remuneration adopted by public listed companies in Kenya. </w:t>
      </w:r>
    </w:p>
    <w:p w14:paraId="4EAABF8B" w14:textId="251889BF" w:rsidR="001F435C" w:rsidRDefault="008351BE" w:rsidP="000B3CB0">
      <w:pPr>
        <w:rPr>
          <w:rFonts w:cs="Times New Roman"/>
        </w:rPr>
      </w:pPr>
      <w:r>
        <w:rPr>
          <w:rFonts w:cs="Times New Roman"/>
        </w:rPr>
        <w:t>Different financial performance measures were identified from the literature that include ROA, ROE,</w:t>
      </w:r>
      <w:r w:rsidR="002E54C5">
        <w:rPr>
          <w:rFonts w:cs="Times New Roman"/>
        </w:rPr>
        <w:t xml:space="preserve"> and</w:t>
      </w:r>
      <w:r>
        <w:rPr>
          <w:rFonts w:cs="Times New Roman"/>
        </w:rPr>
        <w:t xml:space="preserve"> ROI</w:t>
      </w:r>
      <w:r w:rsidR="002E54C5">
        <w:rPr>
          <w:rFonts w:cs="Times New Roman"/>
        </w:rPr>
        <w:t>. From literature</w:t>
      </w:r>
      <w:r w:rsidR="00007CA9" w:rsidRPr="00AE0B3D">
        <w:rPr>
          <w:rFonts w:cs="Times New Roman"/>
        </w:rPr>
        <w:t xml:space="preserve"> </w:t>
      </w:r>
      <w:r w:rsidR="0023083F" w:rsidRPr="00AE0B3D">
        <w:rPr>
          <w:rFonts w:cs="Times New Roman"/>
        </w:rPr>
        <w:t>review contradicting and inconsistence finding</w:t>
      </w:r>
      <w:r w:rsidR="00166D71" w:rsidRPr="00AE0B3D">
        <w:rPr>
          <w:rFonts w:cs="Times New Roman"/>
        </w:rPr>
        <w:t>s</w:t>
      </w:r>
      <w:r w:rsidR="0023083F" w:rsidRPr="00AE0B3D">
        <w:rPr>
          <w:rFonts w:cs="Times New Roman"/>
        </w:rPr>
        <w:t xml:space="preserve"> on the </w:t>
      </w:r>
      <w:r w:rsidR="0023083F" w:rsidRPr="00142F12">
        <w:rPr>
          <w:rFonts w:cs="Times New Roman"/>
          <w:color w:val="000000" w:themeColor="text1"/>
        </w:rPr>
        <w:t>relationship between remuneration and financial performance</w:t>
      </w:r>
      <w:r w:rsidR="00AE53A4">
        <w:rPr>
          <w:rFonts w:cs="Times New Roman"/>
          <w:color w:val="000000" w:themeColor="text1"/>
        </w:rPr>
        <w:t xml:space="preserve"> were identified</w:t>
      </w:r>
      <w:r w:rsidR="0023083F" w:rsidRPr="00142F12">
        <w:rPr>
          <w:rFonts w:cs="Times New Roman"/>
          <w:color w:val="000000" w:themeColor="text1"/>
        </w:rPr>
        <w:t xml:space="preserve">. </w:t>
      </w:r>
      <w:r w:rsidR="0063308A" w:rsidRPr="00142F12">
        <w:rPr>
          <w:rFonts w:cs="Times New Roman"/>
          <w:color w:val="000000" w:themeColor="text1"/>
        </w:rPr>
        <w:t xml:space="preserve">For </w:t>
      </w:r>
      <w:r w:rsidR="002565C7" w:rsidRPr="00142F12">
        <w:rPr>
          <w:rFonts w:cs="Times New Roman"/>
          <w:color w:val="000000" w:themeColor="text1"/>
        </w:rPr>
        <w:t xml:space="preserve">instance, </w:t>
      </w:r>
      <w:r w:rsidR="002565C7" w:rsidRPr="00142F12">
        <w:rPr>
          <w:rFonts w:cs="Times New Roman"/>
          <w:color w:val="000000" w:themeColor="text1"/>
          <w:szCs w:val="24"/>
        </w:rPr>
        <w:fldChar w:fldCharType="begin" w:fldLock="1"/>
      </w:r>
      <w:r w:rsidR="00BD7F46">
        <w:rPr>
          <w:rFonts w:cs="Times New Roman"/>
          <w:color w:val="000000" w:themeColor="text1"/>
          <w:szCs w:val="24"/>
        </w:rPr>
        <w:instrText>ADDIN CSL_CITATION {"citationItems":[{"id":"ITEM-1","itemData":{"DOI":"10.1016/j.jaccpubpol.2008.07.006","author":[{"dropping-particle":"","family":"Jackson","given":"Scott B","non-dropping-particle":"","parse-names":false,"suffix":""},{"dropping-particle":"","family":"Lopez","given":"Thomas J","non-dropping-particle":"","parse-names":false,"suffix":""},{"dropping-particle":"","family":"Reitenga","given":"Austin L","non-dropping-particle":"","parse-names":false,"suffix":""}],"container-title":"J. Account. Public Policy","id":"ITEM-1","issued":{"date-parts":[["2008"]]},"page":"374-393","title":"Accounting fundamentals and CEO bonus compensation","type":"article-journal","volume":"27"},"uris":["http://www.mendeley.com/documents/?uuid=674298f1-4421-4494-9a33-997753965fd3"]}],"mendeley":{"formattedCitation":"(Jackson et al., 2008)","manualFormatting":"Jackson et al.( 2008)","plainTextFormattedCitation":"(Jackson et al., 2008)","previouslyFormattedCitation":"(Jackson et al., 2008)"},"properties":{"noteIndex":0},"schema":"https://github.com/citation-style-language/schema/raw/master/csl-citation.json"}</w:instrText>
      </w:r>
      <w:r w:rsidR="002565C7" w:rsidRPr="00142F12">
        <w:rPr>
          <w:rFonts w:cs="Times New Roman"/>
          <w:color w:val="000000" w:themeColor="text1"/>
          <w:szCs w:val="24"/>
        </w:rPr>
        <w:fldChar w:fldCharType="separate"/>
      </w:r>
      <w:r w:rsidR="002565C7" w:rsidRPr="00142F12">
        <w:rPr>
          <w:rFonts w:cs="Times New Roman"/>
          <w:noProof/>
          <w:color w:val="000000" w:themeColor="text1"/>
          <w:szCs w:val="24"/>
        </w:rPr>
        <w:t>Jackson et al.( 2008)</w:t>
      </w:r>
      <w:r w:rsidR="002565C7" w:rsidRPr="00142F12">
        <w:rPr>
          <w:rFonts w:cs="Times New Roman"/>
          <w:color w:val="000000" w:themeColor="text1"/>
          <w:szCs w:val="24"/>
        </w:rPr>
        <w:fldChar w:fldCharType="end"/>
      </w:r>
      <w:r w:rsidR="002565C7" w:rsidRPr="00142F12">
        <w:rPr>
          <w:rFonts w:cs="Times New Roman"/>
          <w:color w:val="000000" w:themeColor="text1"/>
          <w:szCs w:val="24"/>
        </w:rPr>
        <w:t xml:space="preserve"> and </w:t>
      </w:r>
      <w:r w:rsidR="002565C7" w:rsidRPr="00142F12">
        <w:rPr>
          <w:rFonts w:cs="Times New Roman"/>
          <w:color w:val="000000" w:themeColor="text1"/>
          <w:szCs w:val="24"/>
        </w:rPr>
        <w:fldChar w:fldCharType="begin" w:fldLock="1"/>
      </w:r>
      <w:r w:rsidR="00BD7F46">
        <w:rPr>
          <w:rFonts w:cs="Times New Roman"/>
          <w:color w:val="000000" w:themeColor="text1"/>
          <w:szCs w:val="24"/>
        </w:rPr>
        <w:instrText>ADDIN CSL_CITATION {"citationItems":[{"id":"ITEM-1","itemData":{"DOI":"10.15294/aaj.v7i1.18490","ISSN":"2252-6765","abstract":"The purpose of this study was to analyze the effect of bonus compensation, and lever- age to earnings management and financial performance as an intervening variable in the manufacturing companies listed in Indonesia Stock Exchange (BEI) in 2014-2015. This study using method purposive sampling with 102 unit analysis of a population of 150 manufacturing companies. While the sample in this research there are 51 manu- facturing companies. The analysis technique used in this research that Path Analysis. The analytical tool used was SPSS 21. The results showed that the bonus compensa- tion significantly negative effect on earnings management. Leverage has no effect on earnings management and financial performance. Financial performance significantly has a positive effect on earnings management. Bonus compensation significantly has a positive effect on financial performance. The conclusions from the results of this study showed that the variable of financial performance positively and significantly is able to mediate the relationship between compensation bonuses to earnings management. However, the financial performance variables cannot mediate the relationship between leverage to earnings management","author":[{"dropping-particle":"","family":"Prihastomo","given":"Eka Deny","non-dropping-particle":"","parse-names":false,"suffix":""},{"dropping-particle":"","family":"Khafid","given":"Muhammad","non-dropping-particle":"","parse-names":false,"suffix":""}],"container-title":"Accounting Analysis Journal","id":"ITEM-1","issue":"1","issued":{"date-parts":[["2018"]]},"page":"52-60","title":"The Effect of Bonus Compensation and Leverage on Earnings Management with Financial Performance as Intervening Variable","type":"article-journal","volume":"7"},"uris":["http://www.mendeley.com/documents/?uuid=9c079b17-bfa9-4be3-a8af-b9aedee1c67a"]}],"mendeley":{"formattedCitation":"(Prihastomo &amp; Khafid, 2018)","manualFormatting":"Prihastomo and Khafid (2018)","plainTextFormattedCitation":"(Prihastomo &amp; Khafid, 2018)","previouslyFormattedCitation":"(Prihastomo &amp; Khafid, 2018)"},"properties":{"noteIndex":0},"schema":"https://github.com/citation-style-language/schema/raw/master/csl-citation.json"}</w:instrText>
      </w:r>
      <w:r w:rsidR="002565C7" w:rsidRPr="00142F12">
        <w:rPr>
          <w:rFonts w:cs="Times New Roman"/>
          <w:color w:val="000000" w:themeColor="text1"/>
          <w:szCs w:val="24"/>
        </w:rPr>
        <w:fldChar w:fldCharType="separate"/>
      </w:r>
      <w:r w:rsidR="002565C7" w:rsidRPr="00142F12">
        <w:rPr>
          <w:rFonts w:cs="Times New Roman"/>
          <w:noProof/>
          <w:color w:val="000000" w:themeColor="text1"/>
          <w:szCs w:val="24"/>
        </w:rPr>
        <w:t>Prihastomo and Khafid (2018)</w:t>
      </w:r>
      <w:r w:rsidR="002565C7" w:rsidRPr="00142F12">
        <w:rPr>
          <w:rFonts w:cs="Times New Roman"/>
          <w:color w:val="000000" w:themeColor="text1"/>
          <w:szCs w:val="24"/>
        </w:rPr>
        <w:fldChar w:fldCharType="end"/>
      </w:r>
      <w:r w:rsidR="002565C7" w:rsidRPr="00142F12">
        <w:rPr>
          <w:rFonts w:cs="Times New Roman"/>
          <w:color w:val="000000" w:themeColor="text1"/>
          <w:szCs w:val="24"/>
        </w:rPr>
        <w:t xml:space="preserve"> reported that financial performance had significant positive correlation with bonus compensation of the CEO</w:t>
      </w:r>
      <w:r w:rsidR="009A0677" w:rsidRPr="00142F12">
        <w:rPr>
          <w:rFonts w:cs="Times New Roman"/>
          <w:color w:val="000000" w:themeColor="text1"/>
          <w:szCs w:val="24"/>
        </w:rPr>
        <w:t xml:space="preserve">, while </w:t>
      </w:r>
      <w:r w:rsidR="009A0677" w:rsidRPr="00142F12">
        <w:rPr>
          <w:rFonts w:cs="Times New Roman"/>
          <w:noProof/>
          <w:color w:val="000000" w:themeColor="text1"/>
        </w:rPr>
        <w:t xml:space="preserve">Luo and Jackson </w:t>
      </w:r>
      <w:r w:rsidR="009A0677" w:rsidRPr="00142F12">
        <w:rPr>
          <w:rFonts w:cs="Times New Roman"/>
          <w:noProof/>
          <w:color w:val="000000" w:themeColor="text1"/>
        </w:rPr>
        <w:fldChar w:fldCharType="begin" w:fldLock="1"/>
      </w:r>
      <w:r w:rsidR="009A0677" w:rsidRPr="00142F12">
        <w:rPr>
          <w:rFonts w:cs="Times New Roman"/>
          <w:noProof/>
          <w:color w:val="000000" w:themeColor="text1"/>
        </w:rPr>
        <w:instrText>ADDIN CSL_CITATION {"citationItems":[{"id":"ITEM-1","itemData":{"DOI":"10.2139/ssrn.1893554","abstract":"Executive compensation in the U.S. banking industry has been criticized as a root cause of the recent financial crisis. This study examines the relationship between executive compensation, ownership structure, and firm performance for Chinese financial corporations during 2001-2009. The results reveal that executive compensation in Chinese banks follows a relation-based rather than a market-based contract. There is little evidence in support of the pay-for-performance setting for Chinese executive compensation. Ownership concentration has significantly negative impacts while firm size has significantly positive impacts on CEO compensation. Further, the involvement of state ownership tends to limit executive compensation, while the compensation committee is friendly and enhances management compensation. The results suggest that the government or regulation may ensure efficient corporate governance in business activity as a helping hand when corporate governance is weak.","author":[{"dropping-particle":"","family":"Luo","given":"Yongli","non-dropping-particle":"","parse-names":false,"suffix":""},{"dropping-particle":"","family":"Jackson","given":"Dave","non-dropping-particle":"","parse-names":false,"suffix":""}],"container-title":"Ssrn","id":"ITEM-1","issued":{"date-parts":[["2011"]]},"page":"56-74","title":"Executive Compensation, Ownership Structure and Firm Performance in Chinese Financial Corporations","type":"article-journal"},"uris":["http://www.mendeley.com/documents/?uuid=bb02e78d-ef0b-48df-8059-41f8bc0a40a3"]}],"mendeley":{"formattedCitation":"(Luo &amp; Jackson, 2011)","manualFormatting":"(2011)","plainTextFormattedCitation":"(Luo &amp; Jackson, 2011)","previouslyFormattedCitation":"(Luo &amp; Jackson, 2011)"},"properties":{"noteIndex":0},"schema":"https://github.com/citation-style-language/schema/raw/master/csl-citation.json"}</w:instrText>
      </w:r>
      <w:r w:rsidR="009A0677" w:rsidRPr="00142F12">
        <w:rPr>
          <w:rFonts w:cs="Times New Roman"/>
          <w:noProof/>
          <w:color w:val="000000" w:themeColor="text1"/>
        </w:rPr>
        <w:fldChar w:fldCharType="separate"/>
      </w:r>
      <w:r w:rsidR="009A0677" w:rsidRPr="00142F12">
        <w:rPr>
          <w:rFonts w:cs="Times New Roman"/>
          <w:noProof/>
          <w:color w:val="000000" w:themeColor="text1"/>
        </w:rPr>
        <w:t>(2011)</w:t>
      </w:r>
      <w:r w:rsidR="009A0677" w:rsidRPr="00142F12">
        <w:rPr>
          <w:rFonts w:cs="Times New Roman"/>
          <w:noProof/>
          <w:color w:val="000000" w:themeColor="text1"/>
        </w:rPr>
        <w:fldChar w:fldCharType="end"/>
      </w:r>
      <w:r w:rsidR="009A0677" w:rsidRPr="00142F12">
        <w:rPr>
          <w:rFonts w:cs="Times New Roman"/>
          <w:noProof/>
          <w:color w:val="000000" w:themeColor="text1"/>
        </w:rPr>
        <w:t xml:space="preserve"> found significant and negative correlation between financial perfomance and CEO</w:t>
      </w:r>
      <w:r w:rsidR="001F435C" w:rsidRPr="00BD7F46">
        <w:rPr>
          <w:rFonts w:cs="Times New Roman"/>
          <w:noProof/>
          <w:color w:val="000000" w:themeColor="text1"/>
        </w:rPr>
        <w:t xml:space="preserve"> </w:t>
      </w:r>
      <w:r w:rsidR="009A0677" w:rsidRPr="00142F12">
        <w:rPr>
          <w:rFonts w:cs="Times New Roman"/>
          <w:noProof/>
          <w:color w:val="000000" w:themeColor="text1"/>
        </w:rPr>
        <w:t xml:space="preserve">remuneration. </w:t>
      </w:r>
      <w:r w:rsidR="0087121D" w:rsidRPr="00142F12">
        <w:rPr>
          <w:rFonts w:cs="Times New Roman"/>
          <w:noProof/>
          <w:color w:val="000000" w:themeColor="text1"/>
        </w:rPr>
        <w:t xml:space="preserve">The </w:t>
      </w:r>
      <w:r w:rsidR="0087121D" w:rsidRPr="00AE0B3D">
        <w:rPr>
          <w:rFonts w:cs="Times New Roman"/>
          <w:noProof/>
        </w:rPr>
        <w:t>r</w:t>
      </w:r>
      <w:r w:rsidR="0023083F" w:rsidRPr="00AE0B3D">
        <w:rPr>
          <w:rFonts w:cs="Times New Roman"/>
          <w:noProof/>
        </w:rPr>
        <w:t>elationship</w:t>
      </w:r>
      <w:r w:rsidR="0023083F" w:rsidRPr="00AE0B3D">
        <w:rPr>
          <w:rFonts w:cs="Times New Roman"/>
        </w:rPr>
        <w:t xml:space="preserve"> also varies with context and country. There is </w:t>
      </w:r>
      <w:r w:rsidR="00FB68F4" w:rsidRPr="00AE0B3D">
        <w:rPr>
          <w:rFonts w:cs="Times New Roman"/>
          <w:noProof/>
        </w:rPr>
        <w:t>need</w:t>
      </w:r>
      <w:r w:rsidR="00FB68F4" w:rsidRPr="00AE0B3D">
        <w:rPr>
          <w:rFonts w:cs="Times New Roman"/>
        </w:rPr>
        <w:t xml:space="preserve"> for further research to </w:t>
      </w:r>
      <w:r w:rsidR="00FB68F4" w:rsidRPr="00AE0B3D">
        <w:rPr>
          <w:rFonts w:cs="Times New Roman"/>
          <w:noProof/>
        </w:rPr>
        <w:t>be undertake</w:t>
      </w:r>
      <w:r w:rsidR="0087121D" w:rsidRPr="00AE0B3D">
        <w:rPr>
          <w:rFonts w:cs="Times New Roman"/>
          <w:noProof/>
        </w:rPr>
        <w:t>n</w:t>
      </w:r>
      <w:r w:rsidR="00FB68F4" w:rsidRPr="00AE0B3D">
        <w:rPr>
          <w:rFonts w:cs="Times New Roman"/>
        </w:rPr>
        <w:t xml:space="preserve"> to reduce the inconsistencies available in </w:t>
      </w:r>
      <w:r w:rsidR="00FB68F4" w:rsidRPr="00AE0B3D">
        <w:rPr>
          <w:rFonts w:cs="Times New Roman"/>
          <w:noProof/>
        </w:rPr>
        <w:t>literature</w:t>
      </w:r>
      <w:r w:rsidR="00FB68F4" w:rsidRPr="00AE0B3D">
        <w:rPr>
          <w:rFonts w:cs="Times New Roman"/>
        </w:rPr>
        <w:t xml:space="preserve">. </w:t>
      </w:r>
    </w:p>
    <w:p w14:paraId="487FECD0" w14:textId="153F3212" w:rsidR="00457FD1" w:rsidRDefault="00FB68F4" w:rsidP="000B3CB0">
      <w:pPr>
        <w:rPr>
          <w:rFonts w:cs="Times New Roman"/>
        </w:rPr>
        <w:sectPr w:rsidR="00457FD1" w:rsidSect="00975779">
          <w:pgSz w:w="12240" w:h="15840"/>
          <w:pgMar w:top="1440" w:right="1440" w:bottom="1440" w:left="2160" w:header="720" w:footer="720" w:gutter="0"/>
          <w:cols w:space="720"/>
          <w:docGrid w:linePitch="360"/>
        </w:sectPr>
      </w:pPr>
      <w:r w:rsidRPr="00AE0B3D">
        <w:rPr>
          <w:rFonts w:cs="Times New Roman"/>
        </w:rPr>
        <w:t xml:space="preserve">Most of the research studies evaluated </w:t>
      </w:r>
      <w:r w:rsidR="00C67BE1" w:rsidRPr="00AE0B3D">
        <w:rPr>
          <w:rFonts w:cs="Times New Roman"/>
        </w:rPr>
        <w:t>utilized secondary</w:t>
      </w:r>
      <w:r w:rsidRPr="00AE0B3D">
        <w:rPr>
          <w:rFonts w:cs="Times New Roman"/>
        </w:rPr>
        <w:t xml:space="preserve"> data to </w:t>
      </w:r>
      <w:r w:rsidR="00C67BE1" w:rsidRPr="00AE0B3D">
        <w:rPr>
          <w:rFonts w:cs="Times New Roman"/>
        </w:rPr>
        <w:t xml:space="preserve">assess the relationship between remuneration and financial performance, hence </w:t>
      </w:r>
      <w:r w:rsidR="00C67BE1" w:rsidRPr="00AE0B3D">
        <w:rPr>
          <w:rFonts w:cs="Times New Roman"/>
          <w:noProof/>
        </w:rPr>
        <w:t>need</w:t>
      </w:r>
      <w:r w:rsidR="00C67BE1" w:rsidRPr="00AE0B3D">
        <w:rPr>
          <w:rFonts w:cs="Times New Roman"/>
        </w:rPr>
        <w:t xml:space="preserve"> for use of </w:t>
      </w:r>
      <w:r w:rsidR="00741A6C" w:rsidRPr="00AE0B3D">
        <w:rPr>
          <w:rFonts w:cs="Times New Roman"/>
        </w:rPr>
        <w:t>secondary data</w:t>
      </w:r>
      <w:r w:rsidR="00C67BE1" w:rsidRPr="00AE0B3D">
        <w:rPr>
          <w:rFonts w:cs="Times New Roman"/>
        </w:rPr>
        <w:t xml:space="preserve"> to assess the relationship</w:t>
      </w:r>
      <w:r w:rsidR="00741A6C" w:rsidRPr="00AE0B3D">
        <w:rPr>
          <w:rFonts w:cs="Times New Roman"/>
        </w:rPr>
        <w:t xml:space="preserve"> in the Kenyan context</w:t>
      </w:r>
      <w:r w:rsidR="0063308A">
        <w:rPr>
          <w:rFonts w:cs="Times New Roman"/>
        </w:rPr>
        <w:t xml:space="preserve"> for comparison purpose</w:t>
      </w:r>
      <w:r w:rsidR="00C67BE1" w:rsidRPr="00AE0B3D">
        <w:rPr>
          <w:rFonts w:cs="Times New Roman"/>
        </w:rPr>
        <w:t xml:space="preserve">. Furthermore, only </w:t>
      </w:r>
      <w:r w:rsidR="00C67BE1" w:rsidRPr="00AE0B3D">
        <w:rPr>
          <w:rFonts w:cs="Times New Roman"/>
          <w:noProof/>
        </w:rPr>
        <w:t xml:space="preserve">Njanja et al. </w:t>
      </w:r>
      <w:sdt>
        <w:sdtPr>
          <w:rPr>
            <w:rFonts w:cs="Times New Roman"/>
          </w:rPr>
          <w:id w:val="622810563"/>
          <w:citation/>
        </w:sdtPr>
        <w:sdtEndPr/>
        <w:sdtContent>
          <w:r w:rsidR="00587420" w:rsidRPr="00AE0B3D">
            <w:rPr>
              <w:rFonts w:cs="Times New Roman"/>
            </w:rPr>
            <w:fldChar w:fldCharType="begin"/>
          </w:r>
          <w:r w:rsidR="00C67BE1" w:rsidRPr="00AE0B3D">
            <w:rPr>
              <w:rFonts w:cs="Times New Roman"/>
            </w:rPr>
            <w:instrText xml:space="preserve">CITATION Nja13 \n  \t  \l 1033 </w:instrText>
          </w:r>
          <w:r w:rsidR="00587420" w:rsidRPr="00AE0B3D">
            <w:rPr>
              <w:rFonts w:cs="Times New Roman"/>
            </w:rPr>
            <w:fldChar w:fldCharType="separate"/>
          </w:r>
          <w:r w:rsidR="0054398B" w:rsidRPr="00AE0B3D">
            <w:rPr>
              <w:rFonts w:cs="Times New Roman"/>
              <w:noProof/>
            </w:rPr>
            <w:t>(2013)</w:t>
          </w:r>
          <w:r w:rsidR="00587420" w:rsidRPr="00AE0B3D">
            <w:rPr>
              <w:rFonts w:cs="Times New Roman"/>
            </w:rPr>
            <w:fldChar w:fldCharType="end"/>
          </w:r>
        </w:sdtContent>
      </w:sdt>
      <w:r w:rsidR="00E361E6" w:rsidRPr="00AE0B3D">
        <w:rPr>
          <w:rFonts w:cs="Times New Roman"/>
        </w:rPr>
        <w:t xml:space="preserve">, </w:t>
      </w:r>
      <w:r w:rsidR="00E361E6" w:rsidRPr="00AE0B3D">
        <w:rPr>
          <w:rFonts w:cs="Times New Roman"/>
        </w:rPr>
        <w:fldChar w:fldCharType="begin" w:fldLock="1"/>
      </w:r>
      <w:r w:rsidR="00536D65" w:rsidRPr="00AE0B3D">
        <w:rPr>
          <w:rFonts w:cs="Times New Roman"/>
        </w:rPr>
        <w:instrText>ADDIN CSL_CITATION {"citationItems":[{"id":"ITEM-1","itemData":{"author":[{"dropping-particle":"","family":"Nyaribo","given":"Oburu Lewis","non-dropping-particle":"","parse-names":false,"suffix":""},{"dropping-particle":"","family":"Nyakundi","given":"Atambo Wallace","non-dropping-particle":"","parse-names":false,"suffix":""}],"container-title":"Imperial Journal of Interdisciplinary Research (IJIR)","id":"ITEM-1","issue":"6","issued":{"date-parts":[["2016"]]},"page":"103-126","title":"The Effect of Non-Financial Compensation on Employee Performance of Micro-Finance Institutions: A Case of Wakenya Pamoja Sacco, Kisii County, Kenya","type":"article-journal","volume":"2"},"uris":["http://www.mendeley.com/documents/?uuid=c2bd51ef-a788-423f-9058-c8b1d4123b57"]}],"mendeley":{"formattedCitation":"(Nyaribo &amp; Nyakundi, 2016)","manualFormatting":"Nyaribo and Nyakundi (2016)","plainTextFormattedCitation":"(Nyaribo &amp; Nyakundi, 2016)","previouslyFormattedCitation":"(Nyaribo &amp; Nyakundi, 2016)"},"properties":{"noteIndex":0},"schema":"https://github.com/citation-style-language/schema/raw/master/csl-citation.json"}</w:instrText>
      </w:r>
      <w:r w:rsidR="00E361E6" w:rsidRPr="00AE0B3D">
        <w:rPr>
          <w:rFonts w:cs="Times New Roman"/>
        </w:rPr>
        <w:fldChar w:fldCharType="separate"/>
      </w:r>
      <w:r w:rsidR="00E361E6" w:rsidRPr="00AE0B3D">
        <w:rPr>
          <w:rFonts w:cs="Times New Roman"/>
          <w:noProof/>
        </w:rPr>
        <w:t xml:space="preserve">Nyaribo and Nyakundi </w:t>
      </w:r>
      <w:r w:rsidR="00536D65" w:rsidRPr="00AE0B3D">
        <w:rPr>
          <w:rFonts w:cs="Times New Roman"/>
          <w:noProof/>
        </w:rPr>
        <w:t>(</w:t>
      </w:r>
      <w:r w:rsidR="00E361E6" w:rsidRPr="00AE0B3D">
        <w:rPr>
          <w:rFonts w:cs="Times New Roman"/>
          <w:noProof/>
        </w:rPr>
        <w:t>2016)</w:t>
      </w:r>
      <w:r w:rsidR="00E361E6" w:rsidRPr="00AE0B3D">
        <w:rPr>
          <w:rFonts w:cs="Times New Roman"/>
        </w:rPr>
        <w:fldChar w:fldCharType="end"/>
      </w:r>
      <w:r w:rsidR="00C67BE1" w:rsidRPr="00AE0B3D">
        <w:rPr>
          <w:rFonts w:cs="Times New Roman"/>
        </w:rPr>
        <w:t xml:space="preserve"> </w:t>
      </w:r>
      <w:r w:rsidR="00536D65" w:rsidRPr="00AE0B3D">
        <w:rPr>
          <w:rFonts w:cs="Times New Roman"/>
        </w:rPr>
        <w:t xml:space="preserve">and </w:t>
      </w:r>
      <w:r w:rsidR="00536D65" w:rsidRPr="00AE0B3D">
        <w:rPr>
          <w:rFonts w:cs="Times New Roman"/>
        </w:rPr>
        <w:fldChar w:fldCharType="begin" w:fldLock="1"/>
      </w:r>
      <w:r w:rsidR="00690F1D">
        <w:rPr>
          <w:rFonts w:cs="Times New Roman"/>
        </w:rPr>
        <w:instrText>ADDIN CSL_CITATION {"citationItems":[{"id":"ITEM-1","itemData":{"DOI":"10.15520/jbme.2015.vol3.iss11.158.pp33-40","ISBN":"2146-4138","ISSN":"2146-4138","author":[{"dropping-particle":"","family":"Ongore","given":"Vincent Okoth;","non-dropping-particle":"","parse-names":false,"suffix":""},{"dropping-particle":"","family":"Kusa","given":"Gemechu Berhanu","non-dropping-particle":"","parse-names":false,"suffix":""}],"container-title":"International journal of economics and financial","id":"ITEM-1","issue":"1","issued":{"date-parts":[["2013"]]},"page":"237-252","title":"Determinants of financial performance of commercial banks in Kenya","type":"article-journal","volume":"3"},"uris":["http://www.mendeley.com/documents/?uuid=1ac903a5-40e3-4abb-aa43-5228c90fc504"]}],"mendeley":{"formattedCitation":"(Vincent Okoth; Ongore &amp; Kusa, 2013)","manualFormatting":"Ongore and Kusa (2013)","plainTextFormattedCitation":"(Vincent Okoth; Ongore &amp; Kusa, 2013)","previouslyFormattedCitation":"(Vincent Okoth; Ongore &amp; Kusa, 2013)"},"properties":{"noteIndex":0},"schema":"https://github.com/citation-style-language/schema/raw/master/csl-citation.json"}</w:instrText>
      </w:r>
      <w:r w:rsidR="00536D65" w:rsidRPr="00AE0B3D">
        <w:rPr>
          <w:rFonts w:cs="Times New Roman"/>
        </w:rPr>
        <w:fldChar w:fldCharType="separate"/>
      </w:r>
      <w:r w:rsidR="00536D65" w:rsidRPr="00AE0B3D">
        <w:rPr>
          <w:rFonts w:cs="Times New Roman"/>
          <w:noProof/>
        </w:rPr>
        <w:t xml:space="preserve">Ongore </w:t>
      </w:r>
      <w:r w:rsidR="00403BB3" w:rsidRPr="00AE0B3D">
        <w:rPr>
          <w:rFonts w:cs="Times New Roman"/>
          <w:noProof/>
        </w:rPr>
        <w:t>and</w:t>
      </w:r>
      <w:r w:rsidR="00536D65" w:rsidRPr="00AE0B3D">
        <w:rPr>
          <w:rFonts w:cs="Times New Roman"/>
          <w:noProof/>
        </w:rPr>
        <w:t xml:space="preserve"> Kusa </w:t>
      </w:r>
      <w:r w:rsidR="00403BB3" w:rsidRPr="00AE0B3D">
        <w:rPr>
          <w:rFonts w:cs="Times New Roman"/>
          <w:noProof/>
        </w:rPr>
        <w:t>(</w:t>
      </w:r>
      <w:r w:rsidR="00536D65" w:rsidRPr="00AE0B3D">
        <w:rPr>
          <w:rFonts w:cs="Times New Roman"/>
          <w:noProof/>
        </w:rPr>
        <w:t>2013)</w:t>
      </w:r>
      <w:r w:rsidR="00536D65" w:rsidRPr="00AE0B3D">
        <w:rPr>
          <w:rFonts w:cs="Times New Roman"/>
        </w:rPr>
        <w:fldChar w:fldCharType="end"/>
      </w:r>
      <w:r w:rsidR="00536D65" w:rsidRPr="00AE0B3D">
        <w:rPr>
          <w:rFonts w:cs="Times New Roman"/>
        </w:rPr>
        <w:t xml:space="preserve"> </w:t>
      </w:r>
      <w:r w:rsidR="00C67BE1" w:rsidRPr="00AE0B3D">
        <w:rPr>
          <w:rFonts w:cs="Times New Roman"/>
        </w:rPr>
        <w:t xml:space="preserve">evaluated the relationship between reward and </w:t>
      </w:r>
      <w:r w:rsidR="005875F2" w:rsidRPr="00AE0B3D">
        <w:rPr>
          <w:rFonts w:cs="Times New Roman"/>
        </w:rPr>
        <w:t>employee performance in Kenya.</w:t>
      </w:r>
      <w:r w:rsidR="008E2824" w:rsidRPr="00AE0B3D">
        <w:rPr>
          <w:rFonts w:cs="Times New Roman"/>
        </w:rPr>
        <w:t xml:space="preserve"> The research </w:t>
      </w:r>
      <w:r w:rsidR="008E2824" w:rsidRPr="00AE0B3D">
        <w:rPr>
          <w:rFonts w:cs="Times New Roman"/>
          <w:noProof/>
        </w:rPr>
        <w:t>however</w:t>
      </w:r>
      <w:r w:rsidR="008E2824" w:rsidRPr="00AE0B3D">
        <w:rPr>
          <w:rFonts w:cs="Times New Roman"/>
        </w:rPr>
        <w:t xml:space="preserve"> did not evaluate the financial performance of the </w:t>
      </w:r>
      <w:r w:rsidR="00403BB3" w:rsidRPr="00AE0B3D">
        <w:rPr>
          <w:rFonts w:cs="Times New Roman"/>
        </w:rPr>
        <w:t xml:space="preserve">companies from </w:t>
      </w:r>
      <w:r w:rsidR="00EA5814" w:rsidRPr="00AE0B3D">
        <w:rPr>
          <w:rFonts w:cs="Times New Roman"/>
        </w:rPr>
        <w:t>multiple industries</w:t>
      </w:r>
      <w:r w:rsidR="001F435C">
        <w:rPr>
          <w:rFonts w:cs="Times New Roman"/>
        </w:rPr>
        <w:t xml:space="preserve"> as all </w:t>
      </w:r>
      <w:r w:rsidR="006645E9">
        <w:rPr>
          <w:rFonts w:cs="Times New Roman"/>
        </w:rPr>
        <w:t>focused-on</w:t>
      </w:r>
      <w:r w:rsidR="001F435C">
        <w:rPr>
          <w:rFonts w:cs="Times New Roman"/>
        </w:rPr>
        <w:t xml:space="preserve"> use of one case study</w:t>
      </w:r>
      <w:r w:rsidR="008E2824" w:rsidRPr="00AE0B3D">
        <w:rPr>
          <w:rFonts w:cs="Times New Roman"/>
        </w:rPr>
        <w:t xml:space="preserve">. </w:t>
      </w:r>
      <w:r w:rsidR="00A94E2B" w:rsidRPr="00AE0B3D">
        <w:rPr>
          <w:rFonts w:cs="Times New Roman"/>
        </w:rPr>
        <w:t>The finding may not be applicable to other industries</w:t>
      </w:r>
      <w:r w:rsidR="001F435C">
        <w:rPr>
          <w:rFonts w:cs="Times New Roman"/>
        </w:rPr>
        <w:t xml:space="preserve"> within the Kenyan context</w:t>
      </w:r>
      <w:r w:rsidR="00A94E2B" w:rsidRPr="00AE0B3D">
        <w:rPr>
          <w:rFonts w:cs="Times New Roman"/>
        </w:rPr>
        <w:t>. Furthermore, similar research has been undertaken in other countries</w:t>
      </w:r>
      <w:r w:rsidR="00437730">
        <w:rPr>
          <w:rFonts w:cs="Times New Roman"/>
        </w:rPr>
        <w:t xml:space="preserve"> such as South Africa, Nigeria, UK, USA, China, and Pakistan. </w:t>
      </w:r>
      <w:r w:rsidR="00380A19" w:rsidRPr="00AE0B3D">
        <w:rPr>
          <w:rFonts w:cs="Times New Roman"/>
        </w:rPr>
        <w:t>However,</w:t>
      </w:r>
      <w:r w:rsidR="00A94E2B" w:rsidRPr="00AE0B3D">
        <w:rPr>
          <w:rFonts w:cs="Times New Roman"/>
        </w:rPr>
        <w:t xml:space="preserve"> there is differences in social and legal structures, and economic performance history as compared to Kenya which may result in difference in correlation between management remuneration and financial performance. Therefore, the finding of </w:t>
      </w:r>
      <w:r w:rsidR="00A94E2B" w:rsidRPr="00AE0B3D">
        <w:rPr>
          <w:rFonts w:cs="Times New Roman"/>
        </w:rPr>
        <w:lastRenderedPageBreak/>
        <w:t>the other countries may not be applicable in the context of Kenya</w:t>
      </w:r>
      <w:r w:rsidR="002665E7" w:rsidRPr="00AE0B3D">
        <w:rPr>
          <w:rFonts w:cs="Times New Roman"/>
        </w:rPr>
        <w:t>.</w:t>
      </w:r>
      <w:r w:rsidR="00DA6469" w:rsidRPr="00AE0B3D">
        <w:rPr>
          <w:rFonts w:cs="Times New Roman"/>
        </w:rPr>
        <w:t xml:space="preserve"> In addition, the evaluation of </w:t>
      </w:r>
      <w:r w:rsidR="002F76DF" w:rsidRPr="00AE0B3D">
        <w:rPr>
          <w:rFonts w:cs="Times New Roman"/>
        </w:rPr>
        <w:t>literature</w:t>
      </w:r>
      <w:r w:rsidR="00DA6469" w:rsidRPr="00AE0B3D">
        <w:rPr>
          <w:rFonts w:cs="Times New Roman"/>
        </w:rPr>
        <w:t xml:space="preserve"> </w:t>
      </w:r>
      <w:r w:rsidR="002F76DF" w:rsidRPr="00AE0B3D">
        <w:rPr>
          <w:rFonts w:cs="Times New Roman"/>
        </w:rPr>
        <w:t>has</w:t>
      </w:r>
      <w:r w:rsidR="00DA6469" w:rsidRPr="00AE0B3D">
        <w:rPr>
          <w:rFonts w:cs="Times New Roman"/>
        </w:rPr>
        <w:t xml:space="preserve"> identified that there </w:t>
      </w:r>
      <w:r w:rsidR="002F76DF" w:rsidRPr="00AE0B3D">
        <w:rPr>
          <w:rFonts w:cs="Times New Roman"/>
        </w:rPr>
        <w:t>is</w:t>
      </w:r>
      <w:r w:rsidR="00DA6469" w:rsidRPr="00AE0B3D">
        <w:rPr>
          <w:rFonts w:cs="Times New Roman"/>
        </w:rPr>
        <w:t xml:space="preserve"> conflict of finding</w:t>
      </w:r>
      <w:r w:rsidR="00F770FD" w:rsidRPr="00AE0B3D">
        <w:rPr>
          <w:rFonts w:cs="Times New Roman"/>
        </w:rPr>
        <w:t>s and conclusion</w:t>
      </w:r>
      <w:r w:rsidR="00DA6469" w:rsidRPr="00AE0B3D">
        <w:rPr>
          <w:rFonts w:cs="Times New Roman"/>
        </w:rPr>
        <w:t>. Some research</w:t>
      </w:r>
      <w:r w:rsidR="002F76DF" w:rsidRPr="00AE0B3D">
        <w:rPr>
          <w:rFonts w:cs="Times New Roman"/>
        </w:rPr>
        <w:t xml:space="preserve"> studies</w:t>
      </w:r>
      <w:r w:rsidR="00DA6469" w:rsidRPr="00AE0B3D">
        <w:rPr>
          <w:rFonts w:cs="Times New Roman"/>
        </w:rPr>
        <w:t xml:space="preserve"> have found positive cor</w:t>
      </w:r>
      <w:r w:rsidR="002F76DF" w:rsidRPr="00AE0B3D">
        <w:rPr>
          <w:rFonts w:cs="Times New Roman"/>
        </w:rPr>
        <w:t xml:space="preserve">relation between management remuneration and financial </w:t>
      </w:r>
      <w:r w:rsidR="00F770FD" w:rsidRPr="00AE0B3D">
        <w:rPr>
          <w:rFonts w:cs="Times New Roman"/>
        </w:rPr>
        <w:t>performance</w:t>
      </w:r>
      <w:r w:rsidR="002F76DF" w:rsidRPr="00AE0B3D">
        <w:rPr>
          <w:rFonts w:cs="Times New Roman"/>
        </w:rPr>
        <w:t xml:space="preserve"> </w:t>
      </w:r>
      <w:r w:rsidR="00F770FD" w:rsidRPr="00AE0B3D">
        <w:rPr>
          <w:rFonts w:cs="Times New Roman"/>
        </w:rPr>
        <w:t xml:space="preserve">while other found no relation or negative relationship. There is thus need for more research to be undertaken to evaluate the relationship based on country and industry specific context. </w:t>
      </w:r>
    </w:p>
    <w:p w14:paraId="690DB165" w14:textId="77777777" w:rsidR="005C4B28" w:rsidRPr="00AE0B3D" w:rsidRDefault="005C4B28" w:rsidP="0036439E">
      <w:pPr>
        <w:pStyle w:val="Heading1"/>
        <w:rPr>
          <w:rFonts w:eastAsiaTheme="minorHAnsi" w:cs="Times New Roman"/>
        </w:rPr>
      </w:pPr>
      <w:bookmarkStart w:id="57" w:name="_Toc78067519"/>
      <w:r w:rsidRPr="00AE0B3D">
        <w:rPr>
          <w:rFonts w:eastAsiaTheme="minorHAnsi" w:cs="Times New Roman"/>
        </w:rPr>
        <w:lastRenderedPageBreak/>
        <w:t>CHAPTER THREE</w:t>
      </w:r>
      <w:bookmarkEnd w:id="57"/>
    </w:p>
    <w:p w14:paraId="4D5B6C4C" w14:textId="3263DBD6" w:rsidR="0036439E" w:rsidRPr="00AE0B3D" w:rsidRDefault="0036439E" w:rsidP="0036439E">
      <w:pPr>
        <w:pStyle w:val="Heading1"/>
        <w:rPr>
          <w:rFonts w:eastAsiaTheme="minorHAnsi" w:cs="Times New Roman"/>
          <w:sz w:val="24"/>
          <w:szCs w:val="22"/>
        </w:rPr>
      </w:pPr>
      <w:bookmarkStart w:id="58" w:name="_Toc78067520"/>
      <w:r w:rsidRPr="00AE0B3D">
        <w:rPr>
          <w:rFonts w:eastAsiaTheme="minorHAnsi" w:cs="Times New Roman"/>
        </w:rPr>
        <w:t>RESEARCH METHODOLOGY</w:t>
      </w:r>
      <w:bookmarkEnd w:id="58"/>
      <w:r w:rsidRPr="00AE0B3D">
        <w:rPr>
          <w:rFonts w:eastAsiaTheme="minorHAnsi" w:cs="Times New Roman"/>
          <w:sz w:val="24"/>
          <w:szCs w:val="22"/>
        </w:rPr>
        <w:t xml:space="preserve"> </w:t>
      </w:r>
    </w:p>
    <w:p w14:paraId="3BF560E2" w14:textId="252797CB" w:rsidR="003E503B" w:rsidRPr="00AE0B3D" w:rsidRDefault="003E503B" w:rsidP="003E503B">
      <w:pPr>
        <w:pStyle w:val="Heading2"/>
      </w:pPr>
      <w:bookmarkStart w:id="59" w:name="_Toc78067521"/>
      <w:r w:rsidRPr="00AE0B3D">
        <w:t>Introduction</w:t>
      </w:r>
      <w:bookmarkEnd w:id="59"/>
    </w:p>
    <w:p w14:paraId="5BE29DEC" w14:textId="29394035" w:rsidR="00BF62DD" w:rsidRPr="00AE0B3D" w:rsidRDefault="00BC10CC" w:rsidP="00BF62DD">
      <w:pPr>
        <w:rPr>
          <w:rFonts w:cs="Times New Roman"/>
        </w:rPr>
      </w:pPr>
      <w:r w:rsidRPr="00AE0B3D">
        <w:rPr>
          <w:rFonts w:cs="Times New Roman"/>
        </w:rPr>
        <w:t xml:space="preserve">This chapter present </w:t>
      </w:r>
      <w:r w:rsidR="00CF39E1" w:rsidRPr="00AE0B3D">
        <w:rPr>
          <w:rFonts w:cs="Times New Roman"/>
        </w:rPr>
        <w:t xml:space="preserve">the methods that </w:t>
      </w:r>
      <w:r w:rsidR="002A7834">
        <w:rPr>
          <w:rFonts w:cs="Times New Roman"/>
        </w:rPr>
        <w:t>was</w:t>
      </w:r>
      <w:r w:rsidR="00CF39E1" w:rsidRPr="00AE0B3D">
        <w:rPr>
          <w:rFonts w:cs="Times New Roman"/>
        </w:rPr>
        <w:t xml:space="preserve"> adopted in data collection and </w:t>
      </w:r>
      <w:r w:rsidR="00C85277" w:rsidRPr="00AE0B3D">
        <w:rPr>
          <w:rFonts w:cs="Times New Roman"/>
        </w:rPr>
        <w:t xml:space="preserve">analysis during the research undertaking. </w:t>
      </w:r>
      <w:r w:rsidR="003E503B" w:rsidRPr="00AE0B3D">
        <w:rPr>
          <w:rFonts w:cs="Times New Roman"/>
        </w:rPr>
        <w:t xml:space="preserve">The section </w:t>
      </w:r>
      <w:r w:rsidR="006645E9" w:rsidRPr="00AE0B3D">
        <w:rPr>
          <w:rFonts w:cs="Times New Roman"/>
        </w:rPr>
        <w:t>covers</w:t>
      </w:r>
      <w:r w:rsidR="003E503B" w:rsidRPr="00AE0B3D">
        <w:rPr>
          <w:rFonts w:cs="Times New Roman"/>
        </w:rPr>
        <w:t xml:space="preserve"> the research design, target population, tools for data collection, data analysis and ethical considerations. </w:t>
      </w:r>
    </w:p>
    <w:p w14:paraId="1FD14958" w14:textId="77777777" w:rsidR="00A60EE8" w:rsidRPr="00AE0B3D" w:rsidRDefault="00A60EE8" w:rsidP="00397C82">
      <w:pPr>
        <w:pStyle w:val="Heading2"/>
        <w:rPr>
          <w:rFonts w:cs="Times New Roman"/>
        </w:rPr>
      </w:pPr>
      <w:bookmarkStart w:id="60" w:name="_Toc78067522"/>
      <w:r w:rsidRPr="00AE0B3D">
        <w:rPr>
          <w:rFonts w:cs="Times New Roman"/>
        </w:rPr>
        <w:t xml:space="preserve">Research </w:t>
      </w:r>
      <w:r w:rsidR="0036439E" w:rsidRPr="00AE0B3D">
        <w:rPr>
          <w:rFonts w:cs="Times New Roman"/>
        </w:rPr>
        <w:t>D</w:t>
      </w:r>
      <w:r w:rsidRPr="00AE0B3D">
        <w:rPr>
          <w:rFonts w:cs="Times New Roman"/>
        </w:rPr>
        <w:t>esign</w:t>
      </w:r>
      <w:r w:rsidR="0036439E" w:rsidRPr="00AE0B3D">
        <w:rPr>
          <w:rFonts w:cs="Times New Roman"/>
        </w:rPr>
        <w:t>s</w:t>
      </w:r>
      <w:bookmarkEnd w:id="60"/>
    </w:p>
    <w:p w14:paraId="5936F391" w14:textId="52812625" w:rsidR="00217F98" w:rsidRPr="00AE0B3D" w:rsidRDefault="00C85277" w:rsidP="00BF62DD">
      <w:pPr>
        <w:rPr>
          <w:rFonts w:cs="Times New Roman"/>
        </w:rPr>
      </w:pPr>
      <w:r w:rsidRPr="00AE0B3D">
        <w:rPr>
          <w:rFonts w:cs="Times New Roman"/>
        </w:rPr>
        <w:t>The research adopt</w:t>
      </w:r>
      <w:r w:rsidR="00672695" w:rsidRPr="00AE0B3D">
        <w:rPr>
          <w:rFonts w:cs="Times New Roman"/>
        </w:rPr>
        <w:t>ed</w:t>
      </w:r>
      <w:r w:rsidR="00CE5B91" w:rsidRPr="00AE0B3D">
        <w:rPr>
          <w:rFonts w:cs="Times New Roman"/>
        </w:rPr>
        <w:t xml:space="preserve"> descriptive and</w:t>
      </w:r>
      <w:r w:rsidRPr="00AE0B3D">
        <w:rPr>
          <w:rFonts w:cs="Times New Roman"/>
        </w:rPr>
        <w:t xml:space="preserve"> </w:t>
      </w:r>
      <w:r w:rsidR="00CE5B91" w:rsidRPr="00AE0B3D">
        <w:rPr>
          <w:rFonts w:cs="Times New Roman"/>
        </w:rPr>
        <w:t>corr</w:t>
      </w:r>
      <w:r w:rsidRPr="00AE0B3D">
        <w:rPr>
          <w:rFonts w:cs="Times New Roman"/>
        </w:rPr>
        <w:t>e</w:t>
      </w:r>
      <w:r w:rsidR="00CE5B91" w:rsidRPr="00AE0B3D">
        <w:rPr>
          <w:rFonts w:cs="Times New Roman"/>
        </w:rPr>
        <w:t>lational</w:t>
      </w:r>
      <w:r w:rsidRPr="00AE0B3D">
        <w:rPr>
          <w:rFonts w:cs="Times New Roman"/>
        </w:rPr>
        <w:t xml:space="preserve"> research </w:t>
      </w:r>
      <w:r w:rsidR="007A2439" w:rsidRPr="00AE0B3D">
        <w:rPr>
          <w:rFonts w:cs="Times New Roman"/>
        </w:rPr>
        <w:t xml:space="preserve">design </w:t>
      </w:r>
      <w:r w:rsidRPr="00AE0B3D">
        <w:rPr>
          <w:rFonts w:cs="Times New Roman"/>
        </w:rPr>
        <w:t xml:space="preserve">in evaluating the relationship between </w:t>
      </w:r>
      <w:r w:rsidR="00A9009C" w:rsidRPr="00AE0B3D">
        <w:rPr>
          <w:rFonts w:cs="Times New Roman"/>
        </w:rPr>
        <w:t xml:space="preserve">management </w:t>
      </w:r>
      <w:r w:rsidR="001C71E9" w:rsidRPr="00AE0B3D">
        <w:rPr>
          <w:rFonts w:cs="Times New Roman"/>
          <w:noProof/>
        </w:rPr>
        <w:t>remuneration</w:t>
      </w:r>
      <w:r w:rsidR="001C71E9" w:rsidRPr="00AE0B3D">
        <w:rPr>
          <w:rFonts w:cs="Times New Roman"/>
        </w:rPr>
        <w:t xml:space="preserve"> and</w:t>
      </w:r>
      <w:r w:rsidRPr="00AE0B3D">
        <w:rPr>
          <w:rFonts w:cs="Times New Roman"/>
        </w:rPr>
        <w:t xml:space="preserve"> the financial performance of </w:t>
      </w:r>
      <w:r w:rsidR="003C70B2" w:rsidRPr="00AE0B3D">
        <w:rPr>
          <w:rFonts w:cs="Times New Roman"/>
          <w:noProof/>
        </w:rPr>
        <w:t>organizations</w:t>
      </w:r>
      <w:r w:rsidR="003C70B2" w:rsidRPr="00AE0B3D">
        <w:rPr>
          <w:rFonts w:cs="Times New Roman"/>
        </w:rPr>
        <w:t>.</w:t>
      </w:r>
      <w:r w:rsidR="0076398C" w:rsidRPr="00AE0B3D">
        <w:rPr>
          <w:rFonts w:cs="Times New Roman"/>
        </w:rPr>
        <w:t xml:space="preserve"> The correlational part of the design was adopted as part of the resear</w:t>
      </w:r>
      <w:r w:rsidR="006927C6" w:rsidRPr="00AE0B3D">
        <w:rPr>
          <w:rFonts w:cs="Times New Roman"/>
        </w:rPr>
        <w:t>ch aim to evaluate the relationship between management remuneration and financial performance. Correlation can be effective in assessing the relationship hence its ado</w:t>
      </w:r>
      <w:r w:rsidR="000A564F" w:rsidRPr="00AE0B3D">
        <w:rPr>
          <w:rFonts w:cs="Times New Roman"/>
        </w:rPr>
        <w:t>ption</w:t>
      </w:r>
      <w:r w:rsidR="00217F98" w:rsidRPr="00AE0B3D">
        <w:rPr>
          <w:rFonts w:cs="Times New Roman"/>
        </w:rPr>
        <w:t xml:space="preserve"> </w:t>
      </w:r>
      <w:r w:rsidR="0087152C" w:rsidRPr="00AE0B3D">
        <w:rPr>
          <w:rFonts w:cs="Times New Roman"/>
        </w:rPr>
        <w:fldChar w:fldCharType="begin" w:fldLock="1"/>
      </w:r>
      <w:r w:rsidR="00955099">
        <w:rPr>
          <w:rFonts w:cs="Times New Roman"/>
        </w:rPr>
        <w:instrText>ADDIN CSL_CITATION {"citationItems":[{"id":"ITEM-1","itemData":{"DOI":"10.1016/j.nedt.2013.12.005","ISSN":"15322793","abstract":"Background: The current rise in employment is improving forecasts for the future supply of registered nurses; however sizeable shortages are still projected. With the intention of improving academic success in nursing students, related factors need to be better understood. Objectives: The purpose of the correlational study was to describe the relationship between emotional intelligence, psychological empowerment, resilience, spiritual well-being, and academic success in undergraduate and graduate nursing students. Design/setting: A descriptive correlational design was utilized. The study was set in a private Catholic university. Participants: There were 124 participants. There were 59% undergraduate and 41% graduate students. Methods: Background data, in addition to the Spreitzer Psychological Empowerment Scale, the Wagnild and Young Resilience Scale, and the Spiritual Well-Being Scale and the Mayer-Salovey-Caruso Emotional Intelligence Test, was collected from students who met study criteria. Results: In a combined sample, academic success was correlated with overall spiritual well-being, empowerment and resilience. Although academic success was not correlated with overall emotional intelligence, it was correlated with the emotional intelligence branch four (managing emotions) score. When undergraduate and graduate students were considered separately, only one correlation was found to be significantly related to academic success in the undergraduate sample, namely, emotional intelligence branch one (perceiving emotions). When examining the data from just graduate level nurses, significant relationships were found between total emotional intelligence with academic success, resilience with academic success, and psychological empowerment with academic success. Conclusion: The significant relationship between psychological empowerment, resilience, spiritual well-being and academic success in this study supports the statements in the literature that these concepts may play an important role in persistence through the challenges of nursing education. Research is needed to examine if strategies to enhance empowerment, resilience, and spiritual well-being can increase academic success in a test-retest design. © 2013 Elsevier Ltd.","author":[{"dropping-particle":"","family":"Beauvais","given":"Audrey M.","non-dropping-particle":"","parse-names":false,"suffix":""},{"dropping-particle":"","family":"Stewart","given":"Julie G.","non-dropping-particle":"","parse-names":false,"suffix":""},{"dropping-particle":"","family":"DeNisco","given":"Susan","non-dropping-particle":"","parse-names":false,"suffix":""},{"dropping-particle":"","family":"Beauvais","given":"John E.","non-dropping-particle":"","parse-names":false,"suffix":""}],"container-title":"Nurse Education Today","id":"ITEM-1","issue":"6","issued":{"date-parts":[["2014"]]},"page":"918-923","title":"Factors related to academic success among nursing students: A descriptive correlational research study","type":"article-journal","volume":"34"},"uris":["http://www.mendeley.com/documents/?uuid=846f75a2-e09a-454b-9cea-5a6de857930e"]}],"mendeley":{"formattedCitation":"(Beauvais et al., 2014)","manualFormatting":"(Beauvais et al, 2014)","plainTextFormattedCitation":"(Beauvais et al., 2014)","previouslyFormattedCitation":"(Beauvais et al., 2014)"},"properties":{"noteIndex":0},"schema":"https://github.com/citation-style-language/schema/raw/master/csl-citation.json"}</w:instrText>
      </w:r>
      <w:r w:rsidR="0087152C" w:rsidRPr="00AE0B3D">
        <w:rPr>
          <w:rFonts w:cs="Times New Roman"/>
        </w:rPr>
        <w:fldChar w:fldCharType="separate"/>
      </w:r>
      <w:r w:rsidR="00A61FDA">
        <w:rPr>
          <w:rFonts w:cs="Times New Roman"/>
          <w:noProof/>
        </w:rPr>
        <w:t>(Beauvais et al</w:t>
      </w:r>
      <w:r w:rsidR="0087152C" w:rsidRPr="00AE0B3D">
        <w:rPr>
          <w:rFonts w:cs="Times New Roman"/>
          <w:noProof/>
        </w:rPr>
        <w:t>, 2014)</w:t>
      </w:r>
      <w:r w:rsidR="0087152C" w:rsidRPr="00AE0B3D">
        <w:rPr>
          <w:rFonts w:cs="Times New Roman"/>
        </w:rPr>
        <w:fldChar w:fldCharType="end"/>
      </w:r>
      <w:r w:rsidR="000A564F" w:rsidRPr="00AE0B3D">
        <w:rPr>
          <w:rFonts w:cs="Times New Roman"/>
        </w:rPr>
        <w:t xml:space="preserve">. </w:t>
      </w:r>
      <w:r w:rsidR="00CE5B91" w:rsidRPr="00AE0B3D">
        <w:rPr>
          <w:rFonts w:cs="Times New Roman"/>
        </w:rPr>
        <w:t xml:space="preserve">The research </w:t>
      </w:r>
      <w:r w:rsidR="00EE14F4" w:rsidRPr="00AE0B3D">
        <w:rPr>
          <w:rFonts w:cs="Times New Roman"/>
        </w:rPr>
        <w:t>adopt</w:t>
      </w:r>
      <w:r w:rsidR="00672695" w:rsidRPr="00AE0B3D">
        <w:rPr>
          <w:rFonts w:cs="Times New Roman"/>
        </w:rPr>
        <w:t>ed</w:t>
      </w:r>
      <w:r w:rsidR="00EE14F4" w:rsidRPr="00AE0B3D">
        <w:rPr>
          <w:rFonts w:cs="Times New Roman"/>
        </w:rPr>
        <w:t xml:space="preserve"> </w:t>
      </w:r>
      <w:r w:rsidR="001F0EE1" w:rsidRPr="00AE0B3D">
        <w:rPr>
          <w:rFonts w:cs="Times New Roman"/>
        </w:rPr>
        <w:t>quantitative research</w:t>
      </w:r>
      <w:r w:rsidR="00EE14F4" w:rsidRPr="00AE0B3D">
        <w:rPr>
          <w:rFonts w:cs="Times New Roman"/>
        </w:rPr>
        <w:t xml:space="preserve"> </w:t>
      </w:r>
      <w:r w:rsidR="001F0EE1" w:rsidRPr="00AE0B3D">
        <w:rPr>
          <w:rFonts w:cs="Times New Roman"/>
        </w:rPr>
        <w:t>method</w:t>
      </w:r>
      <w:r w:rsidR="001223D6" w:rsidRPr="00AE0B3D">
        <w:rPr>
          <w:rFonts w:cs="Times New Roman"/>
        </w:rPr>
        <w:t xml:space="preserve"> in assessing the quantitative information </w:t>
      </w:r>
      <w:r w:rsidR="007C7121" w:rsidRPr="00AE0B3D">
        <w:rPr>
          <w:rFonts w:cs="Times New Roman"/>
        </w:rPr>
        <w:t>in the research</w:t>
      </w:r>
      <w:r w:rsidR="00217F98" w:rsidRPr="00AE0B3D">
        <w:rPr>
          <w:rFonts w:cs="Times New Roman"/>
        </w:rPr>
        <w:t xml:space="preserve"> </w:t>
      </w:r>
      <w:r w:rsidR="00A625A8" w:rsidRPr="00AE0B3D">
        <w:rPr>
          <w:rFonts w:cs="Times New Roman"/>
        </w:rPr>
        <w:fldChar w:fldCharType="begin" w:fldLock="1"/>
      </w:r>
      <w:r w:rsidR="00955099">
        <w:rPr>
          <w:rFonts w:cs="Times New Roman"/>
        </w:rPr>
        <w:instrText>ADDIN CSL_CITATION {"citationItems":[{"id":"ITEM-1","itemData":{"DOI":"10.1002/j.2168-9830.2009.tb01005.x","ISBN":"10694730","ISSN":"10694730","PMID":"508033514","abstract":"The purpose of this research review is to open dialog about quantitative, qualitative, and mixed research methods in engineering education research. Our position is that no particular method is privileged over any other. Rather, the choice must be driven by the research questions. For each approach we offer a definition, aims, appropriate research questions, evaluation criteria, and examples from the Journal of Engineering Education. Then, we present empirical results from a prestigious international conference on engineering education research. Participants expressed disappointment in the low representation of qualitative studies; nonetheless, there appeared to be a strong preference for quantitative methods, particularly classroom-based experiments. Given the wide variety of issues still to be explored within engineering education, we expect that quantitative, qualitative, and mixed approaches will be essential in the future. We encourage readers to further investigate alternate research methods by accessing some of our sources and collaborating across education/social science and engineering disciplinary boundaries.","author":[{"dropping-particle":"","family":"Borrego","given":"Maura","non-dropping-particle":"","parse-names":false,"suffix":""},{"dropping-particle":"","family":"Douglas","given":"Elliot P.","non-dropping-particle":"","parse-names":false,"suffix":""},{"dropping-particle":"","family":"Amelink","given":"Catherine T.","non-dropping-particle":"","parse-names":false,"suffix":""}],"container-title":"Journal of Engineering Education","id":"ITEM-1","issue":"1","issued":{"date-parts":[["2009"]]},"page":"53-66","title":"Quantitative, qualitative, and mixed research methods in engineering education","type":"article-journal","volume":"98"},"uris":["http://www.mendeley.com/documents/?uuid=f4be9c48-1249-4245-a519-fabcd29bd3c9"]},{"id":"ITEM-2","itemData":{"DOI":"10.1177/0267659114559116","ISBN":"02676591","ISSN":"1477111X","PMID":"25378417","abstract":"Research is fundamental to the advancement of medicine and critical to identifying the most optimal therapies unique to particular societies. This is easily observed through the dynamics associated with pharmacology, surgical technique and the medical equipment used today versus short years ago. Advancements in knowledge synthesis and reporting guidelines enhance the quality, scope and applicability of results; thus, improving health science and clinical practice and advancing health policy. While advancements are critical to the progression of optimal health care, the high cost associated with these endeavors cannot be ignored. Research fundamentally needs to be evaluated to identify the most efficient methods of evaluation. The primary objective of this paper is to look at a specific research methodology when applied to the area of clinical research, especially extracorporeal circulation and its prognosis for the future.","author":[{"dropping-particle":"","family":"McCusker","given":"K.","non-dropping-particle":"","parse-names":false,"suffix":""},{"dropping-particle":"","family":"Gunaydin","given":"S.","non-dropping-particle":"","parse-names":false,"suffix":""}],"container-title":"Perfusion (United Kingdom)","id":"ITEM-2","issue":"7","issued":{"date-parts":[["2015"]]},"page":"537-542","title":"Research using qualitative, quantitative or mixed methods and choice based on the research","type":"article-journal","volume":"30"},"uris":["http://www.mendeley.com/documents/?uuid=5adf5742-6aa1-4714-b035-a554b32c5531"]}],"mendeley":{"formattedCitation":"(Borrego et al., 2009; McCusker &amp; Gunaydin, 2015)","manualFormatting":"( McCusker &amp; Gunaydin, 2015)","plainTextFormattedCitation":"(Borrego et al., 2009; McCusker &amp; Gunaydin, 2015)","previouslyFormattedCitation":"(Borrego et al., 2009; McCusker &amp; Gunaydin, 2015)"},"properties":{"noteIndex":0},"schema":"https://github.com/citation-style-language/schema/raw/master/csl-citation.json"}</w:instrText>
      </w:r>
      <w:r w:rsidR="00A625A8" w:rsidRPr="00AE0B3D">
        <w:rPr>
          <w:rFonts w:cs="Times New Roman"/>
        </w:rPr>
        <w:fldChar w:fldCharType="separate"/>
      </w:r>
      <w:r w:rsidR="00A625A8" w:rsidRPr="00AE0B3D">
        <w:rPr>
          <w:rFonts w:cs="Times New Roman"/>
          <w:noProof/>
        </w:rPr>
        <w:t>( McCusker &amp; Gunaydin, 2015)</w:t>
      </w:r>
      <w:r w:rsidR="00A625A8" w:rsidRPr="00AE0B3D">
        <w:rPr>
          <w:rFonts w:cs="Times New Roman"/>
        </w:rPr>
        <w:fldChar w:fldCharType="end"/>
      </w:r>
      <w:r w:rsidR="00EB0509" w:rsidRPr="00AE0B3D">
        <w:rPr>
          <w:rFonts w:cs="Times New Roman"/>
        </w:rPr>
        <w:t>.</w:t>
      </w:r>
    </w:p>
    <w:p w14:paraId="40A82C80" w14:textId="77777777" w:rsidR="001F35B5" w:rsidRPr="00AE0B3D" w:rsidRDefault="001F35B5" w:rsidP="001F35B5">
      <w:pPr>
        <w:pStyle w:val="Heading2"/>
        <w:rPr>
          <w:rFonts w:cs="Times New Roman"/>
        </w:rPr>
      </w:pPr>
      <w:bookmarkStart w:id="61" w:name="_Toc78067523"/>
      <w:r w:rsidRPr="00AE0B3D">
        <w:rPr>
          <w:rFonts w:cs="Times New Roman"/>
        </w:rPr>
        <w:t xml:space="preserve">Population and </w:t>
      </w:r>
      <w:r w:rsidR="00D57B28" w:rsidRPr="00AE0B3D">
        <w:rPr>
          <w:rFonts w:cs="Times New Roman"/>
        </w:rPr>
        <w:t>Sampling</w:t>
      </w:r>
      <w:r w:rsidRPr="00AE0B3D">
        <w:rPr>
          <w:rFonts w:cs="Times New Roman"/>
        </w:rPr>
        <w:t xml:space="preserve"> Techniques</w:t>
      </w:r>
      <w:bookmarkEnd w:id="61"/>
      <w:r w:rsidRPr="00AE0B3D">
        <w:rPr>
          <w:rFonts w:cs="Times New Roman"/>
        </w:rPr>
        <w:t xml:space="preserve"> </w:t>
      </w:r>
    </w:p>
    <w:p w14:paraId="397F6016" w14:textId="1737DADA" w:rsidR="002B6DC2" w:rsidRDefault="00924019" w:rsidP="00DA3FE2">
      <w:pPr>
        <w:rPr>
          <w:rFonts w:cs="Times New Roman"/>
        </w:rPr>
        <w:sectPr w:rsidR="002B6DC2" w:rsidSect="002B6DC2">
          <w:pgSz w:w="12240" w:h="15840"/>
          <w:pgMar w:top="2160" w:right="1440" w:bottom="1440" w:left="2160" w:header="720" w:footer="720" w:gutter="0"/>
          <w:cols w:space="720"/>
          <w:docGrid w:linePitch="360"/>
        </w:sectPr>
      </w:pPr>
      <w:r w:rsidRPr="00AE0B3D">
        <w:rPr>
          <w:rFonts w:cs="Times New Roman"/>
        </w:rPr>
        <w:t xml:space="preserve">The </w:t>
      </w:r>
      <w:r w:rsidR="003E7D54" w:rsidRPr="00AE0B3D">
        <w:rPr>
          <w:rFonts w:cs="Times New Roman"/>
        </w:rPr>
        <w:t xml:space="preserve">target population of research </w:t>
      </w:r>
      <w:r w:rsidR="00672695" w:rsidRPr="00AE0B3D">
        <w:rPr>
          <w:rFonts w:cs="Times New Roman"/>
        </w:rPr>
        <w:t>was</w:t>
      </w:r>
      <w:r w:rsidR="003E7D54" w:rsidRPr="00AE0B3D">
        <w:rPr>
          <w:rFonts w:cs="Times New Roman"/>
        </w:rPr>
        <w:t xml:space="preserve"> public</w:t>
      </w:r>
      <w:r w:rsidR="00E140F7" w:rsidRPr="00AE0B3D">
        <w:rPr>
          <w:rFonts w:cs="Times New Roman"/>
        </w:rPr>
        <w:t xml:space="preserve"> 64</w:t>
      </w:r>
      <w:r w:rsidR="003E7D54" w:rsidRPr="00AE0B3D">
        <w:rPr>
          <w:rFonts w:cs="Times New Roman"/>
        </w:rPr>
        <w:t xml:space="preserve"> listed companies in the Nairobi securities exchange</w:t>
      </w:r>
      <w:r w:rsidR="0092654E" w:rsidRPr="00AE0B3D">
        <w:rPr>
          <w:rFonts w:cs="Times New Roman"/>
        </w:rPr>
        <w:t xml:space="preserve"> as presented in Appendix 4</w:t>
      </w:r>
      <w:r w:rsidR="009C1DFA">
        <w:rPr>
          <w:rFonts w:cs="Times New Roman"/>
        </w:rPr>
        <w:t xml:space="preserve">. Public listed company was </w:t>
      </w:r>
      <w:r w:rsidR="00373078">
        <w:rPr>
          <w:rFonts w:cs="Times New Roman"/>
        </w:rPr>
        <w:t>the main unit of analysis of the research</w:t>
      </w:r>
      <w:r w:rsidR="003E7D54" w:rsidRPr="00AE0B3D">
        <w:rPr>
          <w:rFonts w:cs="Times New Roman"/>
        </w:rPr>
        <w:t>. NSE ha</w:t>
      </w:r>
      <w:r w:rsidR="00373078">
        <w:rPr>
          <w:rFonts w:cs="Times New Roman"/>
        </w:rPr>
        <w:t>d</w:t>
      </w:r>
      <w:r w:rsidR="003E7D54" w:rsidRPr="00AE0B3D">
        <w:rPr>
          <w:rFonts w:cs="Times New Roman"/>
        </w:rPr>
        <w:t xml:space="preserve"> listed companies that </w:t>
      </w:r>
      <w:r w:rsidR="00E070BB" w:rsidRPr="00AE0B3D">
        <w:rPr>
          <w:rFonts w:cs="Times New Roman"/>
        </w:rPr>
        <w:t>ha</w:t>
      </w:r>
      <w:r w:rsidR="00E070BB">
        <w:rPr>
          <w:rFonts w:cs="Times New Roman"/>
        </w:rPr>
        <w:t>d</w:t>
      </w:r>
      <w:r w:rsidR="00E070BB" w:rsidRPr="00AE0B3D">
        <w:rPr>
          <w:rFonts w:cs="Times New Roman"/>
        </w:rPr>
        <w:t xml:space="preserve"> </w:t>
      </w:r>
      <w:r w:rsidR="003E7D54" w:rsidRPr="00AE0B3D">
        <w:rPr>
          <w:rFonts w:cs="Times New Roman"/>
        </w:rPr>
        <w:t>gone public in categories.</w:t>
      </w:r>
      <w:r w:rsidR="002B6DC2">
        <w:rPr>
          <w:rFonts w:cs="Times New Roman"/>
        </w:rPr>
        <w:t xml:space="preserve"> </w:t>
      </w:r>
      <w:r w:rsidR="002B6DC2" w:rsidRPr="00AE0B3D">
        <w:rPr>
          <w:rFonts w:cs="Times New Roman"/>
        </w:rPr>
        <w:t>The categories include</w:t>
      </w:r>
      <w:r w:rsidR="00E070BB">
        <w:rPr>
          <w:rFonts w:cs="Times New Roman"/>
        </w:rPr>
        <w:t>d</w:t>
      </w:r>
      <w:r w:rsidR="002B6DC2" w:rsidRPr="00AE0B3D">
        <w:rPr>
          <w:rFonts w:cs="Times New Roman"/>
        </w:rPr>
        <w:t xml:space="preserve"> Agricultural,</w:t>
      </w:r>
      <w:r w:rsidR="002B6DC2">
        <w:rPr>
          <w:rFonts w:cs="Times New Roman"/>
        </w:rPr>
        <w:t xml:space="preserve"> </w:t>
      </w:r>
      <w:r w:rsidR="002B6DC2" w:rsidRPr="00AE0B3D">
        <w:rPr>
          <w:rFonts w:cs="Times New Roman"/>
        </w:rPr>
        <w:t>automobiles</w:t>
      </w:r>
      <w:r w:rsidR="008F66B7">
        <w:rPr>
          <w:rFonts w:cs="Times New Roman"/>
        </w:rPr>
        <w:t xml:space="preserve"> </w:t>
      </w:r>
      <w:r w:rsidR="008F66B7" w:rsidRPr="00AE0B3D">
        <w:rPr>
          <w:rFonts w:cs="Times New Roman"/>
        </w:rPr>
        <w:t>and accessories, banking, commercial and services, construction and allied,</w:t>
      </w:r>
      <w:r w:rsidR="00E070BB">
        <w:rPr>
          <w:rFonts w:cs="Times New Roman"/>
        </w:rPr>
        <w:t xml:space="preserve"> </w:t>
      </w:r>
      <w:r w:rsidR="00E070BB" w:rsidRPr="00AE0B3D">
        <w:rPr>
          <w:rFonts w:cs="Times New Roman"/>
        </w:rPr>
        <w:t>energy</w:t>
      </w:r>
      <w:r w:rsidR="00E070BB">
        <w:rPr>
          <w:rFonts w:cs="Times New Roman"/>
        </w:rPr>
        <w:t xml:space="preserve">, </w:t>
      </w:r>
      <w:r w:rsidR="00E070BB" w:rsidRPr="00AE0B3D">
        <w:rPr>
          <w:rFonts w:cs="Times New Roman"/>
        </w:rPr>
        <w:t>and</w:t>
      </w:r>
    </w:p>
    <w:p w14:paraId="746A6DB0" w14:textId="56DFDFEF" w:rsidR="00924019" w:rsidRPr="00AE0B3D" w:rsidRDefault="00F93E40" w:rsidP="008F66B7">
      <w:pPr>
        <w:ind w:firstLine="0"/>
        <w:rPr>
          <w:rFonts w:cs="Times New Roman"/>
        </w:rPr>
      </w:pPr>
      <w:r w:rsidRPr="00AE0B3D">
        <w:rPr>
          <w:rFonts w:cs="Times New Roman"/>
        </w:rPr>
        <w:lastRenderedPageBreak/>
        <w:t xml:space="preserve">petroleum, insurance, investment, investment services, manufacturing and allied, telecommunication and technology, real estate investment trust, and exchange traded fund. </w:t>
      </w:r>
      <w:r w:rsidR="00D87170">
        <w:rPr>
          <w:rFonts w:cs="Times New Roman"/>
        </w:rPr>
        <w:t>Public listed c</w:t>
      </w:r>
      <w:r w:rsidRPr="00AE0B3D">
        <w:rPr>
          <w:rFonts w:cs="Times New Roman"/>
        </w:rPr>
        <w:t xml:space="preserve">ompanies </w:t>
      </w:r>
      <w:r w:rsidR="008829A5" w:rsidRPr="00AE0B3D">
        <w:rPr>
          <w:rFonts w:cs="Times New Roman"/>
        </w:rPr>
        <w:t>were</w:t>
      </w:r>
      <w:r w:rsidRPr="00AE0B3D">
        <w:rPr>
          <w:rFonts w:cs="Times New Roman"/>
        </w:rPr>
        <w:t xml:space="preserve"> sampled from each of the categories to represent the </w:t>
      </w:r>
      <w:r w:rsidR="00606EC3" w:rsidRPr="00AE0B3D">
        <w:rPr>
          <w:rFonts w:cs="Times New Roman"/>
        </w:rPr>
        <w:t>industry</w:t>
      </w:r>
      <w:r w:rsidR="009A5AD0" w:rsidRPr="00AE0B3D">
        <w:rPr>
          <w:rFonts w:cs="Times New Roman"/>
        </w:rPr>
        <w:t xml:space="preserve"> which had to meet the inclusion criteria that </w:t>
      </w:r>
      <w:r w:rsidR="00BB5C26" w:rsidRPr="00AE0B3D">
        <w:rPr>
          <w:rFonts w:cs="Times New Roman"/>
        </w:rPr>
        <w:t>included reporting of CEO remuneration from 2016,</w:t>
      </w:r>
      <w:r w:rsidR="00C066B3" w:rsidRPr="00AE0B3D">
        <w:rPr>
          <w:rFonts w:cs="Times New Roman"/>
        </w:rPr>
        <w:t xml:space="preserve"> and</w:t>
      </w:r>
      <w:r w:rsidR="00BB5C26" w:rsidRPr="00AE0B3D">
        <w:rPr>
          <w:rFonts w:cs="Times New Roman"/>
        </w:rPr>
        <w:t xml:space="preserve"> financial records could be </w:t>
      </w:r>
      <w:r w:rsidR="005D150D" w:rsidRPr="00AE0B3D">
        <w:rPr>
          <w:rFonts w:cs="Times New Roman"/>
        </w:rPr>
        <w:t>accessed.</w:t>
      </w:r>
      <w:r w:rsidR="00FA67AE" w:rsidRPr="00AE0B3D">
        <w:rPr>
          <w:rFonts w:cs="Times New Roman"/>
        </w:rPr>
        <w:t xml:space="preserve"> The sample size of the research </w:t>
      </w:r>
      <w:r w:rsidR="008829A5" w:rsidRPr="00AE0B3D">
        <w:rPr>
          <w:rFonts w:cs="Times New Roman"/>
        </w:rPr>
        <w:t>were</w:t>
      </w:r>
      <w:r w:rsidR="00FA67AE" w:rsidRPr="00AE0B3D">
        <w:rPr>
          <w:rFonts w:cs="Times New Roman"/>
        </w:rPr>
        <w:t xml:space="preserve"> </w:t>
      </w:r>
      <w:r w:rsidR="008547C3">
        <w:rPr>
          <w:rFonts w:cs="Times New Roman"/>
        </w:rPr>
        <w:t>24</w:t>
      </w:r>
      <w:r w:rsidR="00FA67AE" w:rsidRPr="00AE0B3D">
        <w:rPr>
          <w:rFonts w:cs="Times New Roman"/>
        </w:rPr>
        <w:t xml:space="preserve"> </w:t>
      </w:r>
      <w:r w:rsidR="00D87170">
        <w:rPr>
          <w:rFonts w:cs="Times New Roman"/>
        </w:rPr>
        <w:t xml:space="preserve">public listed </w:t>
      </w:r>
      <w:r w:rsidR="00FA67AE" w:rsidRPr="00AE0B3D">
        <w:rPr>
          <w:rFonts w:cs="Times New Roman"/>
        </w:rPr>
        <w:t>companies representing the industr</w:t>
      </w:r>
      <w:r w:rsidR="008829A5" w:rsidRPr="00AE0B3D">
        <w:rPr>
          <w:rFonts w:cs="Times New Roman"/>
        </w:rPr>
        <w:t>ies</w:t>
      </w:r>
      <w:r w:rsidR="00FA67AE" w:rsidRPr="00AE0B3D">
        <w:rPr>
          <w:rFonts w:cs="Times New Roman"/>
        </w:rPr>
        <w:t xml:space="preserve"> list</w:t>
      </w:r>
      <w:r w:rsidR="00291E81" w:rsidRPr="00AE0B3D">
        <w:rPr>
          <w:rFonts w:cs="Times New Roman"/>
        </w:rPr>
        <w:t>ed in NSE</w:t>
      </w:r>
      <w:r w:rsidR="005D150D" w:rsidRPr="00AE0B3D">
        <w:rPr>
          <w:rFonts w:cs="Times New Roman"/>
        </w:rPr>
        <w:t xml:space="preserve"> that had met the inclusion criteria</w:t>
      </w:r>
      <w:r w:rsidR="00E77D40" w:rsidRPr="00AE0B3D">
        <w:rPr>
          <w:rFonts w:cs="Times New Roman"/>
        </w:rPr>
        <w:t xml:space="preserve">. Only </w:t>
      </w:r>
      <w:r w:rsidR="008547C3">
        <w:rPr>
          <w:rFonts w:cs="Times New Roman"/>
        </w:rPr>
        <w:t xml:space="preserve">24 </w:t>
      </w:r>
      <w:r w:rsidR="00135403" w:rsidRPr="00AE0B3D">
        <w:rPr>
          <w:rFonts w:cs="Times New Roman"/>
        </w:rPr>
        <w:t xml:space="preserve">out of the 64 listed companies met the inclusion </w:t>
      </w:r>
      <w:r w:rsidR="00AF285E" w:rsidRPr="00AE0B3D">
        <w:rPr>
          <w:rFonts w:cs="Times New Roman"/>
        </w:rPr>
        <w:t>criteria</w:t>
      </w:r>
      <w:r w:rsidR="00740FFD" w:rsidRPr="00AE0B3D">
        <w:rPr>
          <w:rFonts w:cs="Times New Roman"/>
        </w:rPr>
        <w:t>.</w:t>
      </w:r>
    </w:p>
    <w:p w14:paraId="371734EB" w14:textId="659EC3EA" w:rsidR="00606EC3" w:rsidRPr="00AE0B3D" w:rsidRDefault="00606EC3" w:rsidP="00DA3FE2">
      <w:pPr>
        <w:rPr>
          <w:rFonts w:cs="Times New Roman"/>
        </w:rPr>
      </w:pPr>
      <w:r w:rsidRPr="00AE0B3D">
        <w:rPr>
          <w:rFonts w:cs="Times New Roman"/>
        </w:rPr>
        <w:t>Stratified random sampling, and</w:t>
      </w:r>
      <w:r w:rsidR="003B169A" w:rsidRPr="00AE0B3D">
        <w:rPr>
          <w:rFonts w:cs="Times New Roman"/>
        </w:rPr>
        <w:t xml:space="preserve"> </w:t>
      </w:r>
      <w:r w:rsidR="003B169A" w:rsidRPr="00AE0B3D">
        <w:t>criterion sampling</w:t>
      </w:r>
      <w:r w:rsidRPr="00AE0B3D">
        <w:rPr>
          <w:rFonts w:cs="Times New Roman"/>
        </w:rPr>
        <w:t xml:space="preserve"> </w:t>
      </w:r>
      <w:r w:rsidR="00951F71" w:rsidRPr="00AE0B3D">
        <w:rPr>
          <w:rFonts w:cs="Times New Roman"/>
        </w:rPr>
        <w:t xml:space="preserve">methods </w:t>
      </w:r>
      <w:r w:rsidR="008829A5" w:rsidRPr="00AE0B3D">
        <w:rPr>
          <w:rFonts w:cs="Times New Roman"/>
        </w:rPr>
        <w:t>were</w:t>
      </w:r>
      <w:r w:rsidRPr="00AE0B3D">
        <w:rPr>
          <w:rFonts w:cs="Times New Roman"/>
        </w:rPr>
        <w:t xml:space="preserve"> adopted in identifying the </w:t>
      </w:r>
      <w:r w:rsidR="00B93EC1">
        <w:rPr>
          <w:rFonts w:cs="Times New Roman"/>
        </w:rPr>
        <w:t xml:space="preserve">public listed </w:t>
      </w:r>
      <w:r w:rsidRPr="00AE0B3D">
        <w:rPr>
          <w:rFonts w:cs="Times New Roman"/>
        </w:rPr>
        <w:t>compan</w:t>
      </w:r>
      <w:r w:rsidR="00B93EC1">
        <w:rPr>
          <w:rFonts w:cs="Times New Roman"/>
        </w:rPr>
        <w:t>ies</w:t>
      </w:r>
      <w:r w:rsidRPr="00AE0B3D">
        <w:rPr>
          <w:rFonts w:cs="Times New Roman"/>
        </w:rPr>
        <w:t xml:space="preserve"> that </w:t>
      </w:r>
      <w:r w:rsidR="008829A5" w:rsidRPr="00AE0B3D">
        <w:rPr>
          <w:rFonts w:cs="Times New Roman"/>
        </w:rPr>
        <w:t>were</w:t>
      </w:r>
      <w:r w:rsidRPr="00AE0B3D">
        <w:rPr>
          <w:rFonts w:cs="Times New Roman"/>
        </w:rPr>
        <w:t xml:space="preserve"> evaluated in each of the categories. </w:t>
      </w:r>
      <w:r w:rsidR="00740FFD" w:rsidRPr="00AE0B3D">
        <w:rPr>
          <w:rFonts w:cs="Times New Roman"/>
        </w:rPr>
        <w:t xml:space="preserve">Stratification sampling was obtained through stratifying the companies based on the category under which they were listed. </w:t>
      </w:r>
      <w:r w:rsidR="007C76DF" w:rsidRPr="00AE0B3D">
        <w:rPr>
          <w:rFonts w:cs="Times New Roman"/>
        </w:rPr>
        <w:t xml:space="preserve">For </w:t>
      </w:r>
      <w:r w:rsidR="00A12252" w:rsidRPr="00AE0B3D">
        <w:t>criterion sampling</w:t>
      </w:r>
      <w:r w:rsidR="007C76DF" w:rsidRPr="00AE0B3D">
        <w:rPr>
          <w:rFonts w:cs="Times New Roman"/>
        </w:rPr>
        <w:t xml:space="preserve">, companies that have been listed for more </w:t>
      </w:r>
      <w:r w:rsidR="00932C51" w:rsidRPr="00AE0B3D">
        <w:rPr>
          <w:rFonts w:cs="Times New Roman"/>
        </w:rPr>
        <w:t>than</w:t>
      </w:r>
      <w:r w:rsidR="007C76DF" w:rsidRPr="00AE0B3D">
        <w:rPr>
          <w:rFonts w:cs="Times New Roman"/>
        </w:rPr>
        <w:t xml:space="preserve"> </w:t>
      </w:r>
      <w:r w:rsidR="00951F71" w:rsidRPr="00AE0B3D">
        <w:rPr>
          <w:rFonts w:cs="Times New Roman"/>
        </w:rPr>
        <w:t>three</w:t>
      </w:r>
      <w:r w:rsidR="007C76DF" w:rsidRPr="00AE0B3D">
        <w:rPr>
          <w:rFonts w:cs="Times New Roman"/>
        </w:rPr>
        <w:t xml:space="preserve"> years </w:t>
      </w:r>
      <w:r w:rsidR="00951F71" w:rsidRPr="00AE0B3D">
        <w:rPr>
          <w:rFonts w:cs="Times New Roman"/>
        </w:rPr>
        <w:t>were</w:t>
      </w:r>
      <w:r w:rsidR="007C76DF" w:rsidRPr="00AE0B3D">
        <w:rPr>
          <w:rFonts w:cs="Times New Roman"/>
        </w:rPr>
        <w:t xml:space="preserve"> selected</w:t>
      </w:r>
      <w:r w:rsidR="00A12252" w:rsidRPr="00AE0B3D">
        <w:rPr>
          <w:rFonts w:cs="Times New Roman"/>
        </w:rPr>
        <w:t xml:space="preserve"> and met the </w:t>
      </w:r>
      <w:r w:rsidR="00545163" w:rsidRPr="00AE0B3D">
        <w:rPr>
          <w:rFonts w:cs="Times New Roman"/>
        </w:rPr>
        <w:t>criteria</w:t>
      </w:r>
      <w:r w:rsidR="007C76DF" w:rsidRPr="00AE0B3D">
        <w:rPr>
          <w:rFonts w:cs="Times New Roman"/>
        </w:rPr>
        <w:t xml:space="preserve">. </w:t>
      </w:r>
      <w:r w:rsidR="003F7BFD" w:rsidRPr="00AE0B3D">
        <w:rPr>
          <w:rFonts w:cs="Times New Roman"/>
        </w:rPr>
        <w:t xml:space="preserve">The sampling </w:t>
      </w:r>
      <w:r w:rsidR="003B169A" w:rsidRPr="00AE0B3D">
        <w:rPr>
          <w:rFonts w:cs="Times New Roman"/>
        </w:rPr>
        <w:t>criteria were</w:t>
      </w:r>
      <w:r w:rsidR="00CB4086" w:rsidRPr="00AE0B3D">
        <w:rPr>
          <w:rFonts w:cs="Times New Roman"/>
        </w:rPr>
        <w:t xml:space="preserve"> (1) </w:t>
      </w:r>
      <w:r w:rsidR="003F7BFD" w:rsidRPr="00AE0B3D">
        <w:rPr>
          <w:rFonts w:cs="Times New Roman"/>
        </w:rPr>
        <w:t xml:space="preserve">companies </w:t>
      </w:r>
      <w:r w:rsidR="00951F71" w:rsidRPr="00AE0B3D">
        <w:rPr>
          <w:rFonts w:cs="Times New Roman"/>
        </w:rPr>
        <w:t>had</w:t>
      </w:r>
      <w:r w:rsidR="00291E81" w:rsidRPr="00AE0B3D">
        <w:rPr>
          <w:rFonts w:cs="Times New Roman"/>
        </w:rPr>
        <w:t xml:space="preserve"> their</w:t>
      </w:r>
      <w:r w:rsidR="0025477B" w:rsidRPr="00AE0B3D">
        <w:rPr>
          <w:rFonts w:cs="Times New Roman"/>
        </w:rPr>
        <w:t xml:space="preserve"> financial reports</w:t>
      </w:r>
      <w:r w:rsidR="001B171F" w:rsidRPr="00AE0B3D">
        <w:rPr>
          <w:rFonts w:cs="Times New Roman"/>
        </w:rPr>
        <w:t xml:space="preserve"> publicly available</w:t>
      </w:r>
      <w:r w:rsidR="009C677E" w:rsidRPr="00AE0B3D">
        <w:rPr>
          <w:rFonts w:cs="Times New Roman"/>
        </w:rPr>
        <w:t xml:space="preserve"> for period of 2016, 2017 and 2018</w:t>
      </w:r>
      <w:r w:rsidR="003F7BFD" w:rsidRPr="00AE0B3D">
        <w:rPr>
          <w:rFonts w:cs="Times New Roman"/>
        </w:rPr>
        <w:t xml:space="preserve">, </w:t>
      </w:r>
      <w:r w:rsidR="0025477B" w:rsidRPr="00AE0B3D">
        <w:rPr>
          <w:rFonts w:cs="Times New Roman"/>
        </w:rPr>
        <w:t xml:space="preserve">and </w:t>
      </w:r>
      <w:r w:rsidR="00C9589F" w:rsidRPr="00AE0B3D">
        <w:rPr>
          <w:rFonts w:cs="Times New Roman"/>
        </w:rPr>
        <w:t xml:space="preserve">(2) </w:t>
      </w:r>
      <w:r w:rsidR="00951F71" w:rsidRPr="00AE0B3D">
        <w:rPr>
          <w:rFonts w:cs="Times New Roman"/>
        </w:rPr>
        <w:t xml:space="preserve">remuneration </w:t>
      </w:r>
      <w:r w:rsidR="0025477B" w:rsidRPr="00AE0B3D">
        <w:rPr>
          <w:rFonts w:cs="Times New Roman"/>
        </w:rPr>
        <w:t>of the executive readily available for the year between 201</w:t>
      </w:r>
      <w:r w:rsidR="00FD5FEA" w:rsidRPr="00AE0B3D">
        <w:rPr>
          <w:rFonts w:cs="Times New Roman"/>
        </w:rPr>
        <w:t xml:space="preserve">6 </w:t>
      </w:r>
      <w:r w:rsidR="0025477B" w:rsidRPr="00AE0B3D">
        <w:rPr>
          <w:rFonts w:cs="Times New Roman"/>
        </w:rPr>
        <w:t>and 201</w:t>
      </w:r>
      <w:r w:rsidR="00E66F91" w:rsidRPr="00AE0B3D">
        <w:rPr>
          <w:rFonts w:cs="Times New Roman"/>
        </w:rPr>
        <w:t>8</w:t>
      </w:r>
      <w:r w:rsidR="0025477B" w:rsidRPr="00AE0B3D">
        <w:rPr>
          <w:rFonts w:cs="Times New Roman"/>
        </w:rPr>
        <w:t xml:space="preserve">. </w:t>
      </w:r>
      <w:r w:rsidR="00FD5FEA" w:rsidRPr="00AE0B3D">
        <w:rPr>
          <w:rFonts w:cs="Times New Roman"/>
        </w:rPr>
        <w:t>The period was selected as most of companies started to report the remuneration of the top management from 2016</w:t>
      </w:r>
      <w:r w:rsidR="00BD7830" w:rsidRPr="00AE0B3D">
        <w:rPr>
          <w:rFonts w:cs="Times New Roman"/>
        </w:rPr>
        <w:t xml:space="preserve"> which was required in the new financial reporting</w:t>
      </w:r>
      <w:r w:rsidR="002A3D2F">
        <w:rPr>
          <w:rFonts w:cs="Times New Roman"/>
        </w:rPr>
        <w:t xml:space="preserve"> format</w:t>
      </w:r>
      <w:r w:rsidR="00BD7830" w:rsidRPr="00AE0B3D">
        <w:rPr>
          <w:rFonts w:cs="Times New Roman"/>
        </w:rPr>
        <w:t xml:space="preserve"> for public listed companies in Kenya</w:t>
      </w:r>
      <w:r w:rsidR="00FD5FEA" w:rsidRPr="00AE0B3D">
        <w:rPr>
          <w:rFonts w:cs="Times New Roman"/>
        </w:rPr>
        <w:t xml:space="preserve">. </w:t>
      </w:r>
    </w:p>
    <w:p w14:paraId="4B274526" w14:textId="77777777" w:rsidR="00A60EE8" w:rsidRPr="00AE0B3D" w:rsidRDefault="00A60EE8" w:rsidP="00397C82">
      <w:pPr>
        <w:pStyle w:val="Heading2"/>
        <w:rPr>
          <w:rFonts w:cs="Times New Roman"/>
        </w:rPr>
      </w:pPr>
      <w:bookmarkStart w:id="62" w:name="_Toc78067524"/>
      <w:r w:rsidRPr="00AE0B3D">
        <w:rPr>
          <w:rFonts w:cs="Times New Roman"/>
        </w:rPr>
        <w:t xml:space="preserve">Data </w:t>
      </w:r>
      <w:r w:rsidR="001F35B5" w:rsidRPr="00AE0B3D">
        <w:rPr>
          <w:rFonts w:cs="Times New Roman"/>
        </w:rPr>
        <w:t>C</w:t>
      </w:r>
      <w:r w:rsidRPr="00AE0B3D">
        <w:rPr>
          <w:rFonts w:cs="Times New Roman"/>
        </w:rPr>
        <w:t xml:space="preserve">ollection </w:t>
      </w:r>
      <w:r w:rsidR="001F35B5" w:rsidRPr="00AE0B3D">
        <w:rPr>
          <w:rFonts w:cs="Times New Roman"/>
        </w:rPr>
        <w:t>T</w:t>
      </w:r>
      <w:r w:rsidRPr="00AE0B3D">
        <w:rPr>
          <w:rFonts w:cs="Times New Roman"/>
        </w:rPr>
        <w:t>ools</w:t>
      </w:r>
      <w:bookmarkEnd w:id="62"/>
    </w:p>
    <w:p w14:paraId="41D1ED58" w14:textId="27397111" w:rsidR="00A70618" w:rsidRPr="00AE0B3D" w:rsidRDefault="00D32940" w:rsidP="00AD40F9">
      <w:pPr>
        <w:rPr>
          <w:rFonts w:cs="Times New Roman"/>
        </w:rPr>
      </w:pPr>
      <w:r w:rsidRPr="00AE0B3D">
        <w:rPr>
          <w:rFonts w:cs="Times New Roman"/>
        </w:rPr>
        <w:t>A</w:t>
      </w:r>
      <w:r w:rsidR="00BC633C" w:rsidRPr="00AE0B3D">
        <w:rPr>
          <w:rFonts w:cs="Times New Roman"/>
        </w:rPr>
        <w:t xml:space="preserve"> research </w:t>
      </w:r>
      <w:r w:rsidR="009640B1" w:rsidRPr="00AE0B3D">
        <w:rPr>
          <w:rFonts w:cs="Times New Roman"/>
        </w:rPr>
        <w:t xml:space="preserve">data </w:t>
      </w:r>
      <w:r w:rsidR="00BC633C" w:rsidRPr="00AE0B3D">
        <w:rPr>
          <w:rFonts w:cs="Times New Roman"/>
        </w:rPr>
        <w:t xml:space="preserve">schedule </w:t>
      </w:r>
      <w:r w:rsidR="00FD5FEA" w:rsidRPr="00AE0B3D">
        <w:rPr>
          <w:rFonts w:cs="Times New Roman"/>
        </w:rPr>
        <w:t>was</w:t>
      </w:r>
      <w:r w:rsidR="00BC633C" w:rsidRPr="00AE0B3D">
        <w:rPr>
          <w:rFonts w:cs="Times New Roman"/>
        </w:rPr>
        <w:t xml:space="preserve"> utilised in collecting the required</w:t>
      </w:r>
      <w:r w:rsidR="00C068FD" w:rsidRPr="00AE0B3D">
        <w:rPr>
          <w:rFonts w:cs="Times New Roman"/>
        </w:rPr>
        <w:t xml:space="preserve"> </w:t>
      </w:r>
      <w:r w:rsidR="009640B1" w:rsidRPr="00AE0B3D">
        <w:rPr>
          <w:rFonts w:cs="Times New Roman"/>
        </w:rPr>
        <w:t xml:space="preserve">data </w:t>
      </w:r>
      <w:r w:rsidR="00C068FD" w:rsidRPr="00AE0B3D">
        <w:rPr>
          <w:rFonts w:cs="Times New Roman"/>
        </w:rPr>
        <w:t xml:space="preserve">to answer the </w:t>
      </w:r>
      <w:r w:rsidR="009A00A9" w:rsidRPr="00AE0B3D">
        <w:rPr>
          <w:rFonts w:cs="Times New Roman"/>
        </w:rPr>
        <w:t>research question</w:t>
      </w:r>
      <w:r w:rsidR="009640B1" w:rsidRPr="00AE0B3D">
        <w:rPr>
          <w:rFonts w:cs="Times New Roman"/>
        </w:rPr>
        <w:t>s</w:t>
      </w:r>
      <w:r w:rsidR="009A00A9" w:rsidRPr="00AE0B3D">
        <w:rPr>
          <w:rFonts w:cs="Times New Roman"/>
        </w:rPr>
        <w:t xml:space="preserve">. </w:t>
      </w:r>
      <w:r w:rsidR="00147462" w:rsidRPr="00AE0B3D">
        <w:rPr>
          <w:rFonts w:cs="Times New Roman"/>
        </w:rPr>
        <w:t>It</w:t>
      </w:r>
      <w:r w:rsidR="009A00A9" w:rsidRPr="00AE0B3D">
        <w:rPr>
          <w:rFonts w:cs="Times New Roman"/>
        </w:rPr>
        <w:t xml:space="preserve"> </w:t>
      </w:r>
      <w:r w:rsidR="00FD5FEA" w:rsidRPr="00AE0B3D">
        <w:rPr>
          <w:rFonts w:cs="Times New Roman"/>
        </w:rPr>
        <w:t>had</w:t>
      </w:r>
      <w:r w:rsidR="009A00A9" w:rsidRPr="00AE0B3D">
        <w:rPr>
          <w:rFonts w:cs="Times New Roman"/>
        </w:rPr>
        <w:t xml:space="preserve"> </w:t>
      </w:r>
      <w:proofErr w:type="gramStart"/>
      <w:r w:rsidR="009A00A9" w:rsidRPr="00AE0B3D">
        <w:rPr>
          <w:rFonts w:cs="Times New Roman"/>
        </w:rPr>
        <w:t>both  the</w:t>
      </w:r>
      <w:proofErr w:type="gramEnd"/>
      <w:r w:rsidR="009A00A9" w:rsidRPr="00AE0B3D">
        <w:rPr>
          <w:rFonts w:cs="Times New Roman"/>
        </w:rPr>
        <w:t xml:space="preserve"> </w:t>
      </w:r>
      <w:r w:rsidR="00C553CF" w:rsidRPr="00AE0B3D">
        <w:rPr>
          <w:rFonts w:cs="Times New Roman"/>
        </w:rPr>
        <w:t xml:space="preserve">dependent and the independent variables. </w:t>
      </w:r>
      <w:r w:rsidR="00052132" w:rsidRPr="00AE0B3D">
        <w:rPr>
          <w:rFonts w:cs="Times New Roman"/>
        </w:rPr>
        <w:t>Also,</w:t>
      </w:r>
      <w:r w:rsidR="00147462" w:rsidRPr="00AE0B3D">
        <w:rPr>
          <w:rFonts w:cs="Times New Roman"/>
        </w:rPr>
        <w:t xml:space="preserve"> it</w:t>
      </w:r>
      <w:r w:rsidR="00C553CF" w:rsidRPr="00AE0B3D">
        <w:rPr>
          <w:rFonts w:cs="Times New Roman"/>
        </w:rPr>
        <w:t xml:space="preserve"> guide</w:t>
      </w:r>
      <w:r w:rsidR="00FD5FEA" w:rsidRPr="00AE0B3D">
        <w:rPr>
          <w:rFonts w:cs="Times New Roman"/>
        </w:rPr>
        <w:t>d</w:t>
      </w:r>
      <w:r w:rsidR="00C553CF" w:rsidRPr="00AE0B3D">
        <w:rPr>
          <w:rFonts w:cs="Times New Roman"/>
        </w:rPr>
        <w:t xml:space="preserve"> in evaluating the data from the online database that contain the required data to answer the research questions. </w:t>
      </w:r>
      <w:r w:rsidR="00147462" w:rsidRPr="00AE0B3D">
        <w:rPr>
          <w:rFonts w:cs="Times New Roman"/>
        </w:rPr>
        <w:t>It</w:t>
      </w:r>
      <w:r w:rsidR="00C54E35" w:rsidRPr="00AE0B3D">
        <w:rPr>
          <w:rFonts w:cs="Times New Roman"/>
        </w:rPr>
        <w:t xml:space="preserve"> capture</w:t>
      </w:r>
      <w:r w:rsidR="002D4376" w:rsidRPr="00AE0B3D">
        <w:rPr>
          <w:rFonts w:cs="Times New Roman"/>
        </w:rPr>
        <w:t>d</w:t>
      </w:r>
      <w:r w:rsidR="00C54E35" w:rsidRPr="00AE0B3D">
        <w:rPr>
          <w:rFonts w:cs="Times New Roman"/>
        </w:rPr>
        <w:t xml:space="preserve"> the com</w:t>
      </w:r>
      <w:r w:rsidR="00147462" w:rsidRPr="00AE0B3D">
        <w:rPr>
          <w:rFonts w:cs="Times New Roman"/>
        </w:rPr>
        <w:t>pany name and the industry</w:t>
      </w:r>
      <w:r w:rsidR="00C54E35" w:rsidRPr="00AE0B3D">
        <w:rPr>
          <w:rFonts w:cs="Times New Roman"/>
        </w:rPr>
        <w:t>. The second section capture</w:t>
      </w:r>
      <w:r w:rsidR="002D4376" w:rsidRPr="00AE0B3D">
        <w:rPr>
          <w:rFonts w:cs="Times New Roman"/>
        </w:rPr>
        <w:t>d</w:t>
      </w:r>
      <w:r w:rsidR="00C54E35" w:rsidRPr="00AE0B3D">
        <w:rPr>
          <w:rFonts w:cs="Times New Roman"/>
        </w:rPr>
        <w:t xml:space="preserve"> the remuneration strategies that</w:t>
      </w:r>
      <w:r w:rsidR="003C04DA" w:rsidRPr="00AE0B3D">
        <w:rPr>
          <w:rFonts w:cs="Times New Roman"/>
        </w:rPr>
        <w:t xml:space="preserve"> the company utilises. </w:t>
      </w:r>
      <w:r w:rsidR="00BA516A" w:rsidRPr="00AE0B3D">
        <w:rPr>
          <w:rFonts w:cs="Times New Roman"/>
        </w:rPr>
        <w:t>The third section capture</w:t>
      </w:r>
      <w:r w:rsidR="002D4376" w:rsidRPr="00AE0B3D">
        <w:rPr>
          <w:rFonts w:cs="Times New Roman"/>
        </w:rPr>
        <w:t>d</w:t>
      </w:r>
      <w:r w:rsidR="00BA516A" w:rsidRPr="00AE0B3D">
        <w:rPr>
          <w:rFonts w:cs="Times New Roman"/>
        </w:rPr>
        <w:t xml:space="preserve"> </w:t>
      </w:r>
      <w:r w:rsidR="00BA516A" w:rsidRPr="00AE0B3D">
        <w:rPr>
          <w:rFonts w:cs="Times New Roman"/>
        </w:rPr>
        <w:lastRenderedPageBreak/>
        <w:t>quantitative data of the company that w</w:t>
      </w:r>
      <w:r w:rsidR="002D4376" w:rsidRPr="00AE0B3D">
        <w:rPr>
          <w:rFonts w:cs="Times New Roman"/>
        </w:rPr>
        <w:t xml:space="preserve">as </w:t>
      </w:r>
      <w:r w:rsidR="005E3C3F" w:rsidRPr="00AE0B3D">
        <w:rPr>
          <w:rFonts w:cs="Times New Roman"/>
        </w:rPr>
        <w:t>listed per financial year</w:t>
      </w:r>
      <w:r w:rsidR="00BA516A" w:rsidRPr="00AE0B3D">
        <w:rPr>
          <w:rFonts w:cs="Times New Roman"/>
        </w:rPr>
        <w:t xml:space="preserve">. The data </w:t>
      </w:r>
      <w:r w:rsidR="00475058" w:rsidRPr="00AE0B3D">
        <w:rPr>
          <w:rFonts w:cs="Times New Roman"/>
        </w:rPr>
        <w:t>refer</w:t>
      </w:r>
      <w:r w:rsidR="00475058">
        <w:rPr>
          <w:rFonts w:cs="Times New Roman"/>
        </w:rPr>
        <w:t>red</w:t>
      </w:r>
      <w:r w:rsidR="00BA516A" w:rsidRPr="00AE0B3D">
        <w:rPr>
          <w:rFonts w:cs="Times New Roman"/>
        </w:rPr>
        <w:t xml:space="preserve"> to annual sum</w:t>
      </w:r>
      <w:r w:rsidR="006F2DA2">
        <w:rPr>
          <w:rFonts w:cs="Times New Roman"/>
        </w:rPr>
        <w:t xml:space="preserve"> </w:t>
      </w:r>
      <w:r w:rsidR="008F7818" w:rsidRPr="00AE0B3D">
        <w:rPr>
          <w:rFonts w:cs="Times New Roman"/>
        </w:rPr>
        <w:t>(sum</w:t>
      </w:r>
      <w:r w:rsidR="00264F85" w:rsidRPr="00AE0B3D">
        <w:rPr>
          <w:rFonts w:cs="Times New Roman"/>
        </w:rPr>
        <w:t xml:space="preserve"> of the 12 months</w:t>
      </w:r>
      <w:r w:rsidR="00AB2D39" w:rsidRPr="00AE0B3D">
        <w:rPr>
          <w:rFonts w:cs="Times New Roman"/>
        </w:rPr>
        <w:t xml:space="preserve"> </w:t>
      </w:r>
      <w:r w:rsidR="00A70BE3" w:rsidRPr="00AE0B3D">
        <w:rPr>
          <w:rFonts w:cs="Times New Roman"/>
        </w:rPr>
        <w:t xml:space="preserve">of the year </w:t>
      </w:r>
      <w:r w:rsidR="00AB2D39" w:rsidRPr="00AE0B3D">
        <w:rPr>
          <w:rFonts w:cs="Times New Roman"/>
        </w:rPr>
        <w:t>measure</w:t>
      </w:r>
      <w:r w:rsidR="00A70BE3" w:rsidRPr="00AE0B3D">
        <w:rPr>
          <w:rFonts w:cs="Times New Roman"/>
        </w:rPr>
        <w:t>d</w:t>
      </w:r>
      <w:r w:rsidR="00264F85" w:rsidRPr="00AE0B3D">
        <w:rPr>
          <w:rFonts w:cs="Times New Roman"/>
        </w:rPr>
        <w:t>) for the specific variable being evaluated</w:t>
      </w:r>
      <w:r w:rsidR="00BA516A" w:rsidRPr="00AE0B3D">
        <w:rPr>
          <w:rFonts w:cs="Times New Roman"/>
        </w:rPr>
        <w:t xml:space="preserve">. For </w:t>
      </w:r>
      <w:r w:rsidR="008955A4" w:rsidRPr="00AE0B3D">
        <w:rPr>
          <w:rFonts w:cs="Times New Roman"/>
        </w:rPr>
        <w:t>instance,</w:t>
      </w:r>
      <w:r w:rsidR="00BA516A" w:rsidRPr="00AE0B3D">
        <w:rPr>
          <w:rFonts w:cs="Times New Roman"/>
        </w:rPr>
        <w:t xml:space="preserve"> salary paid annually, sales volume</w:t>
      </w:r>
      <w:r w:rsidR="002C728E" w:rsidRPr="00AE0B3D">
        <w:rPr>
          <w:rFonts w:cs="Times New Roman"/>
        </w:rPr>
        <w:t>,</w:t>
      </w:r>
      <w:r w:rsidR="007A32A8">
        <w:rPr>
          <w:rFonts w:cs="Times New Roman"/>
        </w:rPr>
        <w:t xml:space="preserve"> total expenses,</w:t>
      </w:r>
      <w:r w:rsidR="002C728E" w:rsidRPr="00AE0B3D">
        <w:rPr>
          <w:rFonts w:cs="Times New Roman"/>
        </w:rPr>
        <w:t xml:space="preserve"> ROE, bonus, benefits, share volumes, shares </w:t>
      </w:r>
      <w:r w:rsidR="00EE2016" w:rsidRPr="00AE0B3D">
        <w:rPr>
          <w:rFonts w:cs="Times New Roman"/>
        </w:rPr>
        <w:t xml:space="preserve">and </w:t>
      </w:r>
      <w:r w:rsidR="004C156E">
        <w:rPr>
          <w:rFonts w:cs="Times New Roman"/>
        </w:rPr>
        <w:t>ROA</w:t>
      </w:r>
      <w:r w:rsidR="004C156E" w:rsidRPr="00AE0B3D">
        <w:rPr>
          <w:rFonts w:cs="Times New Roman"/>
        </w:rPr>
        <w:t xml:space="preserve"> </w:t>
      </w:r>
      <w:r w:rsidR="00EE2016" w:rsidRPr="00AE0B3D">
        <w:rPr>
          <w:rFonts w:cs="Times New Roman"/>
        </w:rPr>
        <w:t>of</w:t>
      </w:r>
      <w:r w:rsidR="002C728E" w:rsidRPr="00AE0B3D">
        <w:rPr>
          <w:rFonts w:cs="Times New Roman"/>
        </w:rPr>
        <w:t xml:space="preserve"> the company. </w:t>
      </w:r>
      <w:r w:rsidR="008955A4" w:rsidRPr="00AE0B3D">
        <w:rPr>
          <w:rFonts w:cs="Times New Roman"/>
        </w:rPr>
        <w:t xml:space="preserve">The schedule </w:t>
      </w:r>
      <w:r w:rsidR="00475058">
        <w:rPr>
          <w:rFonts w:cs="Times New Roman"/>
        </w:rPr>
        <w:t>i</w:t>
      </w:r>
      <w:r w:rsidR="008955A4" w:rsidRPr="00AE0B3D">
        <w:rPr>
          <w:rFonts w:cs="Times New Roman"/>
        </w:rPr>
        <w:t>s presented in appendix 3.</w:t>
      </w:r>
    </w:p>
    <w:p w14:paraId="2BB4BE57" w14:textId="77777777" w:rsidR="00A60EE8" w:rsidRPr="00AE0B3D" w:rsidRDefault="00A60EE8" w:rsidP="00397C82">
      <w:pPr>
        <w:pStyle w:val="Heading2"/>
        <w:rPr>
          <w:rFonts w:cs="Times New Roman"/>
        </w:rPr>
      </w:pPr>
      <w:bookmarkStart w:id="63" w:name="_Toc78067525"/>
      <w:r w:rsidRPr="00AE0B3D">
        <w:rPr>
          <w:rFonts w:cs="Times New Roman"/>
        </w:rPr>
        <w:t xml:space="preserve">Data </w:t>
      </w:r>
      <w:r w:rsidR="004E7389" w:rsidRPr="00AE0B3D">
        <w:rPr>
          <w:rFonts w:cs="Times New Roman"/>
        </w:rPr>
        <w:t>C</w:t>
      </w:r>
      <w:r w:rsidRPr="00AE0B3D">
        <w:rPr>
          <w:rFonts w:cs="Times New Roman"/>
        </w:rPr>
        <w:t>ollection</w:t>
      </w:r>
      <w:r w:rsidR="001F35B5" w:rsidRPr="00AE0B3D">
        <w:rPr>
          <w:rFonts w:cs="Times New Roman"/>
        </w:rPr>
        <w:t xml:space="preserve"> </w:t>
      </w:r>
      <w:r w:rsidR="004E7389" w:rsidRPr="00AE0B3D">
        <w:rPr>
          <w:rFonts w:cs="Times New Roman"/>
        </w:rPr>
        <w:t>P</w:t>
      </w:r>
      <w:r w:rsidR="001F35B5" w:rsidRPr="00AE0B3D">
        <w:rPr>
          <w:rFonts w:cs="Times New Roman"/>
        </w:rPr>
        <w:t>rocedure</w:t>
      </w:r>
      <w:bookmarkEnd w:id="63"/>
    </w:p>
    <w:p w14:paraId="49E39C7C" w14:textId="5AB9C9CB" w:rsidR="00C553CF" w:rsidRPr="00AE0B3D" w:rsidRDefault="00AC37F4" w:rsidP="00BF62DD">
      <w:pPr>
        <w:rPr>
          <w:rFonts w:cs="Times New Roman"/>
        </w:rPr>
      </w:pPr>
      <w:r w:rsidRPr="00AE0B3D">
        <w:rPr>
          <w:rFonts w:cs="Times New Roman"/>
        </w:rPr>
        <w:t>The research start</w:t>
      </w:r>
      <w:r w:rsidR="00625CEF" w:rsidRPr="00AE0B3D">
        <w:rPr>
          <w:rFonts w:cs="Times New Roman"/>
        </w:rPr>
        <w:t>ed</w:t>
      </w:r>
      <w:r w:rsidRPr="00AE0B3D">
        <w:rPr>
          <w:rFonts w:cs="Times New Roman"/>
        </w:rPr>
        <w:t xml:space="preserve"> by getting ethical clearance for undertaking the research</w:t>
      </w:r>
      <w:r w:rsidR="00D364C7" w:rsidRPr="00AE0B3D">
        <w:rPr>
          <w:rFonts w:cs="Times New Roman"/>
        </w:rPr>
        <w:t xml:space="preserve"> from the</w:t>
      </w:r>
      <w:r w:rsidR="006B4E7D" w:rsidRPr="00AE0B3D">
        <w:rPr>
          <w:rFonts w:cs="Times New Roman"/>
        </w:rPr>
        <w:t xml:space="preserve"> </w:t>
      </w:r>
      <w:r w:rsidR="006B4E7D" w:rsidRPr="00AE0B3D">
        <w:t>University of Eastern Africa, Baraton</w:t>
      </w:r>
      <w:r w:rsidR="00D364C7" w:rsidRPr="00AE0B3D">
        <w:rPr>
          <w:rFonts w:cs="Times New Roman"/>
        </w:rPr>
        <w:t xml:space="preserve"> ethics committee</w:t>
      </w:r>
      <w:r w:rsidR="00785CFD">
        <w:rPr>
          <w:rFonts w:cs="Times New Roman"/>
        </w:rPr>
        <w:t xml:space="preserve"> </w:t>
      </w:r>
      <w:r w:rsidR="00153F34">
        <w:rPr>
          <w:rFonts w:cs="Times New Roman"/>
        </w:rPr>
        <w:t>(Appendix</w:t>
      </w:r>
      <w:r w:rsidR="00785CFD">
        <w:rPr>
          <w:rFonts w:cs="Times New Roman"/>
        </w:rPr>
        <w:t xml:space="preserve"> 6)</w:t>
      </w:r>
      <w:r w:rsidR="00D364C7" w:rsidRPr="00AE0B3D">
        <w:rPr>
          <w:rFonts w:cs="Times New Roman"/>
        </w:rPr>
        <w:t>. The researcher also g</w:t>
      </w:r>
      <w:r w:rsidR="00625CEF" w:rsidRPr="00AE0B3D">
        <w:rPr>
          <w:rFonts w:cs="Times New Roman"/>
        </w:rPr>
        <w:t>o</w:t>
      </w:r>
      <w:r w:rsidR="00D364C7" w:rsidRPr="00AE0B3D">
        <w:rPr>
          <w:rFonts w:cs="Times New Roman"/>
        </w:rPr>
        <w:t>t NACOSTI letter of authorization that allow</w:t>
      </w:r>
      <w:r w:rsidR="00B177B8" w:rsidRPr="00AE0B3D">
        <w:rPr>
          <w:rFonts w:cs="Times New Roman"/>
        </w:rPr>
        <w:t>ed</w:t>
      </w:r>
      <w:r w:rsidR="00D364C7" w:rsidRPr="00AE0B3D">
        <w:rPr>
          <w:rFonts w:cs="Times New Roman"/>
        </w:rPr>
        <w:t xml:space="preserve"> undertaking of the research. </w:t>
      </w:r>
      <w:r w:rsidR="00D8795C" w:rsidRPr="00AE0B3D">
        <w:rPr>
          <w:rFonts w:cs="Times New Roman"/>
        </w:rPr>
        <w:t>The research utilise</w:t>
      </w:r>
      <w:r w:rsidR="00B177B8" w:rsidRPr="00AE0B3D">
        <w:rPr>
          <w:rFonts w:cs="Times New Roman"/>
        </w:rPr>
        <w:t>d</w:t>
      </w:r>
      <w:r w:rsidR="00D8795C" w:rsidRPr="00AE0B3D">
        <w:rPr>
          <w:rFonts w:cs="Times New Roman"/>
        </w:rPr>
        <w:t xml:space="preserve"> secondary data in answering the research questions. The data </w:t>
      </w:r>
      <w:r w:rsidR="00B177B8" w:rsidRPr="00AE0B3D">
        <w:rPr>
          <w:rFonts w:cs="Times New Roman"/>
        </w:rPr>
        <w:t>was</w:t>
      </w:r>
      <w:r w:rsidR="00D8795C" w:rsidRPr="00AE0B3D">
        <w:rPr>
          <w:rFonts w:cs="Times New Roman"/>
        </w:rPr>
        <w:t xml:space="preserve"> collected from financial </w:t>
      </w:r>
      <w:r w:rsidR="00EA0DD7" w:rsidRPr="00AE0B3D">
        <w:rPr>
          <w:rFonts w:cs="Times New Roman"/>
        </w:rPr>
        <w:t>reports, annual reports</w:t>
      </w:r>
      <w:r w:rsidR="00AC158D">
        <w:rPr>
          <w:rFonts w:cs="Times New Roman"/>
        </w:rPr>
        <w:t xml:space="preserve"> from </w:t>
      </w:r>
      <w:r w:rsidR="00EA0DD7" w:rsidRPr="00AE0B3D">
        <w:rPr>
          <w:rFonts w:cs="Times New Roman"/>
        </w:rPr>
        <w:t xml:space="preserve">company website and the NSE websites. The information that </w:t>
      </w:r>
      <w:r w:rsidR="00B177B8" w:rsidRPr="00AE0B3D">
        <w:rPr>
          <w:rFonts w:cs="Times New Roman"/>
        </w:rPr>
        <w:t xml:space="preserve">was </w:t>
      </w:r>
      <w:r w:rsidR="00EA0DD7" w:rsidRPr="00AE0B3D">
        <w:rPr>
          <w:rFonts w:cs="Times New Roman"/>
        </w:rPr>
        <w:t xml:space="preserve">targeted </w:t>
      </w:r>
      <w:r w:rsidR="00B177B8" w:rsidRPr="00AE0B3D">
        <w:rPr>
          <w:rFonts w:cs="Times New Roman"/>
        </w:rPr>
        <w:t xml:space="preserve">was </w:t>
      </w:r>
      <w:r w:rsidR="00EA0DD7" w:rsidRPr="00AE0B3D">
        <w:rPr>
          <w:rFonts w:cs="Times New Roman"/>
        </w:rPr>
        <w:t>for the period between 201</w:t>
      </w:r>
      <w:r w:rsidR="00B177B8" w:rsidRPr="00AE0B3D">
        <w:rPr>
          <w:rFonts w:cs="Times New Roman"/>
        </w:rPr>
        <w:t>6</w:t>
      </w:r>
      <w:r w:rsidR="00EA0DD7" w:rsidRPr="00AE0B3D">
        <w:rPr>
          <w:rFonts w:cs="Times New Roman"/>
        </w:rPr>
        <w:t xml:space="preserve"> and 201</w:t>
      </w:r>
      <w:r w:rsidR="00F60E13" w:rsidRPr="00AE0B3D">
        <w:rPr>
          <w:rFonts w:cs="Times New Roman"/>
        </w:rPr>
        <w:t>8</w:t>
      </w:r>
      <w:r w:rsidR="00EA0DD7" w:rsidRPr="00AE0B3D">
        <w:rPr>
          <w:rFonts w:cs="Times New Roman"/>
        </w:rPr>
        <w:t xml:space="preserve"> </w:t>
      </w:r>
      <w:r w:rsidR="008E3CB5" w:rsidRPr="00AE0B3D">
        <w:rPr>
          <w:rFonts w:cs="Times New Roman"/>
        </w:rPr>
        <w:t xml:space="preserve">financial years which are readily available. </w:t>
      </w:r>
    </w:p>
    <w:p w14:paraId="2D72CB15" w14:textId="38DF0187" w:rsidR="008E3CB5" w:rsidRPr="00AE0B3D" w:rsidRDefault="008E3CB5" w:rsidP="00BF62DD">
      <w:pPr>
        <w:rPr>
          <w:rFonts w:cs="Times New Roman"/>
        </w:rPr>
      </w:pPr>
      <w:r w:rsidRPr="00AE0B3D">
        <w:rPr>
          <w:rFonts w:cs="Times New Roman"/>
        </w:rPr>
        <w:t>The researcher follow</w:t>
      </w:r>
      <w:r w:rsidR="000F4313" w:rsidRPr="00AE0B3D">
        <w:rPr>
          <w:rFonts w:cs="Times New Roman"/>
        </w:rPr>
        <w:t>ed</w:t>
      </w:r>
      <w:r w:rsidRPr="00AE0B3D">
        <w:rPr>
          <w:rFonts w:cs="Times New Roman"/>
        </w:rPr>
        <w:t xml:space="preserve"> the sampling methods in identifying the companies to be incorporated in the research. The </w:t>
      </w:r>
      <w:r w:rsidR="000F4313" w:rsidRPr="00AE0B3D">
        <w:rPr>
          <w:rFonts w:cs="Times New Roman"/>
        </w:rPr>
        <w:t xml:space="preserve">management </w:t>
      </w:r>
      <w:r w:rsidR="00587300" w:rsidRPr="00AE0B3D">
        <w:rPr>
          <w:rFonts w:cs="Times New Roman"/>
        </w:rPr>
        <w:t>remuneration</w:t>
      </w:r>
      <w:r w:rsidRPr="00AE0B3D">
        <w:rPr>
          <w:rFonts w:cs="Times New Roman"/>
        </w:rPr>
        <w:t xml:space="preserve"> variables data </w:t>
      </w:r>
      <w:r w:rsidR="000F4313" w:rsidRPr="00AE0B3D">
        <w:rPr>
          <w:rFonts w:cs="Times New Roman"/>
        </w:rPr>
        <w:t>were</w:t>
      </w:r>
      <w:r w:rsidRPr="00AE0B3D">
        <w:rPr>
          <w:rFonts w:cs="Times New Roman"/>
        </w:rPr>
        <w:t xml:space="preserve"> obtained that </w:t>
      </w:r>
      <w:r w:rsidR="000F4313" w:rsidRPr="00AE0B3D">
        <w:rPr>
          <w:rFonts w:cs="Times New Roman"/>
        </w:rPr>
        <w:t xml:space="preserve">were </w:t>
      </w:r>
      <w:r w:rsidRPr="00AE0B3D">
        <w:rPr>
          <w:rFonts w:cs="Times New Roman"/>
        </w:rPr>
        <w:t xml:space="preserve">associated with the company </w:t>
      </w:r>
      <w:r w:rsidR="002D0B0D" w:rsidRPr="00AE0B3D">
        <w:rPr>
          <w:rFonts w:cs="Times New Roman"/>
        </w:rPr>
        <w:t xml:space="preserve">chief executive officer (CEO) or the managing director of the company for the period being studied. The </w:t>
      </w:r>
      <w:r w:rsidR="005E3C3F" w:rsidRPr="00AE0B3D">
        <w:rPr>
          <w:rFonts w:cs="Times New Roman"/>
        </w:rPr>
        <w:t xml:space="preserve">financial variables data also </w:t>
      </w:r>
      <w:r w:rsidR="00392A16" w:rsidRPr="00AE0B3D">
        <w:rPr>
          <w:rFonts w:cs="Times New Roman"/>
        </w:rPr>
        <w:t xml:space="preserve">were </w:t>
      </w:r>
      <w:r w:rsidR="002D0B0D" w:rsidRPr="00AE0B3D">
        <w:rPr>
          <w:rFonts w:cs="Times New Roman"/>
        </w:rPr>
        <w:t xml:space="preserve">gathered from the financial </w:t>
      </w:r>
      <w:r w:rsidR="00F7327B" w:rsidRPr="00AE0B3D">
        <w:rPr>
          <w:rFonts w:cs="Times New Roman"/>
        </w:rPr>
        <w:t>reports</w:t>
      </w:r>
      <w:r w:rsidR="00BC72C8" w:rsidRPr="00AE0B3D">
        <w:rPr>
          <w:rFonts w:cs="Times New Roman"/>
        </w:rPr>
        <w:t xml:space="preserve">. </w:t>
      </w:r>
      <w:r w:rsidR="00551F73" w:rsidRPr="00AE0B3D">
        <w:rPr>
          <w:rFonts w:cs="Times New Roman"/>
        </w:rPr>
        <w:t xml:space="preserve">A schedule </w:t>
      </w:r>
      <w:r w:rsidR="006708F8" w:rsidRPr="00AE0B3D">
        <w:rPr>
          <w:rFonts w:cs="Times New Roman"/>
        </w:rPr>
        <w:t>was</w:t>
      </w:r>
      <w:r w:rsidR="00551F73" w:rsidRPr="00AE0B3D">
        <w:rPr>
          <w:rFonts w:cs="Times New Roman"/>
        </w:rPr>
        <w:t xml:space="preserve"> utilised in ensuring all the required data for answering the research questions </w:t>
      </w:r>
      <w:r w:rsidR="00F65714" w:rsidRPr="00AE0B3D">
        <w:rPr>
          <w:rFonts w:cs="Times New Roman"/>
        </w:rPr>
        <w:t>were</w:t>
      </w:r>
      <w:r w:rsidR="00551F73" w:rsidRPr="00AE0B3D">
        <w:rPr>
          <w:rFonts w:cs="Times New Roman"/>
        </w:rPr>
        <w:t xml:space="preserve"> gathered. </w:t>
      </w:r>
    </w:p>
    <w:p w14:paraId="4BF3E847" w14:textId="77777777" w:rsidR="00A60EE8" w:rsidRPr="00AE0B3D" w:rsidRDefault="00A60EE8" w:rsidP="0091762F">
      <w:pPr>
        <w:pStyle w:val="Heading2"/>
        <w:rPr>
          <w:rFonts w:cs="Times New Roman"/>
        </w:rPr>
      </w:pPr>
      <w:bookmarkStart w:id="64" w:name="_Toc78067526"/>
      <w:r w:rsidRPr="00AE0B3D">
        <w:rPr>
          <w:rFonts w:cs="Times New Roman"/>
        </w:rPr>
        <w:t xml:space="preserve">Data </w:t>
      </w:r>
      <w:r w:rsidR="004E7389" w:rsidRPr="00AE0B3D">
        <w:rPr>
          <w:rFonts w:cs="Times New Roman"/>
        </w:rPr>
        <w:t>A</w:t>
      </w:r>
      <w:r w:rsidRPr="00AE0B3D">
        <w:rPr>
          <w:rFonts w:cs="Times New Roman"/>
        </w:rPr>
        <w:t>nalysis</w:t>
      </w:r>
      <w:bookmarkEnd w:id="64"/>
    </w:p>
    <w:p w14:paraId="57F3BACE" w14:textId="2588018B" w:rsidR="007A32A8" w:rsidRDefault="003358AE" w:rsidP="00BF62DD">
      <w:pPr>
        <w:rPr>
          <w:rFonts w:cs="Times New Roman"/>
        </w:rPr>
      </w:pPr>
      <w:r w:rsidRPr="00AE0B3D">
        <w:rPr>
          <w:rFonts w:cs="Times New Roman"/>
        </w:rPr>
        <w:t xml:space="preserve">The </w:t>
      </w:r>
      <w:r w:rsidR="001E5910" w:rsidRPr="00AE0B3D">
        <w:rPr>
          <w:rFonts w:cs="Times New Roman"/>
        </w:rPr>
        <w:t xml:space="preserve">secondary data that </w:t>
      </w:r>
      <w:r w:rsidR="005E3C3F" w:rsidRPr="00AE0B3D">
        <w:rPr>
          <w:rFonts w:cs="Times New Roman"/>
        </w:rPr>
        <w:t xml:space="preserve">was </w:t>
      </w:r>
      <w:r w:rsidR="001E5910" w:rsidRPr="00AE0B3D">
        <w:rPr>
          <w:rFonts w:cs="Times New Roman"/>
        </w:rPr>
        <w:t xml:space="preserve">collected </w:t>
      </w:r>
      <w:r w:rsidR="00A30347" w:rsidRPr="00AE0B3D">
        <w:rPr>
          <w:rFonts w:cs="Times New Roman"/>
        </w:rPr>
        <w:t xml:space="preserve">from the secondary sources were imported to </w:t>
      </w:r>
      <w:bookmarkStart w:id="65" w:name="_Hlk536178504"/>
      <w:r w:rsidR="00AB642E" w:rsidRPr="00AE0B3D">
        <w:rPr>
          <w:rFonts w:cs="Times New Roman"/>
        </w:rPr>
        <w:t xml:space="preserve">Stata </w:t>
      </w:r>
      <w:r w:rsidR="00E50EEC" w:rsidRPr="00AE0B3D">
        <w:rPr>
          <w:rFonts w:cs="Times New Roman"/>
        </w:rPr>
        <w:t>Statistical</w:t>
      </w:r>
      <w:r w:rsidR="00AB642E" w:rsidRPr="00AE0B3D">
        <w:rPr>
          <w:rFonts w:cs="Times New Roman"/>
        </w:rPr>
        <w:t xml:space="preserve"> software</w:t>
      </w:r>
      <w:r w:rsidR="00E50EEC" w:rsidRPr="00AE0B3D">
        <w:rPr>
          <w:rFonts w:cs="Times New Roman"/>
        </w:rPr>
        <w:t>.</w:t>
      </w:r>
      <w:bookmarkEnd w:id="65"/>
      <w:r w:rsidR="00C50E89" w:rsidRPr="00AE0B3D">
        <w:rPr>
          <w:rFonts w:cs="Times New Roman"/>
        </w:rPr>
        <w:t xml:space="preserve"> </w:t>
      </w:r>
      <w:r w:rsidR="003E046E" w:rsidRPr="00AE0B3D">
        <w:rPr>
          <w:rFonts w:cs="Times New Roman"/>
        </w:rPr>
        <w:t xml:space="preserve">The data </w:t>
      </w:r>
      <w:r w:rsidR="00AB642E" w:rsidRPr="00AE0B3D">
        <w:rPr>
          <w:rFonts w:cs="Times New Roman"/>
        </w:rPr>
        <w:t xml:space="preserve">was </w:t>
      </w:r>
      <w:r w:rsidR="005E3C3F" w:rsidRPr="00AE0B3D">
        <w:rPr>
          <w:rFonts w:cs="Times New Roman"/>
        </w:rPr>
        <w:t>qualitative</w:t>
      </w:r>
      <w:r w:rsidR="00AD5A8A" w:rsidRPr="00AE0B3D">
        <w:rPr>
          <w:rFonts w:cs="Times New Roman"/>
        </w:rPr>
        <w:t xml:space="preserve"> and quantitative</w:t>
      </w:r>
      <w:r w:rsidR="003E046E" w:rsidRPr="00AE0B3D">
        <w:rPr>
          <w:rFonts w:cs="Times New Roman"/>
        </w:rPr>
        <w:t xml:space="preserve"> in nature. For the </w:t>
      </w:r>
      <w:r w:rsidR="003E046E" w:rsidRPr="00AE0B3D">
        <w:rPr>
          <w:rFonts w:cs="Times New Roman"/>
        </w:rPr>
        <w:lastRenderedPageBreak/>
        <w:t>qualitative data which include</w:t>
      </w:r>
      <w:r w:rsidR="00F65714" w:rsidRPr="00AE0B3D">
        <w:rPr>
          <w:rFonts w:cs="Times New Roman"/>
        </w:rPr>
        <w:t>d</w:t>
      </w:r>
      <w:r w:rsidR="00FA12D9" w:rsidRPr="00AE0B3D">
        <w:rPr>
          <w:rFonts w:cs="Times New Roman"/>
        </w:rPr>
        <w:t xml:space="preserve"> whether a company utilised shares as a remuneration strategy or not</w:t>
      </w:r>
      <w:r w:rsidR="003E046E" w:rsidRPr="00AE0B3D">
        <w:rPr>
          <w:rFonts w:cs="Times New Roman"/>
        </w:rPr>
        <w:t xml:space="preserve"> </w:t>
      </w:r>
      <w:r w:rsidR="000C349B" w:rsidRPr="00AE0B3D">
        <w:rPr>
          <w:rFonts w:cs="Times New Roman"/>
        </w:rPr>
        <w:t>was</w:t>
      </w:r>
      <w:r w:rsidR="001205BE" w:rsidRPr="00AE0B3D">
        <w:rPr>
          <w:rFonts w:cs="Times New Roman"/>
        </w:rPr>
        <w:t xml:space="preserve"> analysed through descriptive analysis.</w:t>
      </w:r>
      <w:r w:rsidR="007A32A8">
        <w:rPr>
          <w:rFonts w:cs="Times New Roman"/>
        </w:rPr>
        <w:t xml:space="preserve"> </w:t>
      </w:r>
      <w:r w:rsidR="001246AB">
        <w:rPr>
          <w:rFonts w:cs="Times New Roman"/>
        </w:rPr>
        <w:t xml:space="preserve">For the remuneration data that were quantitative in nature, standardization was done by </w:t>
      </w:r>
      <w:r w:rsidR="006F2DA2">
        <w:rPr>
          <w:rFonts w:cs="Times New Roman"/>
        </w:rPr>
        <w:t>dividing</w:t>
      </w:r>
      <w:r w:rsidR="001246AB">
        <w:rPr>
          <w:rFonts w:cs="Times New Roman"/>
        </w:rPr>
        <w:t xml:space="preserve"> the figure for individual remuneration by the total expense</w:t>
      </w:r>
      <w:r w:rsidR="007C4A1E">
        <w:rPr>
          <w:rFonts w:cs="Times New Roman"/>
        </w:rPr>
        <w:t xml:space="preserve">. The </w:t>
      </w:r>
      <w:r w:rsidR="006F2DA2">
        <w:rPr>
          <w:rFonts w:cs="Times New Roman"/>
        </w:rPr>
        <w:t>standardization</w:t>
      </w:r>
      <w:r w:rsidR="007C4A1E">
        <w:rPr>
          <w:rFonts w:cs="Times New Roman"/>
        </w:rPr>
        <w:t xml:space="preserve"> was done for each company to facilitated comparability of the data. </w:t>
      </w:r>
      <w:r w:rsidR="00777552">
        <w:rPr>
          <w:rFonts w:cs="Times New Roman"/>
        </w:rPr>
        <w:t xml:space="preserve">The remuneration </w:t>
      </w:r>
      <w:r w:rsidR="006F2DA2">
        <w:rPr>
          <w:rFonts w:cs="Times New Roman"/>
        </w:rPr>
        <w:t xml:space="preserve">variable </w:t>
      </w:r>
      <w:r w:rsidR="009C5BAE">
        <w:rPr>
          <w:rFonts w:cs="Times New Roman"/>
        </w:rPr>
        <w:t>was</w:t>
      </w:r>
      <w:r w:rsidR="00777552">
        <w:rPr>
          <w:rFonts w:cs="Times New Roman"/>
        </w:rPr>
        <w:t xml:space="preserve"> presented as proportion of the operating expenses of the organisation. </w:t>
      </w:r>
      <w:r w:rsidR="00B221C2">
        <w:rPr>
          <w:rFonts w:cs="Times New Roman"/>
        </w:rPr>
        <w:t xml:space="preserve">For the financial performance data, Return of Asset and Return on equity were determined for each financial year for each of the companies that was </w:t>
      </w:r>
      <w:r w:rsidR="00B651CD">
        <w:rPr>
          <w:rFonts w:cs="Times New Roman"/>
        </w:rPr>
        <w:t>incorporated</w:t>
      </w:r>
      <w:r w:rsidR="00B221C2">
        <w:rPr>
          <w:rFonts w:cs="Times New Roman"/>
        </w:rPr>
        <w:t xml:space="preserve"> in the study. </w:t>
      </w:r>
    </w:p>
    <w:p w14:paraId="446639D7" w14:textId="19995915" w:rsidR="003D6DDF" w:rsidRDefault="00E50EEC">
      <w:pPr>
        <w:rPr>
          <w:rFonts w:cs="Times New Roman"/>
          <w:szCs w:val="24"/>
          <w:shd w:val="clear" w:color="auto" w:fill="FFFFFF"/>
        </w:rPr>
      </w:pPr>
      <w:r w:rsidRPr="00AE0B3D">
        <w:rPr>
          <w:rFonts w:cs="Times New Roman"/>
        </w:rPr>
        <w:t xml:space="preserve">The quantitative data </w:t>
      </w:r>
      <w:r w:rsidR="001621F8" w:rsidRPr="00AE0B3D">
        <w:rPr>
          <w:rFonts w:cs="Times New Roman"/>
        </w:rPr>
        <w:t>was</w:t>
      </w:r>
      <w:r w:rsidRPr="00AE0B3D">
        <w:rPr>
          <w:rFonts w:cs="Times New Roman"/>
        </w:rPr>
        <w:t xml:space="preserve"> exposed to descriptive</w:t>
      </w:r>
      <w:r w:rsidR="00627C5A" w:rsidRPr="00AE0B3D">
        <w:rPr>
          <w:rFonts w:cs="Times New Roman"/>
        </w:rPr>
        <w:t xml:space="preserve"> analysis</w:t>
      </w:r>
      <w:r w:rsidR="000C3A04" w:rsidRPr="00AE0B3D">
        <w:rPr>
          <w:rFonts w:cs="Times New Roman"/>
        </w:rPr>
        <w:t xml:space="preserve"> (frequency, mode, mean) </w:t>
      </w:r>
      <w:r w:rsidR="00C4135A" w:rsidRPr="00AE0B3D">
        <w:rPr>
          <w:rFonts w:cs="Times New Roman"/>
        </w:rPr>
        <w:t>and inferential analysis using</w:t>
      </w:r>
      <w:r w:rsidR="00211C1D" w:rsidRPr="00AE0B3D">
        <w:rPr>
          <w:rFonts w:cs="Times New Roman"/>
        </w:rPr>
        <w:t xml:space="preserve"> correlation</w:t>
      </w:r>
      <w:r w:rsidR="00627C5A" w:rsidRPr="00AE0B3D">
        <w:rPr>
          <w:rFonts w:cs="Times New Roman"/>
        </w:rPr>
        <w:t xml:space="preserve">. </w:t>
      </w:r>
      <w:r w:rsidR="006F2DA2">
        <w:rPr>
          <w:rFonts w:cs="Times New Roman"/>
        </w:rPr>
        <w:t>Spearman</w:t>
      </w:r>
      <w:r w:rsidR="007C4A1E">
        <w:rPr>
          <w:rFonts w:cs="Times New Roman"/>
        </w:rPr>
        <w:t xml:space="preserve"> c</w:t>
      </w:r>
      <w:r w:rsidR="00C813A1" w:rsidRPr="00AE0B3D">
        <w:rPr>
          <w:rFonts w:cs="Times New Roman"/>
        </w:rPr>
        <w:t xml:space="preserve">orrelation analysis </w:t>
      </w:r>
      <w:r w:rsidR="000C349B" w:rsidRPr="00AE0B3D">
        <w:rPr>
          <w:rFonts w:cs="Times New Roman"/>
        </w:rPr>
        <w:t>was</w:t>
      </w:r>
      <w:r w:rsidR="00D307ED" w:rsidRPr="00AE0B3D">
        <w:rPr>
          <w:rFonts w:cs="Times New Roman"/>
        </w:rPr>
        <w:t xml:space="preserve"> used because it can</w:t>
      </w:r>
      <w:r w:rsidR="00B40DDC" w:rsidRPr="00AE0B3D">
        <w:rPr>
          <w:rFonts w:cs="Times New Roman"/>
        </w:rPr>
        <w:t xml:space="preserve"> show relationship between two continuous variables. </w:t>
      </w:r>
      <w:r w:rsidR="00A23A97" w:rsidRPr="00AE0B3D">
        <w:rPr>
          <w:rFonts w:cs="Times New Roman"/>
        </w:rPr>
        <w:t xml:space="preserve">The coefficient of the correlation reveals type and strength of the </w:t>
      </w:r>
      <w:r w:rsidR="00BC4FEA" w:rsidRPr="00AE0B3D">
        <w:rPr>
          <w:rFonts w:cs="Times New Roman"/>
        </w:rPr>
        <w:t>relationship</w:t>
      </w:r>
      <w:r w:rsidR="00A23A97" w:rsidRPr="00AE0B3D">
        <w:rPr>
          <w:rFonts w:cs="Times New Roman"/>
        </w:rPr>
        <w:t xml:space="preserve"> between the dependent and independent variables </w:t>
      </w:r>
      <w:r w:rsidR="00B12737" w:rsidRPr="00AE0B3D">
        <w:rPr>
          <w:rFonts w:cs="Times New Roman"/>
        </w:rPr>
        <w:fldChar w:fldCharType="begin" w:fldLock="1"/>
      </w:r>
      <w:r w:rsidR="00C0108D" w:rsidRPr="00AE0B3D">
        <w:rPr>
          <w:rFonts w:cs="Times New Roman"/>
        </w:rPr>
        <w:instrText>ADDIN CSL_CITATION {"citationItems":[{"id":"ITEM-1","itemData":{"DOI":"10.4102/sajems.v21i1.2004","ISSN":"1015-8812","abstract":"Background: The executive directors of a company are the agents of the shareholders and should manage the company in the best interest of the shareholders, not only for personal gain. It is therefore important for companies to ensure that they implement remuneration policies which will result in motivated employees who will execute decisions and actions which are in the best interest of the shareholders. However, it is widely acknowledged that the relationship between company performance and executive remuneration is weak. This implies that executives are still rewarded excessive remuneration regardless of the performance of their companies. Aim: The purpose of this study was to determine whether a relationship exists between the performance-based remuneration of executive directors and the financial performance of South African companies. Setting: The study was conducted in South Africa, specifically on companies listed on the Johannesburg Stock Exchange. Methods: The study design was quantitative and made use of a Pearson correlation and generalised least squares regression with bootstrapping at a 95% confidence interval to analyse the relationship between executive director remuneration and the financial performance of 42 companies in the consumer goods and services industry of the Johannesburg Stock Exchange (JSE) from 2006 to 2015. Results: The study established that the remuneration policies in place for South African executive directors within the consumer goods and services industry seem to be affected by the share price of the company. Conclusion: In the South African environment, executive director remuneration is thus not directly related to profitability or company size, as was the case in some earlier studies. The link between executive director remuneration and share performance may be an indication that remuneration policies are based on the share price and are thus directly connected to the principle of shareholder wealth maximisation.","author":[{"dropping-particle":"","family":"Kirsten","given":"Elize","non-dropping-particle":"","parse-names":false,"suffix":""},{"dropping-particle":"","family":"Toit","given":"Elda","non-dropping-particle":"Du","parse-names":false,"suffix":""}],"container-title":"South African Journal of Economic and Management Sciences","id":"ITEM-1","issue":"1","issued":{"date-parts":[["2018"]]},"page":"1-10","title":"The relationship between remuneration and financial performance for companies listed on the Johannesburg Stock Exchange","type":"article-journal","volume":"21"},"uris":["http://www.mendeley.com/documents/?uuid=4f06aaf2-3fcf-4983-9226-a311f918e73c"]},{"id":"ITEM-2","itemData":{"DOI":"10.4102/sajhrm.v13i1.668","ISSN":"1683-7584","abstract":"Orientation: The relationship between Chief Executive Officer (CEO) remuneration and organisation performance has been a topic of close scrutiny, especially since the global financial crisis. Optimal contracting relies on the premise that effective incentives will link organisation financial performance and CEO remuneration in ways that will be in the best interests of both shareholders and CEOs.Research purpose: The purpose of this research study was to investigate the relationship between CEO remuneration and organisation performance in South Africa between 2006 and 2012 and to determine whether the two constructs were positively correlated.Motivation for the study: The study provides an evidenced-based understanding of the nature of the CEO pay-performance relationship in South Africa. Understanding this relationship is critical to finding a suitable model to structure executive remuneration that will protect shareholders from over-remunerating executives in times of economic appreciation, whilst protecting executives from being underpaid in times of economic depreciation.Method: The financial results and CEO remuneration of 21 of the top 40 listed companies on the Johannesburg Stock Exchange were analysed for the period 2006–2012. The research was a quantitative, archival study. The primary statistical techniques used in the study were correlation analysis and multiple regression analysis.Main findings: The primary finding of the current research indicates that between 2006 and 2012 organisation executives have noticeably been moving away from focusing on short-termincentives, which are categorised as performance-related elements of remuneration packages.Based on these findings, it is evident that the relationship between executive remuneration and organisational financial performance has been experiencing a decline, especially since the 2008 global financial crisis. The decline has predominantly been due to a move away from performance-related elements of remuneration contracts by CEOs, creating a disconnect between CEO remuneration and organisational performance. The findings suggest that, to a large extent, remuneration contracts for CEOs are no longer optimal for the organisation and its shareholders, but are influenced by the propensity of executives to enhance their own remuneration. There exists a link between short-term incentives received by CEOs and accounting-based organisational performance measures; on the other hand, fixed pay linked w…","author":[{"dropping-particle":"","family":"Bussin","given":"Mark","non-dropping-particle":"","parse-names":false,"suffix":""},{"dropping-particle":"","family":"Modau","given":"Minute F.","non-dropping-particle":"","parse-names":false,"suffix":""}],"container-title":"SA Journal of Human Resource Management","id":"ITEM-2","issue":"1","issued":{"date-parts":[["2015"]]},"page":"1-18","title":"The relationship between Chief Executive Officer remuneration and financial performance in South Africa between 2006 and 2012","type":"article-journal","volume":"13"},"uris":["http://www.mendeley.com/documents/?uuid=6ebf2310-43ae-464d-ae17-f340a102ef4d"]}],"mendeley":{"formattedCitation":"(Bussin &amp; Modau, 2015; Kirsten &amp; Du Toit, 2018)","plainTextFormattedCitation":"(Bussin &amp; Modau, 2015; Kirsten &amp; Du Toit, 2018)","previouslyFormattedCitation":"(Bussin &amp; Modau, 2015; Kirsten &amp; Du Toit, 2018)"},"properties":{"noteIndex":0},"schema":"https://github.com/citation-style-language/schema/raw/master/csl-citation.json"}</w:instrText>
      </w:r>
      <w:r w:rsidR="00B12737" w:rsidRPr="00AE0B3D">
        <w:rPr>
          <w:rFonts w:cs="Times New Roman"/>
        </w:rPr>
        <w:fldChar w:fldCharType="separate"/>
      </w:r>
      <w:r w:rsidR="00B12737" w:rsidRPr="00AE0B3D">
        <w:rPr>
          <w:rFonts w:cs="Times New Roman"/>
          <w:noProof/>
        </w:rPr>
        <w:t>(Bussin &amp; Modau, 2015; Kirsten &amp; Du Toit, 2018)</w:t>
      </w:r>
      <w:r w:rsidR="00B12737" w:rsidRPr="00AE0B3D">
        <w:rPr>
          <w:rFonts w:cs="Times New Roman"/>
        </w:rPr>
        <w:fldChar w:fldCharType="end"/>
      </w:r>
      <w:r w:rsidR="00B12737" w:rsidRPr="00AE0B3D">
        <w:rPr>
          <w:rFonts w:cs="Times New Roman"/>
        </w:rPr>
        <w:t>.</w:t>
      </w:r>
      <w:r w:rsidR="00937645">
        <w:rPr>
          <w:rFonts w:cs="Times New Roman"/>
        </w:rPr>
        <w:t xml:space="preserve"> Consequently, this is the reason why it was selected in evaluating the association between financial performance and remuneration strategies. </w:t>
      </w:r>
    </w:p>
    <w:p w14:paraId="395D1243" w14:textId="7BEA50C5" w:rsidR="003D6DDF" w:rsidRDefault="003D6DDF">
      <w:pPr>
        <w:spacing w:line="259" w:lineRule="auto"/>
        <w:ind w:firstLine="0"/>
        <w:jc w:val="left"/>
        <w:rPr>
          <w:rFonts w:cs="Times New Roman"/>
          <w:szCs w:val="24"/>
          <w:shd w:val="clear" w:color="auto" w:fill="FFFFFF"/>
        </w:rPr>
      </w:pPr>
    </w:p>
    <w:p w14:paraId="7C397596" w14:textId="16A9C197" w:rsidR="00B365A8" w:rsidRDefault="00B365A8" w:rsidP="002E5A40">
      <w:pPr>
        <w:pStyle w:val="Caption"/>
      </w:pPr>
      <w:bookmarkStart w:id="66" w:name="_Toc66721387"/>
      <w:r>
        <w:t xml:space="preserve">Table </w:t>
      </w:r>
      <w:r>
        <w:fldChar w:fldCharType="begin"/>
      </w:r>
      <w:r>
        <w:instrText xml:space="preserve"> SEQ Table \* ARABIC </w:instrText>
      </w:r>
      <w:r>
        <w:fldChar w:fldCharType="separate"/>
      </w:r>
      <w:r w:rsidR="003D6DDF">
        <w:rPr>
          <w:noProof/>
        </w:rPr>
        <w:t>1</w:t>
      </w:r>
      <w:r>
        <w:fldChar w:fldCharType="end"/>
      </w:r>
      <w:r>
        <w:t>.</w:t>
      </w:r>
      <w:r w:rsidRPr="006078E6">
        <w:t>The Statistical Tools Used to Answer the Research Questions</w:t>
      </w:r>
      <w:bookmarkEnd w:id="66"/>
    </w:p>
    <w:p w14:paraId="3E5A8EA0" w14:textId="0B9C2117" w:rsidR="00517254" w:rsidRPr="00B12478" w:rsidRDefault="00517254" w:rsidP="0092010D">
      <w:pPr>
        <w:pStyle w:val="Caption"/>
        <w:keepNext/>
        <w:rPr>
          <w:rFonts w:cs="Times New Roman"/>
          <w:color w:val="auto"/>
        </w:rPr>
      </w:pPr>
    </w:p>
    <w:tbl>
      <w:tblPr>
        <w:tblW w:w="8784" w:type="dxa"/>
        <w:tblLook w:val="04A0" w:firstRow="1" w:lastRow="0" w:firstColumn="1" w:lastColumn="0" w:noHBand="0" w:noVBand="1"/>
      </w:tblPr>
      <w:tblGrid>
        <w:gridCol w:w="6374"/>
        <w:gridCol w:w="2410"/>
      </w:tblGrid>
      <w:tr w:rsidR="00AE0B3D" w:rsidRPr="00AE0B3D" w14:paraId="692AD2B4" w14:textId="77777777" w:rsidTr="00616B30">
        <w:trPr>
          <w:trHeight w:val="300"/>
        </w:trPr>
        <w:tc>
          <w:tcPr>
            <w:tcW w:w="637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31E5C54" w14:textId="77777777" w:rsidR="00DE0F62" w:rsidRPr="00AE0B3D" w:rsidRDefault="00DE0F62" w:rsidP="00DE0F62">
            <w:pPr>
              <w:spacing w:after="0" w:line="240" w:lineRule="auto"/>
              <w:ind w:firstLine="0"/>
              <w:jc w:val="center"/>
              <w:rPr>
                <w:rFonts w:eastAsia="Times New Roman" w:cs="Times New Roman"/>
                <w:b/>
                <w:bCs/>
                <w:szCs w:val="24"/>
                <w:lang w:eastAsia="en-GB"/>
              </w:rPr>
            </w:pPr>
            <w:r w:rsidRPr="00AE0B3D">
              <w:rPr>
                <w:rFonts w:eastAsia="Times New Roman" w:cs="Times New Roman"/>
                <w:b/>
                <w:bCs/>
                <w:szCs w:val="24"/>
                <w:lang w:eastAsia="en-GB"/>
              </w:rPr>
              <w:t>Research question</w:t>
            </w:r>
          </w:p>
        </w:tc>
        <w:tc>
          <w:tcPr>
            <w:tcW w:w="2410" w:type="dxa"/>
            <w:tcBorders>
              <w:top w:val="single" w:sz="4" w:space="0" w:color="auto"/>
              <w:left w:val="nil"/>
              <w:bottom w:val="single" w:sz="4" w:space="0" w:color="auto"/>
              <w:right w:val="single" w:sz="4" w:space="0" w:color="auto"/>
            </w:tcBorders>
            <w:shd w:val="clear" w:color="auto" w:fill="auto"/>
            <w:noWrap/>
            <w:vAlign w:val="bottom"/>
            <w:hideMark/>
          </w:tcPr>
          <w:p w14:paraId="2EC8D1F1" w14:textId="566CB7B2" w:rsidR="00DE0F62" w:rsidRPr="00AE0B3D" w:rsidRDefault="00DE0F62" w:rsidP="00DE0F62">
            <w:pPr>
              <w:spacing w:after="0" w:line="240" w:lineRule="auto"/>
              <w:ind w:firstLine="0"/>
              <w:jc w:val="left"/>
              <w:rPr>
                <w:rFonts w:eastAsia="Times New Roman" w:cs="Times New Roman"/>
                <w:b/>
                <w:bCs/>
                <w:szCs w:val="24"/>
                <w:lang w:eastAsia="en-GB"/>
              </w:rPr>
            </w:pPr>
            <w:r w:rsidRPr="00AE0B3D">
              <w:rPr>
                <w:rFonts w:eastAsia="Times New Roman" w:cs="Times New Roman"/>
                <w:b/>
                <w:bCs/>
                <w:szCs w:val="24"/>
                <w:lang w:eastAsia="en-GB"/>
              </w:rPr>
              <w:t xml:space="preserve">Statistical </w:t>
            </w:r>
            <w:r w:rsidR="00A83846">
              <w:rPr>
                <w:rFonts w:eastAsia="Times New Roman" w:cs="Times New Roman"/>
                <w:b/>
                <w:bCs/>
                <w:szCs w:val="24"/>
                <w:lang w:eastAsia="en-GB"/>
              </w:rPr>
              <w:t>measure</w:t>
            </w:r>
          </w:p>
        </w:tc>
      </w:tr>
      <w:tr w:rsidR="00AE0B3D" w:rsidRPr="00AE0B3D" w14:paraId="4A83E1B3" w14:textId="77777777" w:rsidTr="00616B30">
        <w:trPr>
          <w:trHeight w:val="315"/>
        </w:trPr>
        <w:tc>
          <w:tcPr>
            <w:tcW w:w="6374" w:type="dxa"/>
            <w:tcBorders>
              <w:top w:val="nil"/>
              <w:left w:val="single" w:sz="4" w:space="0" w:color="auto"/>
              <w:bottom w:val="single" w:sz="4" w:space="0" w:color="auto"/>
              <w:right w:val="single" w:sz="4" w:space="0" w:color="auto"/>
            </w:tcBorders>
            <w:shd w:val="clear" w:color="auto" w:fill="auto"/>
            <w:vAlign w:val="bottom"/>
            <w:hideMark/>
          </w:tcPr>
          <w:p w14:paraId="2AE24086" w14:textId="6661B01D" w:rsidR="00DE0F62" w:rsidRPr="00AE0B3D" w:rsidRDefault="009C5BAE" w:rsidP="00235159">
            <w:pPr>
              <w:spacing w:line="240" w:lineRule="auto"/>
              <w:ind w:firstLine="0"/>
              <w:rPr>
                <w:rFonts w:eastAsia="Times New Roman" w:cs="Times New Roman"/>
                <w:szCs w:val="24"/>
                <w:lang w:eastAsia="en-GB"/>
              </w:rPr>
            </w:pPr>
            <w:r w:rsidRPr="009C5BAE">
              <w:rPr>
                <w:rFonts w:cs="Times New Roman"/>
              </w:rPr>
              <w:t>What is the level of management remuneration of the selected public listed companies in terms of salary, benefits, bonus, and shares?</w:t>
            </w:r>
          </w:p>
        </w:tc>
        <w:tc>
          <w:tcPr>
            <w:tcW w:w="2410" w:type="dxa"/>
            <w:tcBorders>
              <w:top w:val="nil"/>
              <w:left w:val="nil"/>
              <w:bottom w:val="single" w:sz="4" w:space="0" w:color="auto"/>
              <w:right w:val="single" w:sz="4" w:space="0" w:color="auto"/>
            </w:tcBorders>
            <w:shd w:val="clear" w:color="auto" w:fill="auto"/>
            <w:noWrap/>
            <w:vAlign w:val="bottom"/>
            <w:hideMark/>
          </w:tcPr>
          <w:p w14:paraId="44D21531" w14:textId="53E160D4" w:rsidR="00DE0F62" w:rsidRPr="00AE0B3D" w:rsidRDefault="00B760C3" w:rsidP="00DE0F62">
            <w:pPr>
              <w:spacing w:after="0" w:line="240" w:lineRule="auto"/>
              <w:ind w:firstLine="0"/>
              <w:jc w:val="left"/>
              <w:rPr>
                <w:rFonts w:eastAsia="Times New Roman" w:cs="Times New Roman"/>
                <w:szCs w:val="24"/>
                <w:lang w:eastAsia="en-GB"/>
              </w:rPr>
            </w:pPr>
            <w:r w:rsidRPr="00AE0B3D">
              <w:rPr>
                <w:rFonts w:eastAsia="Times New Roman" w:cs="Times New Roman"/>
                <w:szCs w:val="24"/>
                <w:lang w:eastAsia="en-GB"/>
              </w:rPr>
              <w:t xml:space="preserve">Mean, range, standard </w:t>
            </w:r>
            <w:r w:rsidR="009C5BAE" w:rsidRPr="00AE0B3D">
              <w:rPr>
                <w:rFonts w:eastAsia="Times New Roman" w:cs="Times New Roman"/>
                <w:szCs w:val="24"/>
                <w:lang w:eastAsia="en-GB"/>
              </w:rPr>
              <w:t>deviation,</w:t>
            </w:r>
            <w:r w:rsidRPr="00AE0B3D">
              <w:rPr>
                <w:rFonts w:eastAsia="Times New Roman" w:cs="Times New Roman"/>
                <w:szCs w:val="24"/>
                <w:lang w:eastAsia="en-GB"/>
              </w:rPr>
              <w:t xml:space="preserve"> </w:t>
            </w:r>
            <w:r w:rsidR="009C5BAE" w:rsidRPr="009C5BAE">
              <w:rPr>
                <w:rFonts w:eastAsia="Times New Roman" w:cs="Times New Roman"/>
                <w:szCs w:val="24"/>
                <w:lang w:eastAsia="en-GB"/>
              </w:rPr>
              <w:t xml:space="preserve">and frequency of adoption  </w:t>
            </w:r>
          </w:p>
        </w:tc>
      </w:tr>
      <w:tr w:rsidR="00AE0B3D" w:rsidRPr="00AE0B3D" w14:paraId="2B677190" w14:textId="77777777" w:rsidTr="00616B30">
        <w:trPr>
          <w:trHeight w:val="630"/>
        </w:trPr>
        <w:tc>
          <w:tcPr>
            <w:tcW w:w="6374" w:type="dxa"/>
            <w:tcBorders>
              <w:top w:val="nil"/>
              <w:left w:val="single" w:sz="4" w:space="0" w:color="auto"/>
              <w:bottom w:val="single" w:sz="4" w:space="0" w:color="auto"/>
              <w:right w:val="single" w:sz="4" w:space="0" w:color="auto"/>
            </w:tcBorders>
            <w:shd w:val="clear" w:color="auto" w:fill="auto"/>
            <w:vAlign w:val="center"/>
            <w:hideMark/>
          </w:tcPr>
          <w:p w14:paraId="40767541" w14:textId="1F20B874" w:rsidR="00DE0F62" w:rsidRPr="00AE0B3D" w:rsidRDefault="009C5BAE" w:rsidP="00235159">
            <w:pPr>
              <w:spacing w:after="0" w:line="240" w:lineRule="auto"/>
              <w:ind w:firstLine="0"/>
              <w:jc w:val="left"/>
              <w:rPr>
                <w:rFonts w:eastAsia="Times New Roman" w:cs="Times New Roman"/>
                <w:szCs w:val="24"/>
                <w:lang w:eastAsia="en-GB"/>
              </w:rPr>
            </w:pPr>
            <w:r w:rsidRPr="00AE0B3D">
              <w:rPr>
                <w:rFonts w:cs="Times New Roman"/>
              </w:rPr>
              <w:t xml:space="preserve">What is </w:t>
            </w:r>
            <w:r>
              <w:rPr>
                <w:rFonts w:cs="Times New Roman"/>
              </w:rPr>
              <w:t xml:space="preserve">the level of </w:t>
            </w:r>
            <w:r w:rsidRPr="00AE0B3D">
              <w:rPr>
                <w:rFonts w:cs="Times New Roman"/>
              </w:rPr>
              <w:t xml:space="preserve">financial performance of the selected public listed </w:t>
            </w:r>
            <w:r w:rsidRPr="00AE0B3D">
              <w:rPr>
                <w:rFonts w:cs="Times New Roman"/>
                <w:szCs w:val="24"/>
              </w:rPr>
              <w:t>companies in the Nairobi securities exchange in the past decade?</w:t>
            </w:r>
          </w:p>
        </w:tc>
        <w:tc>
          <w:tcPr>
            <w:tcW w:w="2410" w:type="dxa"/>
            <w:tcBorders>
              <w:top w:val="nil"/>
              <w:left w:val="nil"/>
              <w:bottom w:val="single" w:sz="4" w:space="0" w:color="auto"/>
              <w:right w:val="single" w:sz="4" w:space="0" w:color="auto"/>
            </w:tcBorders>
            <w:shd w:val="clear" w:color="auto" w:fill="auto"/>
            <w:noWrap/>
            <w:vAlign w:val="bottom"/>
            <w:hideMark/>
          </w:tcPr>
          <w:p w14:paraId="1B7D27AA" w14:textId="0F8B4889" w:rsidR="00DE0F62" w:rsidRPr="00AE0B3D" w:rsidRDefault="007D7A99">
            <w:pPr>
              <w:spacing w:after="0" w:line="240" w:lineRule="auto"/>
              <w:ind w:firstLine="0"/>
              <w:jc w:val="left"/>
              <w:rPr>
                <w:rFonts w:eastAsia="Times New Roman" w:cs="Times New Roman"/>
                <w:szCs w:val="24"/>
                <w:lang w:eastAsia="en-GB"/>
              </w:rPr>
            </w:pPr>
            <w:r>
              <w:rPr>
                <w:rFonts w:eastAsia="Times New Roman" w:cs="Times New Roman"/>
                <w:szCs w:val="24"/>
                <w:lang w:eastAsia="en-GB"/>
              </w:rPr>
              <w:t xml:space="preserve">Mean, </w:t>
            </w:r>
            <w:r w:rsidR="0083511A">
              <w:rPr>
                <w:rFonts w:eastAsia="Times New Roman" w:cs="Times New Roman"/>
                <w:szCs w:val="24"/>
                <w:lang w:eastAsia="en-GB"/>
              </w:rPr>
              <w:t xml:space="preserve">range, standard deviation, </w:t>
            </w:r>
          </w:p>
        </w:tc>
      </w:tr>
      <w:tr w:rsidR="00AE0B3D" w:rsidRPr="00AE0B3D" w14:paraId="5056B94E" w14:textId="77777777" w:rsidTr="00616B30">
        <w:trPr>
          <w:trHeight w:val="630"/>
        </w:trPr>
        <w:tc>
          <w:tcPr>
            <w:tcW w:w="6374" w:type="dxa"/>
            <w:tcBorders>
              <w:top w:val="nil"/>
              <w:left w:val="single" w:sz="4" w:space="0" w:color="auto"/>
              <w:bottom w:val="single" w:sz="4" w:space="0" w:color="auto"/>
              <w:right w:val="single" w:sz="4" w:space="0" w:color="auto"/>
            </w:tcBorders>
            <w:shd w:val="clear" w:color="auto" w:fill="auto"/>
            <w:noWrap/>
            <w:vAlign w:val="center"/>
            <w:hideMark/>
          </w:tcPr>
          <w:p w14:paraId="3A7C5BC2" w14:textId="77777777" w:rsidR="00DE0F62" w:rsidRPr="00AE0B3D" w:rsidRDefault="00DE0F62" w:rsidP="00DE0F62">
            <w:pPr>
              <w:spacing w:after="0" w:line="240" w:lineRule="auto"/>
              <w:ind w:firstLine="0"/>
              <w:rPr>
                <w:rFonts w:eastAsia="Times New Roman" w:cs="Times New Roman"/>
                <w:szCs w:val="24"/>
                <w:lang w:eastAsia="en-GB"/>
              </w:rPr>
            </w:pPr>
            <w:r w:rsidRPr="00AE0B3D">
              <w:rPr>
                <w:rFonts w:eastAsia="Times New Roman" w:cs="Times New Roman"/>
                <w:szCs w:val="24"/>
                <w:lang w:eastAsia="en-GB"/>
              </w:rPr>
              <w:lastRenderedPageBreak/>
              <w:t>Is there a significant relationship between management remuneration strategies and financial performance of public listed companies in the Nairobi securities exchange?</w:t>
            </w:r>
          </w:p>
        </w:tc>
        <w:tc>
          <w:tcPr>
            <w:tcW w:w="2410" w:type="dxa"/>
            <w:tcBorders>
              <w:top w:val="nil"/>
              <w:left w:val="nil"/>
              <w:bottom w:val="single" w:sz="4" w:space="0" w:color="auto"/>
              <w:right w:val="single" w:sz="4" w:space="0" w:color="auto"/>
            </w:tcBorders>
            <w:shd w:val="clear" w:color="auto" w:fill="auto"/>
            <w:noWrap/>
            <w:vAlign w:val="bottom"/>
            <w:hideMark/>
          </w:tcPr>
          <w:p w14:paraId="4FD8EF07" w14:textId="3DE130C4" w:rsidR="00DE0F62" w:rsidRPr="00AE0B3D" w:rsidRDefault="00DE0F62">
            <w:pPr>
              <w:spacing w:after="0" w:line="240" w:lineRule="auto"/>
              <w:ind w:firstLine="0"/>
              <w:jc w:val="left"/>
              <w:rPr>
                <w:rFonts w:eastAsia="Times New Roman" w:cs="Times New Roman"/>
                <w:szCs w:val="24"/>
                <w:lang w:eastAsia="en-GB"/>
              </w:rPr>
            </w:pPr>
            <w:r w:rsidRPr="00AE0B3D">
              <w:rPr>
                <w:rFonts w:eastAsia="Times New Roman" w:cs="Times New Roman"/>
                <w:szCs w:val="24"/>
                <w:lang w:eastAsia="en-GB"/>
              </w:rPr>
              <w:t xml:space="preserve">Correlation </w:t>
            </w:r>
            <w:r w:rsidR="00A83846">
              <w:rPr>
                <w:rFonts w:eastAsia="Times New Roman" w:cs="Times New Roman"/>
                <w:szCs w:val="24"/>
                <w:lang w:eastAsia="en-GB"/>
              </w:rPr>
              <w:t>value</w:t>
            </w:r>
          </w:p>
        </w:tc>
      </w:tr>
      <w:tr w:rsidR="00AE0B3D" w:rsidRPr="00AE0B3D" w14:paraId="092D1A51" w14:textId="77777777" w:rsidTr="00616B30">
        <w:trPr>
          <w:trHeight w:val="630"/>
        </w:trPr>
        <w:tc>
          <w:tcPr>
            <w:tcW w:w="6374" w:type="dxa"/>
            <w:tcBorders>
              <w:top w:val="nil"/>
              <w:left w:val="single" w:sz="4" w:space="0" w:color="auto"/>
              <w:bottom w:val="single" w:sz="4" w:space="0" w:color="auto"/>
              <w:right w:val="single" w:sz="4" w:space="0" w:color="auto"/>
            </w:tcBorders>
            <w:shd w:val="clear" w:color="auto" w:fill="auto"/>
            <w:noWrap/>
            <w:vAlign w:val="center"/>
            <w:hideMark/>
          </w:tcPr>
          <w:p w14:paraId="2A0FD668" w14:textId="3C146E56" w:rsidR="00DE0F62" w:rsidRPr="00AE0B3D" w:rsidRDefault="00FE61D0" w:rsidP="00DE0F62">
            <w:pPr>
              <w:spacing w:after="0" w:line="240" w:lineRule="auto"/>
              <w:ind w:firstLine="0"/>
              <w:rPr>
                <w:rFonts w:eastAsia="Times New Roman" w:cs="Times New Roman"/>
                <w:szCs w:val="24"/>
                <w:lang w:eastAsia="en-GB"/>
              </w:rPr>
            </w:pPr>
            <w:r w:rsidRPr="00AE0B3D">
              <w:rPr>
                <w:rFonts w:cs="Times New Roman"/>
                <w:szCs w:val="24"/>
              </w:rPr>
              <w:t xml:space="preserve">Which management remuneration </w:t>
            </w:r>
            <w:r w:rsidR="009C5BAE">
              <w:rPr>
                <w:rFonts w:cs="Times New Roman"/>
                <w:szCs w:val="24"/>
              </w:rPr>
              <w:t>measures</w:t>
            </w:r>
            <w:r w:rsidRPr="00AE0B3D">
              <w:rPr>
                <w:rFonts w:cs="Times New Roman"/>
                <w:szCs w:val="24"/>
              </w:rPr>
              <w:t xml:space="preserve"> best predictor of financial performance of companies listed in the Nairobi securities exchange market?</w:t>
            </w:r>
          </w:p>
        </w:tc>
        <w:tc>
          <w:tcPr>
            <w:tcW w:w="2410" w:type="dxa"/>
            <w:tcBorders>
              <w:top w:val="nil"/>
              <w:left w:val="nil"/>
              <w:bottom w:val="single" w:sz="4" w:space="0" w:color="auto"/>
              <w:right w:val="single" w:sz="4" w:space="0" w:color="auto"/>
            </w:tcBorders>
            <w:shd w:val="clear" w:color="auto" w:fill="auto"/>
            <w:noWrap/>
            <w:vAlign w:val="bottom"/>
            <w:hideMark/>
          </w:tcPr>
          <w:p w14:paraId="3CA10AEE" w14:textId="0318A287" w:rsidR="00DE0F62" w:rsidRPr="00AE0B3D" w:rsidRDefault="003B6EB6">
            <w:pPr>
              <w:spacing w:after="0" w:line="240" w:lineRule="auto"/>
              <w:ind w:firstLine="0"/>
              <w:jc w:val="left"/>
              <w:rPr>
                <w:rFonts w:eastAsia="Times New Roman" w:cs="Times New Roman"/>
                <w:szCs w:val="24"/>
                <w:lang w:eastAsia="en-GB"/>
              </w:rPr>
            </w:pPr>
            <w:r w:rsidRPr="00AE0B3D">
              <w:rPr>
                <w:rFonts w:eastAsia="Times New Roman" w:cs="Times New Roman"/>
                <w:szCs w:val="24"/>
                <w:lang w:eastAsia="en-GB"/>
              </w:rPr>
              <w:t xml:space="preserve">Correlation </w:t>
            </w:r>
            <w:r>
              <w:rPr>
                <w:rFonts w:eastAsia="Times New Roman" w:cs="Times New Roman"/>
                <w:szCs w:val="24"/>
                <w:lang w:eastAsia="en-GB"/>
              </w:rPr>
              <w:t>value</w:t>
            </w:r>
          </w:p>
        </w:tc>
      </w:tr>
    </w:tbl>
    <w:p w14:paraId="22573E57" w14:textId="77777777" w:rsidR="0056550A" w:rsidRPr="00AE0B3D" w:rsidRDefault="0056550A" w:rsidP="00BF62DD">
      <w:pPr>
        <w:rPr>
          <w:rFonts w:cs="Times New Roman"/>
        </w:rPr>
      </w:pPr>
    </w:p>
    <w:p w14:paraId="07FF49D4" w14:textId="77777777" w:rsidR="00A60EE8" w:rsidRPr="00AE0B3D" w:rsidRDefault="00A60EE8" w:rsidP="003358AE">
      <w:pPr>
        <w:pStyle w:val="Heading2"/>
        <w:rPr>
          <w:rFonts w:cs="Times New Roman"/>
        </w:rPr>
      </w:pPr>
      <w:bookmarkStart w:id="67" w:name="_Toc78067527"/>
      <w:r w:rsidRPr="00AE0B3D">
        <w:rPr>
          <w:rFonts w:cs="Times New Roman"/>
        </w:rPr>
        <w:t xml:space="preserve">Ethical </w:t>
      </w:r>
      <w:r w:rsidR="004E7389" w:rsidRPr="00AE0B3D">
        <w:rPr>
          <w:rFonts w:cs="Times New Roman"/>
        </w:rPr>
        <w:t>C</w:t>
      </w:r>
      <w:r w:rsidRPr="00AE0B3D">
        <w:rPr>
          <w:rFonts w:cs="Times New Roman"/>
        </w:rPr>
        <w:t>onsideration</w:t>
      </w:r>
      <w:r w:rsidR="004E7389" w:rsidRPr="00AE0B3D">
        <w:rPr>
          <w:rFonts w:cs="Times New Roman"/>
        </w:rPr>
        <w:t>s</w:t>
      </w:r>
      <w:bookmarkEnd w:id="67"/>
    </w:p>
    <w:p w14:paraId="3C380526" w14:textId="2AFB329A" w:rsidR="00C70FD9" w:rsidRPr="00AE0B3D" w:rsidRDefault="00E039E8" w:rsidP="007174CF">
      <w:pPr>
        <w:rPr>
          <w:rFonts w:cs="Times New Roman"/>
        </w:rPr>
      </w:pPr>
      <w:r w:rsidRPr="00AE0B3D">
        <w:rPr>
          <w:rFonts w:cs="Times New Roman"/>
        </w:rPr>
        <w:t>The research</w:t>
      </w:r>
      <w:r w:rsidR="00971CBC">
        <w:rPr>
          <w:rFonts w:cs="Times New Roman"/>
        </w:rPr>
        <w:t>er</w:t>
      </w:r>
      <w:r w:rsidRPr="00AE0B3D">
        <w:rPr>
          <w:rFonts w:cs="Times New Roman"/>
        </w:rPr>
        <w:t xml:space="preserve"> adhere</w:t>
      </w:r>
      <w:r w:rsidR="0012451A" w:rsidRPr="00AE0B3D">
        <w:rPr>
          <w:rFonts w:cs="Times New Roman"/>
        </w:rPr>
        <w:t>d</w:t>
      </w:r>
      <w:r w:rsidRPr="00AE0B3D">
        <w:rPr>
          <w:rFonts w:cs="Times New Roman"/>
        </w:rPr>
        <w:t xml:space="preserve"> to ethical consideration </w:t>
      </w:r>
      <w:r w:rsidR="00650FB3" w:rsidRPr="00AE0B3D">
        <w:rPr>
          <w:rFonts w:cs="Times New Roman"/>
        </w:rPr>
        <w:t>throughout</w:t>
      </w:r>
      <w:r w:rsidRPr="00AE0B3D">
        <w:rPr>
          <w:rFonts w:cs="Times New Roman"/>
        </w:rPr>
        <w:t xml:space="preserve"> the research undertaking. </w:t>
      </w:r>
      <w:r w:rsidRPr="00AE0B3D">
        <w:rPr>
          <w:rFonts w:cs="Times New Roman"/>
          <w:noProof/>
        </w:rPr>
        <w:t>First</w:t>
      </w:r>
      <w:r w:rsidR="007174CF" w:rsidRPr="00AE0B3D">
        <w:rPr>
          <w:rFonts w:cs="Times New Roman"/>
          <w:noProof/>
        </w:rPr>
        <w:t>,</w:t>
      </w:r>
      <w:r w:rsidRPr="00AE0B3D">
        <w:rPr>
          <w:rFonts w:cs="Times New Roman"/>
        </w:rPr>
        <w:t xml:space="preserve"> the researcher</w:t>
      </w:r>
      <w:r w:rsidR="0012451A" w:rsidRPr="00AE0B3D">
        <w:rPr>
          <w:rFonts w:cs="Times New Roman"/>
        </w:rPr>
        <w:t xml:space="preserve"> </w:t>
      </w:r>
      <w:r w:rsidR="007211CB" w:rsidRPr="00AE0B3D">
        <w:rPr>
          <w:rFonts w:cs="Times New Roman"/>
        </w:rPr>
        <w:t>request</w:t>
      </w:r>
      <w:r w:rsidR="0012451A" w:rsidRPr="00AE0B3D">
        <w:rPr>
          <w:rFonts w:cs="Times New Roman"/>
        </w:rPr>
        <w:t xml:space="preserve">ed </w:t>
      </w:r>
      <w:r w:rsidR="007211CB" w:rsidRPr="00AE0B3D">
        <w:rPr>
          <w:rFonts w:cs="Times New Roman"/>
        </w:rPr>
        <w:t>permission from the ethical department of the</w:t>
      </w:r>
      <w:r w:rsidR="00A970CD" w:rsidRPr="00AE0B3D">
        <w:rPr>
          <w:rFonts w:cs="Times New Roman"/>
        </w:rPr>
        <w:t xml:space="preserve"> </w:t>
      </w:r>
      <w:r w:rsidR="00A970CD" w:rsidRPr="00AE0B3D">
        <w:t>University of Eastern Africa, Baraton</w:t>
      </w:r>
      <w:r w:rsidR="007211CB" w:rsidRPr="00AE0B3D">
        <w:rPr>
          <w:rFonts w:cs="Times New Roman"/>
        </w:rPr>
        <w:t xml:space="preserve"> before undertaking the research study.</w:t>
      </w:r>
      <w:r w:rsidR="00D87CDC" w:rsidRPr="00AE0B3D">
        <w:rPr>
          <w:rFonts w:cs="Times New Roman"/>
        </w:rPr>
        <w:t xml:space="preserve"> </w:t>
      </w:r>
      <w:r w:rsidR="0027290C" w:rsidRPr="00AE0B3D">
        <w:rPr>
          <w:rFonts w:cs="Times New Roman"/>
        </w:rPr>
        <w:t>The research</w:t>
      </w:r>
      <w:r w:rsidR="00216CCA">
        <w:rPr>
          <w:rFonts w:cs="Times New Roman"/>
        </w:rPr>
        <w:t>er</w:t>
      </w:r>
      <w:r w:rsidR="0027290C" w:rsidRPr="00AE0B3D">
        <w:rPr>
          <w:rFonts w:cs="Times New Roman"/>
        </w:rPr>
        <w:t xml:space="preserve"> also </w:t>
      </w:r>
      <w:r w:rsidR="00C252DC" w:rsidRPr="00AE0B3D">
        <w:rPr>
          <w:rFonts w:cs="Times New Roman"/>
        </w:rPr>
        <w:t xml:space="preserve">sought </w:t>
      </w:r>
      <w:r w:rsidR="00D87CDC" w:rsidRPr="00AE0B3D">
        <w:rPr>
          <w:rFonts w:cs="Times New Roman"/>
        </w:rPr>
        <w:t>permission from NACOSTI to facilitate the undertaking of the research</w:t>
      </w:r>
      <w:r w:rsidR="00147462" w:rsidRPr="00AE0B3D">
        <w:rPr>
          <w:rFonts w:cs="Times New Roman"/>
        </w:rPr>
        <w:t>.</w:t>
      </w:r>
      <w:r w:rsidR="00221882" w:rsidRPr="00AE0B3D">
        <w:rPr>
          <w:rFonts w:cs="Times New Roman"/>
        </w:rPr>
        <w:t xml:space="preserve"> The researcher ensure</w:t>
      </w:r>
      <w:r w:rsidR="00835B9C" w:rsidRPr="00AE0B3D">
        <w:rPr>
          <w:rFonts w:cs="Times New Roman"/>
        </w:rPr>
        <w:t>d</w:t>
      </w:r>
      <w:r w:rsidR="00221882" w:rsidRPr="00AE0B3D">
        <w:rPr>
          <w:rFonts w:cs="Times New Roman"/>
        </w:rPr>
        <w:t xml:space="preserve"> that </w:t>
      </w:r>
      <w:r w:rsidR="00357F14" w:rsidRPr="00AE0B3D">
        <w:rPr>
          <w:rFonts w:cs="Times New Roman"/>
        </w:rPr>
        <w:t xml:space="preserve">all the data collected in the research </w:t>
      </w:r>
      <w:r w:rsidR="00835B9C" w:rsidRPr="00AE0B3D">
        <w:rPr>
          <w:rFonts w:cs="Times New Roman"/>
        </w:rPr>
        <w:t>were</w:t>
      </w:r>
      <w:r w:rsidR="00357F14" w:rsidRPr="00AE0B3D">
        <w:rPr>
          <w:rFonts w:cs="Times New Roman"/>
        </w:rPr>
        <w:t xml:space="preserve"> credible for reaching a credible and reliable conclusion.</w:t>
      </w:r>
      <w:r w:rsidR="007211CB" w:rsidRPr="00AE0B3D">
        <w:rPr>
          <w:rFonts w:cs="Times New Roman"/>
        </w:rPr>
        <w:t xml:space="preserve"> </w:t>
      </w:r>
      <w:r w:rsidR="007829FD" w:rsidRPr="00AE0B3D">
        <w:rPr>
          <w:rFonts w:cs="Times New Roman"/>
        </w:rPr>
        <w:t>The data too</w:t>
      </w:r>
      <w:r w:rsidR="00835B9C" w:rsidRPr="00AE0B3D">
        <w:rPr>
          <w:rFonts w:cs="Times New Roman"/>
        </w:rPr>
        <w:t xml:space="preserve"> was</w:t>
      </w:r>
      <w:r w:rsidR="007829FD" w:rsidRPr="00AE0B3D">
        <w:rPr>
          <w:rFonts w:cs="Times New Roman"/>
        </w:rPr>
        <w:t xml:space="preserve"> secured and only those </w:t>
      </w:r>
      <w:r w:rsidR="007174CF" w:rsidRPr="00AE0B3D">
        <w:rPr>
          <w:rFonts w:cs="Times New Roman"/>
        </w:rPr>
        <w:t xml:space="preserve">who </w:t>
      </w:r>
      <w:r w:rsidR="00835B9C" w:rsidRPr="00AE0B3D">
        <w:rPr>
          <w:rFonts w:cs="Times New Roman"/>
        </w:rPr>
        <w:t>had</w:t>
      </w:r>
      <w:r w:rsidR="007829FD" w:rsidRPr="00AE0B3D">
        <w:rPr>
          <w:rFonts w:cs="Times New Roman"/>
        </w:rPr>
        <w:t xml:space="preserve"> permission </w:t>
      </w:r>
      <w:r w:rsidR="00C12B25" w:rsidRPr="00AE0B3D">
        <w:rPr>
          <w:rFonts w:cs="Times New Roman"/>
          <w:noProof/>
        </w:rPr>
        <w:t>allow</w:t>
      </w:r>
      <w:r w:rsidR="007174CF" w:rsidRPr="00AE0B3D">
        <w:rPr>
          <w:rFonts w:cs="Times New Roman"/>
          <w:noProof/>
        </w:rPr>
        <w:t>ed</w:t>
      </w:r>
      <w:r w:rsidR="00C12B25" w:rsidRPr="00AE0B3D">
        <w:rPr>
          <w:rFonts w:cs="Times New Roman"/>
        </w:rPr>
        <w:t xml:space="preserve"> to use the data. The research </w:t>
      </w:r>
      <w:r w:rsidR="0092010D" w:rsidRPr="00AE0B3D">
        <w:rPr>
          <w:rFonts w:cs="Times New Roman"/>
        </w:rPr>
        <w:t>was</w:t>
      </w:r>
      <w:r w:rsidR="005E3C3F" w:rsidRPr="00AE0B3D">
        <w:rPr>
          <w:rFonts w:cs="Times New Roman"/>
        </w:rPr>
        <w:t xml:space="preserve"> only</w:t>
      </w:r>
      <w:r w:rsidR="00C12B25" w:rsidRPr="00AE0B3D">
        <w:rPr>
          <w:rFonts w:cs="Times New Roman"/>
        </w:rPr>
        <w:t xml:space="preserve"> meant for academic</w:t>
      </w:r>
      <w:r w:rsidR="007174CF" w:rsidRPr="00AE0B3D">
        <w:rPr>
          <w:rFonts w:cs="Times New Roman"/>
        </w:rPr>
        <w:t xml:space="preserve"> purpose</w:t>
      </w:r>
      <w:r w:rsidR="00C12B25" w:rsidRPr="00AE0B3D">
        <w:rPr>
          <w:rFonts w:cs="Times New Roman"/>
        </w:rPr>
        <w:t xml:space="preserve"> and all the data that </w:t>
      </w:r>
      <w:r w:rsidR="0092010D" w:rsidRPr="00AE0B3D">
        <w:rPr>
          <w:rFonts w:cs="Times New Roman"/>
        </w:rPr>
        <w:t>was</w:t>
      </w:r>
      <w:r w:rsidR="00C12B25" w:rsidRPr="00AE0B3D">
        <w:rPr>
          <w:rFonts w:cs="Times New Roman"/>
        </w:rPr>
        <w:t xml:space="preserve"> collected </w:t>
      </w:r>
      <w:r w:rsidR="0092010D" w:rsidRPr="00AE0B3D">
        <w:rPr>
          <w:rFonts w:cs="Times New Roman"/>
        </w:rPr>
        <w:t>was</w:t>
      </w:r>
      <w:r w:rsidR="00C12B25" w:rsidRPr="00AE0B3D">
        <w:rPr>
          <w:rFonts w:cs="Times New Roman"/>
        </w:rPr>
        <w:t xml:space="preserve"> used for academic use only. </w:t>
      </w:r>
    </w:p>
    <w:p w14:paraId="116AE41D" w14:textId="77777777" w:rsidR="00315FA5" w:rsidRDefault="00C70FD9">
      <w:pPr>
        <w:spacing w:line="259" w:lineRule="auto"/>
        <w:ind w:firstLine="0"/>
        <w:jc w:val="left"/>
        <w:rPr>
          <w:rFonts w:cs="Times New Roman"/>
        </w:rPr>
        <w:sectPr w:rsidR="00315FA5" w:rsidSect="00975779">
          <w:pgSz w:w="12240" w:h="15840"/>
          <w:pgMar w:top="1440" w:right="1440" w:bottom="1440" w:left="2160" w:header="720" w:footer="720" w:gutter="0"/>
          <w:cols w:space="720"/>
          <w:docGrid w:linePitch="360"/>
        </w:sectPr>
      </w:pPr>
      <w:r w:rsidRPr="00AE0B3D">
        <w:rPr>
          <w:rFonts w:cs="Times New Roman"/>
        </w:rPr>
        <w:br w:type="page"/>
      </w:r>
    </w:p>
    <w:p w14:paraId="575A2A20" w14:textId="6721952B" w:rsidR="00482937" w:rsidRPr="00AE0B3D" w:rsidRDefault="00482937" w:rsidP="00B46480">
      <w:pPr>
        <w:pStyle w:val="Heading1"/>
      </w:pPr>
      <w:bookmarkStart w:id="68" w:name="_Toc78067528"/>
      <w:r w:rsidRPr="00AE0B3D">
        <w:lastRenderedPageBreak/>
        <w:t>CHAPTER FOUR</w:t>
      </w:r>
      <w:bookmarkEnd w:id="68"/>
    </w:p>
    <w:p w14:paraId="6C33B4D4" w14:textId="34C123AA" w:rsidR="00565484" w:rsidRPr="00AE0B3D" w:rsidRDefault="00565484" w:rsidP="00B46480">
      <w:pPr>
        <w:pStyle w:val="Heading1"/>
      </w:pPr>
      <w:r w:rsidRPr="00AE0B3D">
        <w:t xml:space="preserve"> </w:t>
      </w:r>
      <w:bookmarkStart w:id="69" w:name="_Toc78067529"/>
      <w:r w:rsidRPr="00AE0B3D">
        <w:t xml:space="preserve">PRESENTATION OF FINDINGS, </w:t>
      </w:r>
      <w:r w:rsidR="009C5BAE" w:rsidRPr="00AE0B3D">
        <w:t>ANALYSIS,</w:t>
      </w:r>
      <w:r w:rsidR="00B46480" w:rsidRPr="00AE0B3D">
        <w:t xml:space="preserve"> </w:t>
      </w:r>
      <w:r w:rsidRPr="00AE0B3D">
        <w:t>AND INTERPRETATION</w:t>
      </w:r>
      <w:bookmarkEnd w:id="69"/>
    </w:p>
    <w:p w14:paraId="16AD2CD1" w14:textId="77777777" w:rsidR="00565484" w:rsidRPr="00AE0B3D" w:rsidRDefault="00565484" w:rsidP="00565484">
      <w:pPr>
        <w:pStyle w:val="Heading2"/>
      </w:pPr>
      <w:bookmarkStart w:id="70" w:name="_Toc78067530"/>
      <w:r w:rsidRPr="00AE0B3D">
        <w:t>Introduction</w:t>
      </w:r>
      <w:bookmarkEnd w:id="70"/>
    </w:p>
    <w:p w14:paraId="0C9D14E3" w14:textId="41C7C78F" w:rsidR="00565484" w:rsidRPr="00AE0B3D" w:rsidRDefault="00B75C61" w:rsidP="009B524E">
      <w:r w:rsidRPr="00AE0B3D">
        <w:t xml:space="preserve">This chapter </w:t>
      </w:r>
      <w:r w:rsidR="00A06732" w:rsidRPr="00AE0B3D">
        <w:t xml:space="preserve">presents the finding of the research. It covers financial </w:t>
      </w:r>
      <w:r w:rsidR="003740AF" w:rsidRPr="00AE0B3D">
        <w:t>performance</w:t>
      </w:r>
      <w:r w:rsidR="00A06732" w:rsidRPr="00AE0B3D">
        <w:t xml:space="preserve"> of the public listed companies, remunerations utilised by the organisations, </w:t>
      </w:r>
      <w:r w:rsidR="0066649D" w:rsidRPr="00AE0B3D">
        <w:t xml:space="preserve">relationship between management remuneration and financial performance </w:t>
      </w:r>
      <w:r w:rsidR="006B014F" w:rsidRPr="00AE0B3D">
        <w:t>and putting</w:t>
      </w:r>
      <w:r w:rsidR="0066649D" w:rsidRPr="00AE0B3D">
        <w:t xml:space="preserve"> the research into perspective using other research studies</w:t>
      </w:r>
      <w:r w:rsidR="00565484" w:rsidRPr="00AE0B3D">
        <w:t xml:space="preserve">. </w:t>
      </w:r>
    </w:p>
    <w:p w14:paraId="0136FC78" w14:textId="277BB15A" w:rsidR="00565484" w:rsidRPr="00AE0B3D" w:rsidRDefault="00565484" w:rsidP="00565484">
      <w:pPr>
        <w:pStyle w:val="Heading2"/>
      </w:pPr>
      <w:bookmarkStart w:id="71" w:name="_Toc78067531"/>
      <w:r w:rsidRPr="00AE0B3D">
        <w:t>Findings</w:t>
      </w:r>
      <w:r w:rsidR="000F54FD" w:rsidRPr="00AE0B3D">
        <w:t xml:space="preserve"> and discussion</w:t>
      </w:r>
      <w:bookmarkEnd w:id="71"/>
    </w:p>
    <w:p w14:paraId="058094C1" w14:textId="77777777" w:rsidR="00216CCA" w:rsidRPr="00AE0B3D" w:rsidRDefault="00216CCA" w:rsidP="00216CCA">
      <w:pPr>
        <w:pStyle w:val="Heading3"/>
        <w:jc w:val="center"/>
      </w:pPr>
      <w:bookmarkStart w:id="72" w:name="_Toc78067532"/>
      <w:r w:rsidRPr="00AE0B3D">
        <w:t>Remuneration strategies utilized by selected public listed companies.</w:t>
      </w:r>
      <w:bookmarkEnd w:id="72"/>
    </w:p>
    <w:p w14:paraId="40BDD26A" w14:textId="723CB150" w:rsidR="00DB4768" w:rsidRDefault="00216CCA" w:rsidP="00DB4768">
      <w:pPr>
        <w:autoSpaceDE w:val="0"/>
        <w:autoSpaceDN w:val="0"/>
        <w:adjustRightInd w:val="0"/>
        <w:spacing w:after="0"/>
        <w:rPr>
          <w:rFonts w:cs="Times New Roman"/>
          <w:szCs w:val="24"/>
        </w:rPr>
      </w:pPr>
      <w:r>
        <w:t>D</w:t>
      </w:r>
      <w:r w:rsidRPr="00AE0B3D">
        <w:t xml:space="preserve">ifferent </w:t>
      </w:r>
      <w:r w:rsidR="009C5BAE">
        <w:t>measures</w:t>
      </w:r>
      <w:r w:rsidRPr="00AE0B3D">
        <w:t xml:space="preserve"> of remuneration utilized in public listed companies in NSE w</w:t>
      </w:r>
      <w:r>
        <w:t>ere</w:t>
      </w:r>
      <w:r w:rsidRPr="00AE0B3D">
        <w:t xml:space="preserve"> evaluated in the research study</w:t>
      </w:r>
      <w:r>
        <w:t>,</w:t>
      </w:r>
      <w:r w:rsidRPr="00AE0B3D">
        <w:t xml:space="preserve"> </w:t>
      </w:r>
      <w:r>
        <w:t xml:space="preserve">and the result presented </w:t>
      </w:r>
      <w:r w:rsidRPr="004414DD">
        <w:t xml:space="preserve">in Table 4. </w:t>
      </w:r>
      <w:r w:rsidRPr="00AE0B3D">
        <w:t>The two main leading form</w:t>
      </w:r>
      <w:r>
        <w:t>s</w:t>
      </w:r>
      <w:r w:rsidRPr="00AE0B3D">
        <w:t xml:space="preserve"> of management remuneration utilized by the </w:t>
      </w:r>
      <w:r>
        <w:t xml:space="preserve">public listed </w:t>
      </w:r>
      <w:r w:rsidRPr="00AE0B3D">
        <w:t>companies were salary and benefits. Whereas all companies provided salaries, only 8</w:t>
      </w:r>
      <w:r>
        <w:t>3.3</w:t>
      </w:r>
      <w:r w:rsidRPr="00AE0B3D">
        <w:t xml:space="preserve">% </w:t>
      </w:r>
      <w:r>
        <w:t xml:space="preserve">reported </w:t>
      </w:r>
      <w:r w:rsidRPr="00AE0B3D">
        <w:t>provid</w:t>
      </w:r>
      <w:r>
        <w:t>ing</w:t>
      </w:r>
      <w:r w:rsidRPr="00AE0B3D">
        <w:t xml:space="preserve"> benefits to the top management</w:t>
      </w:r>
      <w:r>
        <w:t>,</w:t>
      </w:r>
      <w:r w:rsidRPr="00AE0B3D">
        <w:t xml:space="preserve"> and only </w:t>
      </w:r>
      <w:r>
        <w:t>54.17</w:t>
      </w:r>
      <w:r w:rsidRPr="00AE0B3D">
        <w:t xml:space="preserve">% </w:t>
      </w:r>
      <w:r>
        <w:t xml:space="preserve">reported </w:t>
      </w:r>
      <w:r w:rsidRPr="00AE0B3D">
        <w:t>provi</w:t>
      </w:r>
      <w:r>
        <w:t>sion of</w:t>
      </w:r>
      <w:r w:rsidRPr="00AE0B3D">
        <w:t xml:space="preserve"> bonuses. Furthermore, only </w:t>
      </w:r>
      <w:r>
        <w:t>42%</w:t>
      </w:r>
      <w:r w:rsidRPr="00AE0B3D">
        <w:t xml:space="preserve"> (</w:t>
      </w:r>
      <w:r>
        <w:t>10</w:t>
      </w:r>
      <w:r w:rsidRPr="00AE0B3D">
        <w:t>) companies allow</w:t>
      </w:r>
      <w:r>
        <w:t>ed</w:t>
      </w:r>
      <w:r w:rsidRPr="00AE0B3D">
        <w:t xml:space="preserve"> top management to own shares</w:t>
      </w:r>
      <w:r>
        <w:t>,</w:t>
      </w:r>
      <w:r w:rsidRPr="00AE0B3D">
        <w:t xml:space="preserve"> and only 2</w:t>
      </w:r>
      <w:r>
        <w:t>1</w:t>
      </w:r>
      <w:r w:rsidRPr="00AE0B3D">
        <w:t>% paid their CEO with shares.</w:t>
      </w:r>
      <w:r w:rsidR="00DB4768">
        <w:rPr>
          <w:rFonts w:cs="Times New Roman"/>
          <w:szCs w:val="24"/>
        </w:rPr>
        <w:t xml:space="preserve"> </w:t>
      </w:r>
    </w:p>
    <w:p w14:paraId="4D3E169B" w14:textId="77777777" w:rsidR="00DB4768" w:rsidRDefault="00DB4768" w:rsidP="00DB4768">
      <w:pPr>
        <w:autoSpaceDE w:val="0"/>
        <w:autoSpaceDN w:val="0"/>
        <w:adjustRightInd w:val="0"/>
        <w:spacing w:after="0"/>
        <w:rPr>
          <w:rFonts w:cs="Times New Roman"/>
          <w:szCs w:val="24"/>
        </w:rPr>
        <w:sectPr w:rsidR="00DB4768" w:rsidSect="00315FA5">
          <w:pgSz w:w="12240" w:h="15840"/>
          <w:pgMar w:top="2160" w:right="1440" w:bottom="1440" w:left="2160" w:header="720" w:footer="720" w:gutter="0"/>
          <w:cols w:space="720"/>
          <w:docGrid w:linePitch="360"/>
        </w:sectPr>
      </w:pPr>
    </w:p>
    <w:p w14:paraId="5017A06B" w14:textId="3882BF13" w:rsidR="00216CCA" w:rsidRDefault="00216CCA" w:rsidP="00216CCA">
      <w:r>
        <w:lastRenderedPageBreak/>
        <w:t xml:space="preserve">From the assessment of the different remuneration strategies, salary got the highest proportion of the total expense, followed by benefits and bonus. The highest salary proportion was 0.01224, while the lowest was 0.00004, that points to the differences in the salary that the top management earned in publish listed companies. The remuneration figures point to a lack of standardization of top management remuneration in public listed companies in Kenya. </w:t>
      </w:r>
      <w:r w:rsidR="00CE0A05">
        <w:t xml:space="preserve">The level of remuneration of the public companies in relation to the overall operation expense of the company was very low, as on average the proportion was </w:t>
      </w:r>
      <w:r w:rsidR="00CF45F0">
        <w:t xml:space="preserve">less than </w:t>
      </w:r>
      <w:r w:rsidR="004B69DB">
        <w:t xml:space="preserve">0.004. </w:t>
      </w:r>
      <w:r w:rsidR="004419D5">
        <w:t>Even so, th</w:t>
      </w:r>
      <w:r w:rsidR="00CF45F0">
        <w:t>e</w:t>
      </w:r>
      <w:r w:rsidR="004419D5">
        <w:t xml:space="preserve"> highest reported </w:t>
      </w:r>
      <w:r w:rsidR="00CF45F0">
        <w:t xml:space="preserve">proportion of expense dedicated to remuneration of the top </w:t>
      </w:r>
      <w:r w:rsidR="004419D5">
        <w:t xml:space="preserve">management was </w:t>
      </w:r>
      <w:r w:rsidR="00CF45F0">
        <w:t xml:space="preserve">a score of </w:t>
      </w:r>
      <w:r w:rsidR="0047126B" w:rsidRPr="00BF0707">
        <w:rPr>
          <w:rFonts w:cs="Times New Roman"/>
          <w:color w:val="000000"/>
          <w:sz w:val="22"/>
        </w:rPr>
        <w:t>0.0124081</w:t>
      </w:r>
      <w:r w:rsidR="0047126B">
        <w:rPr>
          <w:rFonts w:cs="Times New Roman"/>
          <w:color w:val="000000"/>
          <w:sz w:val="22"/>
        </w:rPr>
        <w:t xml:space="preserve">, which is 1.2% of cost is attributed to the top management remuneration. </w:t>
      </w:r>
      <w:r w:rsidR="008977D9">
        <w:rPr>
          <w:rFonts w:cs="Times New Roman"/>
          <w:color w:val="000000"/>
          <w:sz w:val="22"/>
        </w:rPr>
        <w:t xml:space="preserve">According to </w:t>
      </w:r>
      <w:r w:rsidR="002B73D9">
        <w:rPr>
          <w:rFonts w:cs="Times New Roman"/>
          <w:noProof/>
          <w:color w:val="000000"/>
          <w:sz w:val="22"/>
        </w:rPr>
        <w:t xml:space="preserve">Indjejikian and Nanda </w:t>
      </w:r>
      <w:r w:rsidR="002B73D9">
        <w:rPr>
          <w:rFonts w:cs="Times New Roman"/>
          <w:color w:val="000000"/>
          <w:sz w:val="22"/>
        </w:rPr>
        <w:fldChar w:fldCharType="begin" w:fldLock="1"/>
      </w:r>
      <w:r w:rsidR="00AA71CA">
        <w:rPr>
          <w:rFonts w:cs="Times New Roman"/>
          <w:color w:val="000000"/>
          <w:sz w:val="22"/>
        </w:rPr>
        <w:instrText>ADDIN CSL_CITATION {"citationItems":[{"id":"ITEM-1","itemData":{"DOI":"10.2308/accr.2002.77.4.793","ISSN":"00014826","abstract":"We provide evidence that CEOs' and lower-level business unit executives' target bonuses are negatively associated with a proxy for measurement noise in accounting-based performance measures, and positively associated with proxies for firms' growth opportunities and the extent of executives' decision-making authority. Non-CEO executives' target bonuses are also positively associated with their CEO's target bonus. In addition, we compare executives' actual and target bonuses over two consecutive periods to draw inferences about how firms revise executives' performance standards. If firms adjust performance standards to fully reflect executives' past performance, then we expect an executive's chances of earning an above-target bonus to be independent of his past performance. We find evidence to the contrary; an executive is more likely to receive an abovetarget bonus if he received an above-target bonus in the prior year than if he did not. This suggests that firms do not adjust standards to fully reflect executives' past performance, consistent with agency-theoretic arguments that a firm can better motivate its executives if it discounts executives' past performance in setting their future compensation.","author":[{"dropping-particle":"","family":"Indjejikian","given":"Raffi J.","non-dropping-particle":"","parse-names":false,"suffix":""},{"dropping-particle":"","family":"Nanda","given":"Dhananjay","non-dropping-particle":"","parse-names":false,"suffix":""}],"container-title":"Accounting Review","id":"ITEM-1","issue":"4","issued":{"date-parts":[["2002"]]},"page":"793-819","title":"Executive target bonuses and what they imply about performance standards","type":"article-journal","volume":"77"},"uris":["http://www.mendeley.com/documents/?uuid=8e013581-6be7-438d-b849-8abbfc9315c5"]}],"mendeley":{"formattedCitation":"(Indjejikian &amp; Nanda, 2002)","manualFormatting":"( 2002)","plainTextFormattedCitation":"(Indjejikian &amp; Nanda, 2002)","previouslyFormattedCitation":"(Indjejikian &amp; Nanda, 2002)"},"properties":{"noteIndex":0},"schema":"https://github.com/citation-style-language/schema/raw/master/csl-citation.json"}</w:instrText>
      </w:r>
      <w:r w:rsidR="002B73D9">
        <w:rPr>
          <w:rFonts w:cs="Times New Roman"/>
          <w:color w:val="000000"/>
          <w:sz w:val="22"/>
        </w:rPr>
        <w:fldChar w:fldCharType="separate"/>
      </w:r>
      <w:r w:rsidR="002B73D9" w:rsidRPr="002B73D9">
        <w:rPr>
          <w:rFonts w:cs="Times New Roman"/>
          <w:noProof/>
          <w:color w:val="000000"/>
          <w:sz w:val="22"/>
        </w:rPr>
        <w:t>( 2002)</w:t>
      </w:r>
      <w:r w:rsidR="002B73D9">
        <w:rPr>
          <w:rFonts w:cs="Times New Roman"/>
          <w:color w:val="000000"/>
          <w:sz w:val="22"/>
        </w:rPr>
        <w:fldChar w:fldCharType="end"/>
      </w:r>
      <w:r w:rsidR="002B73D9">
        <w:rPr>
          <w:rFonts w:cs="Times New Roman"/>
          <w:color w:val="000000"/>
          <w:sz w:val="22"/>
        </w:rPr>
        <w:t xml:space="preserve">, human capital in organisation should be on average of 16% of all the costs, and about 5% of the company market valuation. </w:t>
      </w:r>
      <w:r w:rsidR="00AA71CA">
        <w:rPr>
          <w:rFonts w:cs="Times New Roman"/>
          <w:color w:val="000000"/>
          <w:sz w:val="22"/>
        </w:rPr>
        <w:t xml:space="preserve">On the other hand </w:t>
      </w:r>
      <w:r w:rsidR="00AA71CA">
        <w:rPr>
          <w:rFonts w:cs="Times New Roman"/>
          <w:color w:val="000000"/>
          <w:sz w:val="22"/>
        </w:rPr>
        <w:fldChar w:fldCharType="begin" w:fldLock="1"/>
      </w:r>
      <w:r w:rsidR="00FC275E">
        <w:rPr>
          <w:rFonts w:cs="Times New Roman"/>
          <w:color w:val="000000"/>
          <w:sz w:val="22"/>
        </w:rPr>
        <w:instrText>ADDIN CSL_CITATION {"citationItems":[{"id":"ITEM-1","itemData":{"DOI":"10.1016/j.intacc.2013.04.001","ISSN":"00207063","abstract":"Employees are an important firm resource and a source of intellectual capital; hence, they drive firm performance. Employee expenses capture information about employees and are one of the largest earnings components. We analyze whether this earnings component contributes incremental information content over and above that of earnings alone. Our results confirm the importance of employee expenses from an accounting perspective and show that they indeed add to the prediction of future firm performance. Analyses are based on a sample of 938 U.K. firms that mandatorily report employee expenses, resulting in 5039 observations within a time period ranging from 1999 to 2010. Results are consistent across industries, years, and different sample selections. We further provide evidence that there are underlying determinants that influence the incremental information content of employee expenses. Specifically, more persistent employee expenses are associated with higher earnings predictability and value relevance. For firms with a higher proportion of loss years, employee expenses contribute more strongly to the prediction of future performance. We interpret this finding to support the role of employees as a firm resource which can be allocated to more profitable activities in the case of loss years. © 2013 University of Illinois.","author":[{"dropping-particle":"","family":"Schiemann","given":"Frank","non-dropping-particle":"","parse-names":false,"suffix":""},{"dropping-particle":"","family":"Guenther","given":"Thomas","non-dropping-particle":"","parse-names":false,"suffix":""}],"container-title":"International Journal of Accounting","id":"ITEM-1","issue":"2","issued":{"date-parts":[["2013"]]},"page":"149-172","publisher":"University of Illinois","title":"Earnings predictability, value relevance, and employee expenses","type":"article-journal","volume":"48"},"uris":["http://www.mendeley.com/documents/?uuid=58d08fb7-c92a-408a-9b16-0979f182b659"]}],"mendeley":{"formattedCitation":"(Schiemann &amp; Guenther, 2013)","manualFormatting":"Schiemann and Guenther (2013)","plainTextFormattedCitation":"(Schiemann &amp; Guenther, 2013)","previouslyFormattedCitation":"(Schiemann &amp; Guenther, 2013)"},"properties":{"noteIndex":0},"schema":"https://github.com/citation-style-language/schema/raw/master/csl-citation.json"}</w:instrText>
      </w:r>
      <w:r w:rsidR="00AA71CA">
        <w:rPr>
          <w:rFonts w:cs="Times New Roman"/>
          <w:color w:val="000000"/>
          <w:sz w:val="22"/>
        </w:rPr>
        <w:fldChar w:fldCharType="separate"/>
      </w:r>
      <w:r w:rsidR="00AA71CA" w:rsidRPr="00AA71CA">
        <w:rPr>
          <w:rFonts w:cs="Times New Roman"/>
          <w:noProof/>
          <w:color w:val="000000"/>
          <w:sz w:val="22"/>
        </w:rPr>
        <w:t xml:space="preserve">Schiemann </w:t>
      </w:r>
      <w:r w:rsidR="00AA71CA">
        <w:rPr>
          <w:rFonts w:cs="Times New Roman"/>
          <w:noProof/>
          <w:color w:val="000000"/>
          <w:sz w:val="22"/>
        </w:rPr>
        <w:t>and</w:t>
      </w:r>
      <w:r w:rsidR="00AA71CA" w:rsidRPr="00AA71CA">
        <w:rPr>
          <w:rFonts w:cs="Times New Roman"/>
          <w:noProof/>
          <w:color w:val="000000"/>
          <w:sz w:val="22"/>
        </w:rPr>
        <w:t xml:space="preserve"> Guenther</w:t>
      </w:r>
      <w:r w:rsidR="00AA71CA">
        <w:rPr>
          <w:rFonts w:cs="Times New Roman"/>
          <w:noProof/>
          <w:color w:val="000000"/>
          <w:sz w:val="22"/>
        </w:rPr>
        <w:t xml:space="preserve"> (</w:t>
      </w:r>
      <w:r w:rsidR="00AA71CA" w:rsidRPr="00AA71CA">
        <w:rPr>
          <w:rFonts w:cs="Times New Roman"/>
          <w:noProof/>
          <w:color w:val="000000"/>
          <w:sz w:val="22"/>
        </w:rPr>
        <w:t>2013)</w:t>
      </w:r>
      <w:r w:rsidR="00AA71CA">
        <w:rPr>
          <w:rFonts w:cs="Times New Roman"/>
          <w:color w:val="000000"/>
          <w:sz w:val="22"/>
        </w:rPr>
        <w:fldChar w:fldCharType="end"/>
      </w:r>
      <w:r w:rsidR="00AA71CA">
        <w:rPr>
          <w:rFonts w:cs="Times New Roman"/>
          <w:color w:val="000000"/>
          <w:sz w:val="22"/>
        </w:rPr>
        <w:t xml:space="preserve"> </w:t>
      </w:r>
      <w:r w:rsidR="00396844">
        <w:rPr>
          <w:rFonts w:cs="Times New Roman"/>
          <w:color w:val="000000"/>
          <w:sz w:val="22"/>
        </w:rPr>
        <w:t xml:space="preserve">reported that the employees expense on average is 27.3%  as a percentage of total sales. </w:t>
      </w:r>
      <w:r w:rsidR="00002243">
        <w:rPr>
          <w:rFonts w:cs="Times New Roman"/>
          <w:color w:val="000000"/>
          <w:sz w:val="22"/>
        </w:rPr>
        <w:t xml:space="preserve">Therefore, the CEO remuneration </w:t>
      </w:r>
      <w:r w:rsidR="00E63EF0">
        <w:rPr>
          <w:rFonts w:cs="Times New Roman"/>
          <w:color w:val="000000"/>
          <w:sz w:val="22"/>
        </w:rPr>
        <w:t xml:space="preserve">proportion is </w:t>
      </w:r>
      <w:r w:rsidR="004419D5">
        <w:rPr>
          <w:rFonts w:cs="Times New Roman"/>
          <w:color w:val="000000"/>
          <w:sz w:val="22"/>
        </w:rPr>
        <w:t xml:space="preserve">low </w:t>
      </w:r>
      <w:r w:rsidR="009C5BAE">
        <w:rPr>
          <w:rFonts w:cs="Times New Roman"/>
          <w:color w:val="000000"/>
          <w:sz w:val="22"/>
        </w:rPr>
        <w:t>since</w:t>
      </w:r>
      <w:r w:rsidR="00002243">
        <w:rPr>
          <w:rFonts w:cs="Times New Roman"/>
          <w:color w:val="000000"/>
          <w:sz w:val="22"/>
        </w:rPr>
        <w:t xml:space="preserve"> most the companies sampled were profitable in the 3 years evaluated </w:t>
      </w:r>
      <w:r w:rsidR="00E63EF0">
        <w:rPr>
          <w:rFonts w:cs="Times New Roman"/>
          <w:color w:val="000000"/>
          <w:sz w:val="22"/>
        </w:rPr>
        <w:t xml:space="preserve">and with total expenses being less than the revenue generated. </w:t>
      </w:r>
    </w:p>
    <w:p w14:paraId="357202C9" w14:textId="77777777" w:rsidR="00216CCA" w:rsidRDefault="00216CCA" w:rsidP="00216CCA">
      <w:pPr>
        <w:pStyle w:val="Caption"/>
        <w:rPr>
          <w:i w:val="0"/>
          <w:iCs w:val="0"/>
        </w:rPr>
      </w:pPr>
      <w:r w:rsidRPr="002E5A40">
        <w:t xml:space="preserve">Table </w:t>
      </w:r>
      <w:r w:rsidRPr="002E5A40">
        <w:fldChar w:fldCharType="begin"/>
      </w:r>
      <w:r w:rsidRPr="002E5A40">
        <w:instrText xml:space="preserve"> SEQ Table \* ARABIC </w:instrText>
      </w:r>
      <w:r w:rsidRPr="002E5A40">
        <w:fldChar w:fldCharType="separate"/>
      </w:r>
      <w:r w:rsidRPr="002E5A40">
        <w:rPr>
          <w:noProof/>
        </w:rPr>
        <w:t>4</w:t>
      </w:r>
      <w:r w:rsidRPr="002E5A40">
        <w:fldChar w:fldCharType="end"/>
      </w:r>
      <w:r w:rsidRPr="002E5A40">
        <w:t>.</w:t>
      </w:r>
      <w:r>
        <w:rPr>
          <w:i w:val="0"/>
          <w:iCs w:val="0"/>
        </w:rPr>
        <w:t xml:space="preserve"> </w:t>
      </w:r>
    </w:p>
    <w:p w14:paraId="3AD3C982" w14:textId="3A5086C0" w:rsidR="00216CCA" w:rsidRPr="0012238F" w:rsidRDefault="00216CCA" w:rsidP="00142F12">
      <w:pPr>
        <w:pStyle w:val="Caption"/>
      </w:pPr>
      <w:r w:rsidRPr="000D03E3">
        <w:rPr>
          <w:rFonts w:cs="Times New Roman"/>
          <w:bCs/>
          <w:color w:val="auto"/>
          <w:szCs w:val="24"/>
        </w:rPr>
        <w:t xml:space="preserve">Management Remuneration Strategies Utilised by Public Listed Companies </w:t>
      </w:r>
    </w:p>
    <w:tbl>
      <w:tblPr>
        <w:tblW w:w="9350" w:type="dxa"/>
        <w:tblBorders>
          <w:top w:val="single" w:sz="4" w:space="0" w:color="auto"/>
          <w:bottom w:val="single" w:sz="4" w:space="0" w:color="auto"/>
        </w:tblBorders>
        <w:tblLayout w:type="fixed"/>
        <w:tblLook w:val="04A0" w:firstRow="1" w:lastRow="0" w:firstColumn="1" w:lastColumn="0" w:noHBand="0" w:noVBand="1"/>
      </w:tblPr>
      <w:tblGrid>
        <w:gridCol w:w="1276"/>
        <w:gridCol w:w="1192"/>
        <w:gridCol w:w="1218"/>
        <w:gridCol w:w="1271"/>
        <w:gridCol w:w="1417"/>
        <w:gridCol w:w="1264"/>
        <w:gridCol w:w="856"/>
        <w:gridCol w:w="856"/>
      </w:tblGrid>
      <w:tr w:rsidR="00216CCA" w:rsidRPr="008B1AF6" w14:paraId="66AAF678" w14:textId="77777777" w:rsidTr="00142F12">
        <w:trPr>
          <w:trHeight w:val="330"/>
        </w:trPr>
        <w:tc>
          <w:tcPr>
            <w:tcW w:w="1276" w:type="dxa"/>
            <w:tcBorders>
              <w:top w:val="single" w:sz="4" w:space="0" w:color="auto"/>
              <w:bottom w:val="nil"/>
            </w:tcBorders>
            <w:shd w:val="clear" w:color="auto" w:fill="auto"/>
            <w:noWrap/>
            <w:vAlign w:val="center"/>
            <w:hideMark/>
          </w:tcPr>
          <w:p w14:paraId="69E65677" w14:textId="77777777" w:rsidR="00216CCA" w:rsidRPr="00BF0707" w:rsidRDefault="00216CCA" w:rsidP="00DB4768">
            <w:pPr>
              <w:spacing w:after="0" w:line="240" w:lineRule="auto"/>
              <w:ind w:firstLine="0"/>
              <w:jc w:val="left"/>
              <w:rPr>
                <w:rFonts w:eastAsia="Times New Roman" w:cs="Times New Roman"/>
                <w:b/>
                <w:bCs/>
                <w:color w:val="000000"/>
                <w:sz w:val="22"/>
                <w:lang w:val="en-US"/>
              </w:rPr>
            </w:pPr>
            <w:r w:rsidRPr="00BF0707">
              <w:rPr>
                <w:rFonts w:eastAsia="Times New Roman" w:cs="Times New Roman"/>
                <w:b/>
                <w:bCs/>
                <w:color w:val="000000"/>
                <w:sz w:val="22"/>
                <w:lang w:val="en-US"/>
              </w:rPr>
              <w:t> </w:t>
            </w:r>
          </w:p>
        </w:tc>
        <w:tc>
          <w:tcPr>
            <w:tcW w:w="8074" w:type="dxa"/>
            <w:gridSpan w:val="7"/>
            <w:tcBorders>
              <w:top w:val="single" w:sz="4" w:space="0" w:color="auto"/>
              <w:bottom w:val="single" w:sz="4" w:space="0" w:color="auto"/>
            </w:tcBorders>
            <w:shd w:val="clear" w:color="auto" w:fill="auto"/>
            <w:noWrap/>
            <w:vAlign w:val="center"/>
            <w:hideMark/>
          </w:tcPr>
          <w:p w14:paraId="4490160E" w14:textId="77777777" w:rsidR="00216CCA" w:rsidRPr="00BF0707" w:rsidRDefault="00216CCA" w:rsidP="00DB4768">
            <w:pPr>
              <w:spacing w:after="0" w:line="240" w:lineRule="auto"/>
              <w:ind w:firstLine="0"/>
              <w:jc w:val="center"/>
              <w:rPr>
                <w:rFonts w:eastAsia="Times New Roman" w:cs="Times New Roman"/>
                <w:b/>
                <w:bCs/>
                <w:color w:val="000000"/>
                <w:sz w:val="22"/>
                <w:lang w:val="en-US"/>
              </w:rPr>
            </w:pPr>
            <w:r w:rsidRPr="00BF0707">
              <w:rPr>
                <w:rFonts w:eastAsia="Times New Roman" w:cs="Times New Roman"/>
                <w:b/>
                <w:bCs/>
                <w:color w:val="000000"/>
                <w:sz w:val="22"/>
                <w:lang w:val="en-US"/>
              </w:rPr>
              <w:t>Remuneration types</w:t>
            </w:r>
          </w:p>
        </w:tc>
      </w:tr>
      <w:tr w:rsidR="00216CCA" w:rsidRPr="008B1AF6" w14:paraId="7D1ACB93" w14:textId="77777777" w:rsidTr="00142F12">
        <w:trPr>
          <w:trHeight w:val="960"/>
        </w:trPr>
        <w:tc>
          <w:tcPr>
            <w:tcW w:w="1276" w:type="dxa"/>
            <w:tcBorders>
              <w:top w:val="nil"/>
              <w:bottom w:val="single" w:sz="4" w:space="0" w:color="auto"/>
            </w:tcBorders>
            <w:shd w:val="clear" w:color="auto" w:fill="auto"/>
            <w:vAlign w:val="center"/>
            <w:hideMark/>
          </w:tcPr>
          <w:p w14:paraId="47BE3C33" w14:textId="77777777" w:rsidR="00216CCA" w:rsidRPr="00BF0707" w:rsidRDefault="00216CCA" w:rsidP="00DB4768">
            <w:pPr>
              <w:spacing w:after="0" w:line="240" w:lineRule="auto"/>
              <w:ind w:firstLine="0"/>
              <w:jc w:val="left"/>
              <w:rPr>
                <w:rFonts w:eastAsia="Times New Roman" w:cs="Times New Roman"/>
                <w:b/>
                <w:bCs/>
                <w:color w:val="000000"/>
                <w:sz w:val="22"/>
                <w:lang w:val="en-US"/>
              </w:rPr>
            </w:pPr>
            <w:r w:rsidRPr="00BF0707">
              <w:rPr>
                <w:rFonts w:eastAsia="Times New Roman" w:cs="Times New Roman"/>
                <w:b/>
                <w:bCs/>
                <w:color w:val="000000"/>
                <w:sz w:val="22"/>
                <w:lang w:val="en-US"/>
              </w:rPr>
              <w:t>Stats</w:t>
            </w:r>
          </w:p>
        </w:tc>
        <w:tc>
          <w:tcPr>
            <w:tcW w:w="1192" w:type="dxa"/>
            <w:tcBorders>
              <w:top w:val="single" w:sz="4" w:space="0" w:color="auto"/>
              <w:bottom w:val="single" w:sz="4" w:space="0" w:color="auto"/>
            </w:tcBorders>
            <w:shd w:val="clear" w:color="auto" w:fill="auto"/>
            <w:vAlign w:val="center"/>
            <w:hideMark/>
          </w:tcPr>
          <w:p w14:paraId="68184BDD" w14:textId="77777777" w:rsidR="00216CCA" w:rsidRPr="00BF0707" w:rsidRDefault="00216CCA" w:rsidP="00DB4768">
            <w:pPr>
              <w:spacing w:after="0" w:line="240" w:lineRule="auto"/>
              <w:ind w:firstLine="0"/>
              <w:jc w:val="left"/>
              <w:rPr>
                <w:rFonts w:eastAsia="Times New Roman" w:cs="Times New Roman"/>
                <w:b/>
                <w:bCs/>
                <w:color w:val="000000"/>
                <w:sz w:val="22"/>
                <w:lang w:val="en-US"/>
              </w:rPr>
            </w:pPr>
            <w:r w:rsidRPr="00BF0707">
              <w:rPr>
                <w:rFonts w:eastAsia="Times New Roman" w:cs="Times New Roman"/>
                <w:b/>
                <w:bCs/>
                <w:color w:val="000000"/>
                <w:sz w:val="22"/>
                <w:lang w:val="en-US"/>
              </w:rPr>
              <w:t>Salary</w:t>
            </w:r>
          </w:p>
        </w:tc>
        <w:tc>
          <w:tcPr>
            <w:tcW w:w="1218" w:type="dxa"/>
            <w:tcBorders>
              <w:top w:val="single" w:sz="4" w:space="0" w:color="auto"/>
              <w:bottom w:val="single" w:sz="4" w:space="0" w:color="auto"/>
            </w:tcBorders>
            <w:shd w:val="clear" w:color="auto" w:fill="auto"/>
            <w:vAlign w:val="center"/>
            <w:hideMark/>
          </w:tcPr>
          <w:p w14:paraId="0723473D" w14:textId="77777777" w:rsidR="00216CCA" w:rsidRPr="00BF0707" w:rsidRDefault="00216CCA" w:rsidP="00DB4768">
            <w:pPr>
              <w:spacing w:after="0" w:line="240" w:lineRule="auto"/>
              <w:ind w:firstLine="0"/>
              <w:jc w:val="left"/>
              <w:rPr>
                <w:rFonts w:eastAsia="Times New Roman" w:cs="Times New Roman"/>
                <w:b/>
                <w:bCs/>
                <w:color w:val="000000"/>
                <w:sz w:val="22"/>
                <w:lang w:val="en-US"/>
              </w:rPr>
            </w:pPr>
            <w:r w:rsidRPr="00BF0707">
              <w:rPr>
                <w:rFonts w:eastAsia="Times New Roman" w:cs="Times New Roman"/>
                <w:b/>
                <w:bCs/>
                <w:color w:val="000000"/>
                <w:sz w:val="22"/>
                <w:lang w:val="en-US"/>
              </w:rPr>
              <w:t>Benefits</w:t>
            </w:r>
          </w:p>
        </w:tc>
        <w:tc>
          <w:tcPr>
            <w:tcW w:w="1271" w:type="dxa"/>
            <w:tcBorders>
              <w:top w:val="single" w:sz="4" w:space="0" w:color="auto"/>
              <w:bottom w:val="single" w:sz="4" w:space="0" w:color="auto"/>
            </w:tcBorders>
            <w:shd w:val="clear" w:color="auto" w:fill="auto"/>
            <w:vAlign w:val="center"/>
            <w:hideMark/>
          </w:tcPr>
          <w:p w14:paraId="6F709C7D" w14:textId="77777777" w:rsidR="00216CCA" w:rsidRPr="00BF0707" w:rsidRDefault="00216CCA" w:rsidP="00DB4768">
            <w:pPr>
              <w:spacing w:after="0" w:line="240" w:lineRule="auto"/>
              <w:ind w:firstLine="0"/>
              <w:jc w:val="left"/>
              <w:rPr>
                <w:rFonts w:eastAsia="Times New Roman" w:cs="Times New Roman"/>
                <w:b/>
                <w:bCs/>
                <w:color w:val="000000"/>
                <w:sz w:val="22"/>
                <w:lang w:val="en-US"/>
              </w:rPr>
            </w:pPr>
            <w:r w:rsidRPr="00BF0707">
              <w:rPr>
                <w:rFonts w:eastAsia="Times New Roman" w:cs="Times New Roman"/>
                <w:b/>
                <w:bCs/>
                <w:color w:val="000000"/>
                <w:sz w:val="22"/>
                <w:lang w:val="en-US"/>
              </w:rPr>
              <w:t>Bonus</w:t>
            </w:r>
          </w:p>
        </w:tc>
        <w:tc>
          <w:tcPr>
            <w:tcW w:w="1417" w:type="dxa"/>
            <w:tcBorders>
              <w:top w:val="single" w:sz="4" w:space="0" w:color="auto"/>
              <w:bottom w:val="single" w:sz="4" w:space="0" w:color="auto"/>
            </w:tcBorders>
            <w:shd w:val="clear" w:color="auto" w:fill="auto"/>
            <w:vAlign w:val="center"/>
            <w:hideMark/>
          </w:tcPr>
          <w:p w14:paraId="4E30637E" w14:textId="77777777" w:rsidR="00216CCA" w:rsidRPr="00BF0707" w:rsidRDefault="00216CCA" w:rsidP="00DB4768">
            <w:pPr>
              <w:spacing w:after="0" w:line="240" w:lineRule="auto"/>
              <w:ind w:firstLine="0"/>
              <w:jc w:val="left"/>
              <w:rPr>
                <w:rFonts w:eastAsia="Times New Roman" w:cs="Times New Roman"/>
                <w:b/>
                <w:bCs/>
                <w:color w:val="000000"/>
                <w:sz w:val="22"/>
                <w:lang w:val="en-US"/>
              </w:rPr>
            </w:pPr>
            <w:r w:rsidRPr="00BF0707">
              <w:rPr>
                <w:rFonts w:eastAsia="Times New Roman" w:cs="Times New Roman"/>
                <w:b/>
                <w:bCs/>
                <w:color w:val="000000"/>
                <w:sz w:val="22"/>
                <w:lang w:val="en-US"/>
              </w:rPr>
              <w:t>Allowances</w:t>
            </w:r>
          </w:p>
        </w:tc>
        <w:tc>
          <w:tcPr>
            <w:tcW w:w="1264" w:type="dxa"/>
            <w:tcBorders>
              <w:top w:val="single" w:sz="4" w:space="0" w:color="auto"/>
              <w:bottom w:val="single" w:sz="4" w:space="0" w:color="auto"/>
            </w:tcBorders>
            <w:shd w:val="clear" w:color="auto" w:fill="auto"/>
            <w:vAlign w:val="center"/>
            <w:hideMark/>
          </w:tcPr>
          <w:p w14:paraId="3165AAD2" w14:textId="77777777" w:rsidR="00216CCA" w:rsidRPr="00BF0707" w:rsidRDefault="00216CCA" w:rsidP="00DB4768">
            <w:pPr>
              <w:spacing w:after="0" w:line="240" w:lineRule="auto"/>
              <w:ind w:firstLine="0"/>
              <w:jc w:val="left"/>
              <w:rPr>
                <w:rFonts w:eastAsia="Times New Roman" w:cs="Times New Roman"/>
                <w:b/>
                <w:bCs/>
                <w:color w:val="000000"/>
                <w:sz w:val="22"/>
                <w:lang w:val="en-US"/>
              </w:rPr>
            </w:pPr>
            <w:r w:rsidRPr="00BF0707">
              <w:rPr>
                <w:rFonts w:eastAsia="Times New Roman" w:cs="Times New Roman"/>
                <w:b/>
                <w:bCs/>
                <w:color w:val="000000"/>
                <w:sz w:val="22"/>
                <w:lang w:val="en-US"/>
              </w:rPr>
              <w:t>employee performance share</w:t>
            </w:r>
          </w:p>
        </w:tc>
        <w:tc>
          <w:tcPr>
            <w:tcW w:w="856" w:type="dxa"/>
            <w:tcBorders>
              <w:top w:val="single" w:sz="4" w:space="0" w:color="auto"/>
              <w:bottom w:val="single" w:sz="4" w:space="0" w:color="auto"/>
            </w:tcBorders>
            <w:shd w:val="clear" w:color="auto" w:fill="auto"/>
            <w:vAlign w:val="center"/>
            <w:hideMark/>
          </w:tcPr>
          <w:p w14:paraId="24571029" w14:textId="77777777" w:rsidR="00216CCA" w:rsidRPr="00BF0707" w:rsidRDefault="00216CCA" w:rsidP="00DB4768">
            <w:pPr>
              <w:spacing w:after="0" w:line="240" w:lineRule="auto"/>
              <w:ind w:firstLine="0"/>
              <w:jc w:val="left"/>
              <w:rPr>
                <w:rFonts w:eastAsia="Times New Roman" w:cs="Times New Roman"/>
                <w:b/>
                <w:bCs/>
                <w:color w:val="000000"/>
                <w:sz w:val="22"/>
                <w:lang w:val="en-US"/>
              </w:rPr>
            </w:pPr>
            <w:r w:rsidRPr="00BF0707">
              <w:rPr>
                <w:rFonts w:eastAsia="Times New Roman" w:cs="Times New Roman"/>
                <w:b/>
                <w:bCs/>
                <w:color w:val="000000"/>
                <w:sz w:val="22"/>
                <w:lang w:val="en-US"/>
              </w:rPr>
              <w:t>Paid in shares</w:t>
            </w:r>
          </w:p>
        </w:tc>
        <w:tc>
          <w:tcPr>
            <w:tcW w:w="856" w:type="dxa"/>
            <w:tcBorders>
              <w:top w:val="single" w:sz="4" w:space="0" w:color="auto"/>
              <w:bottom w:val="single" w:sz="4" w:space="0" w:color="auto"/>
            </w:tcBorders>
            <w:shd w:val="clear" w:color="auto" w:fill="auto"/>
            <w:vAlign w:val="center"/>
            <w:hideMark/>
          </w:tcPr>
          <w:p w14:paraId="3B13AE84" w14:textId="77777777" w:rsidR="00216CCA" w:rsidRPr="00BF0707" w:rsidRDefault="00216CCA" w:rsidP="00DB4768">
            <w:pPr>
              <w:spacing w:after="0" w:line="240" w:lineRule="auto"/>
              <w:ind w:firstLine="0"/>
              <w:jc w:val="left"/>
              <w:rPr>
                <w:rFonts w:eastAsia="Times New Roman" w:cs="Times New Roman"/>
                <w:b/>
                <w:bCs/>
                <w:color w:val="000000"/>
                <w:sz w:val="22"/>
                <w:lang w:val="en-US"/>
              </w:rPr>
            </w:pPr>
            <w:r w:rsidRPr="00BF0707">
              <w:rPr>
                <w:rFonts w:eastAsia="Times New Roman" w:cs="Times New Roman"/>
                <w:b/>
                <w:bCs/>
                <w:color w:val="000000"/>
                <w:sz w:val="22"/>
                <w:lang w:val="en-US"/>
              </w:rPr>
              <w:t>Own shares</w:t>
            </w:r>
          </w:p>
        </w:tc>
      </w:tr>
      <w:tr w:rsidR="00216CCA" w:rsidRPr="008B1AF6" w14:paraId="7B6FB63A" w14:textId="77777777" w:rsidTr="00142F12">
        <w:trPr>
          <w:trHeight w:val="315"/>
        </w:trPr>
        <w:tc>
          <w:tcPr>
            <w:tcW w:w="1276" w:type="dxa"/>
            <w:tcBorders>
              <w:top w:val="single" w:sz="4" w:space="0" w:color="auto"/>
            </w:tcBorders>
            <w:shd w:val="clear" w:color="auto" w:fill="auto"/>
            <w:vAlign w:val="center"/>
            <w:hideMark/>
          </w:tcPr>
          <w:p w14:paraId="0800CD80" w14:textId="77777777" w:rsidR="00216CCA" w:rsidRPr="00BF0707" w:rsidRDefault="00216CCA" w:rsidP="00DB4768">
            <w:pPr>
              <w:spacing w:after="0" w:line="240" w:lineRule="auto"/>
              <w:ind w:firstLine="0"/>
              <w:jc w:val="left"/>
              <w:rPr>
                <w:rFonts w:eastAsia="Times New Roman" w:cs="Times New Roman"/>
                <w:color w:val="000000"/>
                <w:sz w:val="22"/>
                <w:lang w:val="en-US"/>
              </w:rPr>
            </w:pPr>
            <w:r w:rsidRPr="00BF0707">
              <w:rPr>
                <w:rFonts w:eastAsia="Times New Roman" w:cs="Times New Roman"/>
                <w:color w:val="000000"/>
                <w:sz w:val="22"/>
                <w:lang w:val="en-US"/>
              </w:rPr>
              <w:t xml:space="preserve">Mean </w:t>
            </w:r>
          </w:p>
        </w:tc>
        <w:tc>
          <w:tcPr>
            <w:tcW w:w="1192" w:type="dxa"/>
            <w:tcBorders>
              <w:top w:val="single" w:sz="4" w:space="0" w:color="auto"/>
            </w:tcBorders>
            <w:shd w:val="clear" w:color="auto" w:fill="auto"/>
            <w:vAlign w:val="bottom"/>
            <w:hideMark/>
          </w:tcPr>
          <w:p w14:paraId="21D86E29" w14:textId="77777777" w:rsidR="00216CCA" w:rsidRPr="00BF0707" w:rsidRDefault="00216CCA" w:rsidP="00DB4768">
            <w:pPr>
              <w:spacing w:after="0" w:line="240" w:lineRule="auto"/>
              <w:ind w:firstLine="0"/>
              <w:jc w:val="right"/>
              <w:rPr>
                <w:rFonts w:eastAsia="Times New Roman" w:cs="Times New Roman"/>
                <w:color w:val="000000"/>
                <w:sz w:val="22"/>
                <w:lang w:val="en-US"/>
              </w:rPr>
            </w:pPr>
            <w:r w:rsidRPr="00BF0707">
              <w:rPr>
                <w:rFonts w:cs="Times New Roman"/>
                <w:color w:val="000000"/>
                <w:sz w:val="22"/>
              </w:rPr>
              <w:t>0.0035518</w:t>
            </w:r>
          </w:p>
        </w:tc>
        <w:tc>
          <w:tcPr>
            <w:tcW w:w="1218" w:type="dxa"/>
            <w:tcBorders>
              <w:top w:val="single" w:sz="4" w:space="0" w:color="auto"/>
            </w:tcBorders>
            <w:shd w:val="clear" w:color="auto" w:fill="auto"/>
            <w:vAlign w:val="bottom"/>
            <w:hideMark/>
          </w:tcPr>
          <w:p w14:paraId="0706D963" w14:textId="77777777" w:rsidR="00216CCA" w:rsidRPr="00BF0707" w:rsidRDefault="00216CCA" w:rsidP="00DB4768">
            <w:pPr>
              <w:spacing w:after="0" w:line="240" w:lineRule="auto"/>
              <w:ind w:firstLine="0"/>
              <w:jc w:val="right"/>
              <w:rPr>
                <w:rFonts w:eastAsia="Times New Roman" w:cs="Times New Roman"/>
                <w:color w:val="000000"/>
                <w:sz w:val="22"/>
                <w:lang w:val="en-US"/>
              </w:rPr>
            </w:pPr>
            <w:r w:rsidRPr="00BF0707">
              <w:rPr>
                <w:rFonts w:cs="Times New Roman"/>
                <w:color w:val="000000"/>
                <w:sz w:val="22"/>
              </w:rPr>
              <w:t>0.0004735</w:t>
            </w:r>
          </w:p>
        </w:tc>
        <w:tc>
          <w:tcPr>
            <w:tcW w:w="1271" w:type="dxa"/>
            <w:tcBorders>
              <w:top w:val="single" w:sz="4" w:space="0" w:color="auto"/>
            </w:tcBorders>
            <w:shd w:val="clear" w:color="auto" w:fill="auto"/>
            <w:vAlign w:val="bottom"/>
            <w:hideMark/>
          </w:tcPr>
          <w:p w14:paraId="2CCE712D" w14:textId="77777777" w:rsidR="00216CCA" w:rsidRPr="00BF0707" w:rsidRDefault="00216CCA" w:rsidP="00DB4768">
            <w:pPr>
              <w:spacing w:after="0" w:line="240" w:lineRule="auto"/>
              <w:ind w:firstLine="0"/>
              <w:jc w:val="right"/>
              <w:rPr>
                <w:rFonts w:eastAsia="Times New Roman" w:cs="Times New Roman"/>
                <w:color w:val="000000"/>
                <w:sz w:val="22"/>
                <w:lang w:val="en-US"/>
              </w:rPr>
            </w:pPr>
            <w:r w:rsidRPr="00BF0707">
              <w:rPr>
                <w:rFonts w:cs="Times New Roman"/>
                <w:color w:val="000000"/>
                <w:sz w:val="22"/>
              </w:rPr>
              <w:t>0.0007265</w:t>
            </w:r>
          </w:p>
        </w:tc>
        <w:tc>
          <w:tcPr>
            <w:tcW w:w="1417" w:type="dxa"/>
            <w:tcBorders>
              <w:top w:val="single" w:sz="4" w:space="0" w:color="auto"/>
            </w:tcBorders>
            <w:shd w:val="clear" w:color="auto" w:fill="auto"/>
            <w:vAlign w:val="bottom"/>
            <w:hideMark/>
          </w:tcPr>
          <w:p w14:paraId="06D88665" w14:textId="77777777" w:rsidR="00216CCA" w:rsidRPr="00BF0707" w:rsidRDefault="00216CCA" w:rsidP="00DB4768">
            <w:pPr>
              <w:spacing w:after="0" w:line="240" w:lineRule="auto"/>
              <w:ind w:firstLine="0"/>
              <w:jc w:val="right"/>
              <w:rPr>
                <w:rFonts w:eastAsia="Times New Roman" w:cs="Times New Roman"/>
                <w:color w:val="000000"/>
                <w:sz w:val="22"/>
                <w:lang w:val="en-US"/>
              </w:rPr>
            </w:pPr>
            <w:r w:rsidRPr="00BF0707">
              <w:rPr>
                <w:rFonts w:cs="Times New Roman"/>
                <w:color w:val="000000"/>
                <w:sz w:val="22"/>
              </w:rPr>
              <w:t>0.0008365</w:t>
            </w:r>
          </w:p>
        </w:tc>
        <w:tc>
          <w:tcPr>
            <w:tcW w:w="1264" w:type="dxa"/>
            <w:tcBorders>
              <w:top w:val="single" w:sz="4" w:space="0" w:color="auto"/>
            </w:tcBorders>
            <w:shd w:val="clear" w:color="auto" w:fill="auto"/>
            <w:noWrap/>
            <w:vAlign w:val="center"/>
            <w:hideMark/>
          </w:tcPr>
          <w:p w14:paraId="3BA88943" w14:textId="77777777" w:rsidR="00216CCA" w:rsidRPr="00BF0707" w:rsidRDefault="00216CCA" w:rsidP="00DB4768">
            <w:pPr>
              <w:spacing w:after="0" w:line="240" w:lineRule="auto"/>
              <w:ind w:firstLine="0"/>
              <w:jc w:val="left"/>
              <w:rPr>
                <w:rFonts w:eastAsia="Times New Roman" w:cs="Times New Roman"/>
                <w:color w:val="000000"/>
                <w:sz w:val="22"/>
                <w:lang w:val="en-US"/>
              </w:rPr>
            </w:pPr>
            <w:r w:rsidRPr="00BF0707">
              <w:rPr>
                <w:rFonts w:eastAsia="Times New Roman" w:cs="Times New Roman"/>
                <w:color w:val="000000"/>
                <w:sz w:val="22"/>
                <w:lang w:val="en-US"/>
              </w:rPr>
              <w:t> </w:t>
            </w:r>
          </w:p>
        </w:tc>
        <w:tc>
          <w:tcPr>
            <w:tcW w:w="856" w:type="dxa"/>
            <w:tcBorders>
              <w:top w:val="single" w:sz="4" w:space="0" w:color="auto"/>
            </w:tcBorders>
            <w:shd w:val="clear" w:color="auto" w:fill="auto"/>
            <w:noWrap/>
            <w:vAlign w:val="center"/>
            <w:hideMark/>
          </w:tcPr>
          <w:p w14:paraId="4BA6AE80" w14:textId="77777777" w:rsidR="00216CCA" w:rsidRPr="00BF0707" w:rsidRDefault="00216CCA" w:rsidP="00DB4768">
            <w:pPr>
              <w:spacing w:after="0" w:line="240" w:lineRule="auto"/>
              <w:ind w:firstLine="0"/>
              <w:jc w:val="left"/>
              <w:rPr>
                <w:rFonts w:eastAsia="Times New Roman" w:cs="Times New Roman"/>
                <w:color w:val="000000"/>
                <w:sz w:val="22"/>
                <w:lang w:val="en-US"/>
              </w:rPr>
            </w:pPr>
            <w:r w:rsidRPr="00BF0707">
              <w:rPr>
                <w:rFonts w:eastAsia="Times New Roman" w:cs="Times New Roman"/>
                <w:color w:val="000000"/>
                <w:sz w:val="22"/>
                <w:lang w:val="en-US"/>
              </w:rPr>
              <w:t> </w:t>
            </w:r>
          </w:p>
        </w:tc>
        <w:tc>
          <w:tcPr>
            <w:tcW w:w="856" w:type="dxa"/>
            <w:tcBorders>
              <w:top w:val="single" w:sz="4" w:space="0" w:color="auto"/>
            </w:tcBorders>
            <w:shd w:val="clear" w:color="auto" w:fill="auto"/>
            <w:noWrap/>
            <w:vAlign w:val="center"/>
            <w:hideMark/>
          </w:tcPr>
          <w:p w14:paraId="54813233" w14:textId="77777777" w:rsidR="00216CCA" w:rsidRPr="00BF0707" w:rsidRDefault="00216CCA" w:rsidP="00DB4768">
            <w:pPr>
              <w:spacing w:after="0" w:line="240" w:lineRule="auto"/>
              <w:ind w:firstLine="0"/>
              <w:jc w:val="left"/>
              <w:rPr>
                <w:rFonts w:eastAsia="Times New Roman" w:cs="Times New Roman"/>
                <w:color w:val="000000"/>
                <w:sz w:val="22"/>
                <w:lang w:val="en-US"/>
              </w:rPr>
            </w:pPr>
          </w:p>
        </w:tc>
      </w:tr>
      <w:tr w:rsidR="00216CCA" w:rsidRPr="008B1AF6" w14:paraId="650BCB72" w14:textId="77777777" w:rsidTr="00142F12">
        <w:trPr>
          <w:trHeight w:val="315"/>
        </w:trPr>
        <w:tc>
          <w:tcPr>
            <w:tcW w:w="1276" w:type="dxa"/>
            <w:shd w:val="clear" w:color="auto" w:fill="auto"/>
            <w:vAlign w:val="center"/>
            <w:hideMark/>
          </w:tcPr>
          <w:p w14:paraId="07AEB7E6" w14:textId="77777777" w:rsidR="00216CCA" w:rsidRPr="00BF0707" w:rsidRDefault="00216CCA" w:rsidP="00DB4768">
            <w:pPr>
              <w:spacing w:after="0" w:line="240" w:lineRule="auto"/>
              <w:ind w:firstLine="0"/>
              <w:jc w:val="left"/>
              <w:rPr>
                <w:rFonts w:eastAsia="Times New Roman" w:cs="Times New Roman"/>
                <w:color w:val="000000"/>
                <w:sz w:val="22"/>
                <w:lang w:val="en-US"/>
              </w:rPr>
            </w:pPr>
            <w:r w:rsidRPr="00BF0707">
              <w:rPr>
                <w:rFonts w:eastAsia="Times New Roman" w:cs="Times New Roman"/>
                <w:color w:val="000000"/>
                <w:sz w:val="22"/>
                <w:lang w:val="en-US"/>
              </w:rPr>
              <w:t>Standard deviation</w:t>
            </w:r>
          </w:p>
        </w:tc>
        <w:tc>
          <w:tcPr>
            <w:tcW w:w="1192" w:type="dxa"/>
            <w:shd w:val="clear" w:color="auto" w:fill="auto"/>
            <w:vAlign w:val="bottom"/>
            <w:hideMark/>
          </w:tcPr>
          <w:p w14:paraId="54D1AA86" w14:textId="77777777" w:rsidR="00216CCA" w:rsidRPr="00BF0707" w:rsidRDefault="00216CCA" w:rsidP="00DB4768">
            <w:pPr>
              <w:spacing w:after="0" w:line="240" w:lineRule="auto"/>
              <w:ind w:firstLine="0"/>
              <w:jc w:val="right"/>
              <w:rPr>
                <w:rFonts w:eastAsia="Times New Roman" w:cs="Times New Roman"/>
                <w:color w:val="000000"/>
                <w:sz w:val="22"/>
                <w:lang w:val="en-US"/>
              </w:rPr>
            </w:pPr>
            <w:r w:rsidRPr="00BF0707">
              <w:rPr>
                <w:rFonts w:cs="Times New Roman"/>
                <w:color w:val="000000"/>
                <w:sz w:val="22"/>
              </w:rPr>
              <w:t>0.0030531</w:t>
            </w:r>
          </w:p>
        </w:tc>
        <w:tc>
          <w:tcPr>
            <w:tcW w:w="1218" w:type="dxa"/>
            <w:shd w:val="clear" w:color="auto" w:fill="auto"/>
            <w:vAlign w:val="bottom"/>
            <w:hideMark/>
          </w:tcPr>
          <w:p w14:paraId="0A87CAD2" w14:textId="77777777" w:rsidR="00216CCA" w:rsidRPr="00BF0707" w:rsidRDefault="00216CCA" w:rsidP="00DB4768">
            <w:pPr>
              <w:spacing w:after="0" w:line="240" w:lineRule="auto"/>
              <w:ind w:firstLine="0"/>
              <w:jc w:val="right"/>
              <w:rPr>
                <w:rFonts w:eastAsia="Times New Roman" w:cs="Times New Roman"/>
                <w:color w:val="000000"/>
                <w:sz w:val="22"/>
                <w:lang w:val="en-US"/>
              </w:rPr>
            </w:pPr>
            <w:r w:rsidRPr="00BF0707">
              <w:rPr>
                <w:rFonts w:cs="Times New Roman"/>
                <w:color w:val="000000"/>
                <w:sz w:val="22"/>
              </w:rPr>
              <w:t>0.0005609</w:t>
            </w:r>
          </w:p>
        </w:tc>
        <w:tc>
          <w:tcPr>
            <w:tcW w:w="1271" w:type="dxa"/>
            <w:shd w:val="clear" w:color="auto" w:fill="auto"/>
            <w:vAlign w:val="bottom"/>
            <w:hideMark/>
          </w:tcPr>
          <w:p w14:paraId="167CA299" w14:textId="77777777" w:rsidR="00216CCA" w:rsidRPr="00BF0707" w:rsidRDefault="00216CCA" w:rsidP="00DB4768">
            <w:pPr>
              <w:spacing w:after="0" w:line="240" w:lineRule="auto"/>
              <w:ind w:firstLine="0"/>
              <w:jc w:val="right"/>
              <w:rPr>
                <w:rFonts w:eastAsia="Times New Roman" w:cs="Times New Roman"/>
                <w:color w:val="000000"/>
                <w:sz w:val="22"/>
                <w:lang w:val="en-US"/>
              </w:rPr>
            </w:pPr>
            <w:r w:rsidRPr="00BF0707">
              <w:rPr>
                <w:rFonts w:cs="Times New Roman"/>
                <w:color w:val="000000"/>
                <w:sz w:val="22"/>
              </w:rPr>
              <w:t>0.0008589</w:t>
            </w:r>
          </w:p>
        </w:tc>
        <w:tc>
          <w:tcPr>
            <w:tcW w:w="1417" w:type="dxa"/>
            <w:shd w:val="clear" w:color="auto" w:fill="auto"/>
            <w:vAlign w:val="bottom"/>
            <w:hideMark/>
          </w:tcPr>
          <w:p w14:paraId="467685EC" w14:textId="77777777" w:rsidR="00216CCA" w:rsidRPr="00BF0707" w:rsidRDefault="00216CCA" w:rsidP="00DB4768">
            <w:pPr>
              <w:spacing w:after="0" w:line="240" w:lineRule="auto"/>
              <w:ind w:firstLine="0"/>
              <w:jc w:val="right"/>
              <w:rPr>
                <w:rFonts w:eastAsia="Times New Roman" w:cs="Times New Roman"/>
                <w:color w:val="000000"/>
                <w:sz w:val="22"/>
                <w:lang w:val="en-US"/>
              </w:rPr>
            </w:pPr>
            <w:r w:rsidRPr="00BF0707">
              <w:rPr>
                <w:rFonts w:cs="Times New Roman"/>
                <w:color w:val="000000"/>
                <w:sz w:val="22"/>
              </w:rPr>
              <w:t>0.0009043</w:t>
            </w:r>
          </w:p>
        </w:tc>
        <w:tc>
          <w:tcPr>
            <w:tcW w:w="1264" w:type="dxa"/>
            <w:shd w:val="clear" w:color="auto" w:fill="auto"/>
            <w:noWrap/>
            <w:vAlign w:val="center"/>
            <w:hideMark/>
          </w:tcPr>
          <w:p w14:paraId="4BFC8D5E" w14:textId="77777777" w:rsidR="00216CCA" w:rsidRPr="00BF0707" w:rsidRDefault="00216CCA" w:rsidP="00DB4768">
            <w:pPr>
              <w:spacing w:after="0" w:line="240" w:lineRule="auto"/>
              <w:ind w:firstLine="0"/>
              <w:jc w:val="right"/>
              <w:rPr>
                <w:rFonts w:eastAsia="Times New Roman" w:cs="Times New Roman"/>
                <w:color w:val="000000"/>
                <w:sz w:val="22"/>
                <w:lang w:val="en-US"/>
              </w:rPr>
            </w:pPr>
          </w:p>
        </w:tc>
        <w:tc>
          <w:tcPr>
            <w:tcW w:w="856" w:type="dxa"/>
            <w:shd w:val="clear" w:color="auto" w:fill="auto"/>
            <w:noWrap/>
            <w:vAlign w:val="center"/>
            <w:hideMark/>
          </w:tcPr>
          <w:p w14:paraId="32C838CC" w14:textId="77777777" w:rsidR="00216CCA" w:rsidRPr="00BF0707" w:rsidRDefault="00216CCA" w:rsidP="00DB4768">
            <w:pPr>
              <w:spacing w:after="0" w:line="240" w:lineRule="auto"/>
              <w:ind w:firstLine="0"/>
              <w:jc w:val="left"/>
              <w:rPr>
                <w:rFonts w:eastAsia="Times New Roman" w:cs="Times New Roman"/>
                <w:sz w:val="22"/>
                <w:lang w:val="en-US"/>
              </w:rPr>
            </w:pPr>
          </w:p>
        </w:tc>
        <w:tc>
          <w:tcPr>
            <w:tcW w:w="856" w:type="dxa"/>
            <w:shd w:val="clear" w:color="auto" w:fill="auto"/>
            <w:noWrap/>
            <w:vAlign w:val="center"/>
            <w:hideMark/>
          </w:tcPr>
          <w:p w14:paraId="4637C84B" w14:textId="77777777" w:rsidR="00216CCA" w:rsidRPr="00BF0707" w:rsidRDefault="00216CCA" w:rsidP="00DB4768">
            <w:pPr>
              <w:spacing w:after="0" w:line="240" w:lineRule="auto"/>
              <w:ind w:firstLine="0"/>
              <w:jc w:val="left"/>
              <w:rPr>
                <w:rFonts w:eastAsia="Times New Roman" w:cs="Times New Roman"/>
                <w:sz w:val="22"/>
                <w:lang w:val="en-US"/>
              </w:rPr>
            </w:pPr>
          </w:p>
        </w:tc>
      </w:tr>
      <w:tr w:rsidR="00216CCA" w:rsidRPr="008B1AF6" w14:paraId="4FD2BFC4" w14:textId="77777777" w:rsidTr="00142F12">
        <w:trPr>
          <w:trHeight w:val="315"/>
        </w:trPr>
        <w:tc>
          <w:tcPr>
            <w:tcW w:w="1276" w:type="dxa"/>
            <w:shd w:val="clear" w:color="auto" w:fill="auto"/>
            <w:vAlign w:val="center"/>
            <w:hideMark/>
          </w:tcPr>
          <w:p w14:paraId="1088CB54" w14:textId="77777777" w:rsidR="00216CCA" w:rsidRPr="00BF0707" w:rsidRDefault="00216CCA" w:rsidP="00DB4768">
            <w:pPr>
              <w:spacing w:after="0" w:line="240" w:lineRule="auto"/>
              <w:ind w:firstLine="0"/>
              <w:jc w:val="left"/>
              <w:rPr>
                <w:rFonts w:eastAsia="Times New Roman" w:cs="Times New Roman"/>
                <w:color w:val="000000"/>
                <w:sz w:val="22"/>
                <w:lang w:val="en-US"/>
              </w:rPr>
            </w:pPr>
            <w:r w:rsidRPr="00BF0707">
              <w:rPr>
                <w:rFonts w:eastAsia="Times New Roman" w:cs="Times New Roman"/>
                <w:color w:val="000000"/>
                <w:sz w:val="22"/>
                <w:lang w:val="en-US"/>
              </w:rPr>
              <w:t>Min</w:t>
            </w:r>
          </w:p>
        </w:tc>
        <w:tc>
          <w:tcPr>
            <w:tcW w:w="1192" w:type="dxa"/>
            <w:shd w:val="clear" w:color="auto" w:fill="auto"/>
            <w:vAlign w:val="bottom"/>
            <w:hideMark/>
          </w:tcPr>
          <w:p w14:paraId="6AED131B" w14:textId="77777777" w:rsidR="00216CCA" w:rsidRPr="00BF0707" w:rsidRDefault="00216CCA" w:rsidP="00DB4768">
            <w:pPr>
              <w:spacing w:after="0" w:line="240" w:lineRule="auto"/>
              <w:ind w:firstLine="0"/>
              <w:jc w:val="right"/>
              <w:rPr>
                <w:rFonts w:eastAsia="Times New Roman" w:cs="Times New Roman"/>
                <w:color w:val="000000"/>
                <w:sz w:val="22"/>
                <w:lang w:val="en-US"/>
              </w:rPr>
            </w:pPr>
            <w:r w:rsidRPr="00BF0707">
              <w:rPr>
                <w:rFonts w:cs="Times New Roman"/>
                <w:color w:val="000000"/>
                <w:sz w:val="22"/>
              </w:rPr>
              <w:t>0.0000374</w:t>
            </w:r>
          </w:p>
        </w:tc>
        <w:tc>
          <w:tcPr>
            <w:tcW w:w="1218" w:type="dxa"/>
            <w:shd w:val="clear" w:color="auto" w:fill="auto"/>
            <w:vAlign w:val="bottom"/>
            <w:hideMark/>
          </w:tcPr>
          <w:p w14:paraId="2402D87D" w14:textId="77777777" w:rsidR="00216CCA" w:rsidRPr="00BF0707" w:rsidRDefault="00216CCA" w:rsidP="00DB4768">
            <w:pPr>
              <w:spacing w:after="0" w:line="240" w:lineRule="auto"/>
              <w:ind w:firstLine="0"/>
              <w:jc w:val="right"/>
              <w:rPr>
                <w:rFonts w:eastAsia="Times New Roman" w:cs="Times New Roman"/>
                <w:color w:val="000000"/>
                <w:sz w:val="22"/>
                <w:lang w:val="en-US"/>
              </w:rPr>
            </w:pPr>
            <w:r w:rsidRPr="00BF0707">
              <w:rPr>
                <w:rFonts w:cs="Times New Roman"/>
                <w:color w:val="000000"/>
                <w:sz w:val="22"/>
              </w:rPr>
              <w:t>7.09E-06</w:t>
            </w:r>
          </w:p>
        </w:tc>
        <w:tc>
          <w:tcPr>
            <w:tcW w:w="1271" w:type="dxa"/>
            <w:shd w:val="clear" w:color="auto" w:fill="auto"/>
            <w:vAlign w:val="bottom"/>
            <w:hideMark/>
          </w:tcPr>
          <w:p w14:paraId="1C37F99F" w14:textId="77777777" w:rsidR="00216CCA" w:rsidRPr="00BF0707" w:rsidRDefault="00216CCA" w:rsidP="00DB4768">
            <w:pPr>
              <w:spacing w:after="0" w:line="240" w:lineRule="auto"/>
              <w:ind w:firstLine="0"/>
              <w:jc w:val="right"/>
              <w:rPr>
                <w:rFonts w:eastAsia="Times New Roman" w:cs="Times New Roman"/>
                <w:color w:val="000000"/>
                <w:sz w:val="22"/>
                <w:lang w:val="en-US"/>
              </w:rPr>
            </w:pPr>
            <w:r w:rsidRPr="00BF0707">
              <w:rPr>
                <w:rFonts w:cs="Times New Roman"/>
                <w:color w:val="000000"/>
                <w:sz w:val="22"/>
              </w:rPr>
              <w:t>0.0000225</w:t>
            </w:r>
          </w:p>
        </w:tc>
        <w:tc>
          <w:tcPr>
            <w:tcW w:w="1417" w:type="dxa"/>
            <w:shd w:val="clear" w:color="auto" w:fill="auto"/>
            <w:vAlign w:val="bottom"/>
            <w:hideMark/>
          </w:tcPr>
          <w:p w14:paraId="2A7003CF" w14:textId="77777777" w:rsidR="00216CCA" w:rsidRPr="00BF0707" w:rsidRDefault="00216CCA" w:rsidP="00DB4768">
            <w:pPr>
              <w:spacing w:after="0" w:line="240" w:lineRule="auto"/>
              <w:ind w:firstLine="0"/>
              <w:jc w:val="right"/>
              <w:rPr>
                <w:rFonts w:eastAsia="Times New Roman" w:cs="Times New Roman"/>
                <w:color w:val="000000"/>
                <w:sz w:val="22"/>
                <w:lang w:val="en-US"/>
              </w:rPr>
            </w:pPr>
            <w:r w:rsidRPr="00BF0707">
              <w:rPr>
                <w:rFonts w:cs="Times New Roman"/>
                <w:color w:val="000000"/>
                <w:sz w:val="22"/>
              </w:rPr>
              <w:t>0.0001097</w:t>
            </w:r>
          </w:p>
        </w:tc>
        <w:tc>
          <w:tcPr>
            <w:tcW w:w="1264" w:type="dxa"/>
            <w:shd w:val="clear" w:color="auto" w:fill="auto"/>
            <w:noWrap/>
            <w:vAlign w:val="center"/>
            <w:hideMark/>
          </w:tcPr>
          <w:p w14:paraId="264ED4C6" w14:textId="77777777" w:rsidR="00216CCA" w:rsidRPr="00BF0707" w:rsidRDefault="00216CCA" w:rsidP="00DB4768">
            <w:pPr>
              <w:spacing w:after="0" w:line="240" w:lineRule="auto"/>
              <w:ind w:firstLine="0"/>
              <w:jc w:val="right"/>
              <w:rPr>
                <w:rFonts w:eastAsia="Times New Roman" w:cs="Times New Roman"/>
                <w:color w:val="000000"/>
                <w:sz w:val="22"/>
                <w:lang w:val="en-US"/>
              </w:rPr>
            </w:pPr>
          </w:p>
        </w:tc>
        <w:tc>
          <w:tcPr>
            <w:tcW w:w="856" w:type="dxa"/>
            <w:shd w:val="clear" w:color="auto" w:fill="auto"/>
            <w:noWrap/>
            <w:vAlign w:val="center"/>
            <w:hideMark/>
          </w:tcPr>
          <w:p w14:paraId="394568BA" w14:textId="77777777" w:rsidR="00216CCA" w:rsidRPr="00BF0707" w:rsidRDefault="00216CCA" w:rsidP="00DB4768">
            <w:pPr>
              <w:spacing w:after="0" w:line="240" w:lineRule="auto"/>
              <w:ind w:firstLine="0"/>
              <w:jc w:val="left"/>
              <w:rPr>
                <w:rFonts w:eastAsia="Times New Roman" w:cs="Times New Roman"/>
                <w:sz w:val="22"/>
                <w:lang w:val="en-US"/>
              </w:rPr>
            </w:pPr>
          </w:p>
        </w:tc>
        <w:tc>
          <w:tcPr>
            <w:tcW w:w="856" w:type="dxa"/>
            <w:shd w:val="clear" w:color="auto" w:fill="auto"/>
            <w:noWrap/>
            <w:vAlign w:val="center"/>
            <w:hideMark/>
          </w:tcPr>
          <w:p w14:paraId="36CF7546" w14:textId="77777777" w:rsidR="00216CCA" w:rsidRPr="00BF0707" w:rsidRDefault="00216CCA" w:rsidP="00DB4768">
            <w:pPr>
              <w:spacing w:after="0" w:line="240" w:lineRule="auto"/>
              <w:ind w:firstLine="0"/>
              <w:jc w:val="left"/>
              <w:rPr>
                <w:rFonts w:eastAsia="Times New Roman" w:cs="Times New Roman"/>
                <w:sz w:val="22"/>
                <w:lang w:val="en-US"/>
              </w:rPr>
            </w:pPr>
          </w:p>
        </w:tc>
      </w:tr>
      <w:tr w:rsidR="00216CCA" w:rsidRPr="008B1AF6" w14:paraId="666FB6E8" w14:textId="77777777" w:rsidTr="00142F12">
        <w:trPr>
          <w:trHeight w:val="315"/>
        </w:trPr>
        <w:tc>
          <w:tcPr>
            <w:tcW w:w="1276" w:type="dxa"/>
            <w:shd w:val="clear" w:color="auto" w:fill="auto"/>
            <w:vAlign w:val="center"/>
            <w:hideMark/>
          </w:tcPr>
          <w:p w14:paraId="6313AB07" w14:textId="77777777" w:rsidR="00216CCA" w:rsidRPr="00BF0707" w:rsidRDefault="00216CCA" w:rsidP="00DB4768">
            <w:pPr>
              <w:spacing w:after="0" w:line="240" w:lineRule="auto"/>
              <w:ind w:firstLine="0"/>
              <w:jc w:val="left"/>
              <w:rPr>
                <w:rFonts w:eastAsia="Times New Roman" w:cs="Times New Roman"/>
                <w:color w:val="000000"/>
                <w:sz w:val="22"/>
                <w:lang w:val="en-US"/>
              </w:rPr>
            </w:pPr>
            <w:r w:rsidRPr="00BF0707">
              <w:rPr>
                <w:rFonts w:eastAsia="Times New Roman" w:cs="Times New Roman"/>
                <w:color w:val="000000"/>
                <w:sz w:val="22"/>
                <w:lang w:val="en-US"/>
              </w:rPr>
              <w:t>Max</w:t>
            </w:r>
          </w:p>
        </w:tc>
        <w:tc>
          <w:tcPr>
            <w:tcW w:w="1192" w:type="dxa"/>
            <w:shd w:val="clear" w:color="auto" w:fill="auto"/>
            <w:vAlign w:val="bottom"/>
            <w:hideMark/>
          </w:tcPr>
          <w:p w14:paraId="049509CF" w14:textId="77777777" w:rsidR="00216CCA" w:rsidRPr="00BF0707" w:rsidRDefault="00216CCA" w:rsidP="00DB4768">
            <w:pPr>
              <w:spacing w:after="0" w:line="240" w:lineRule="auto"/>
              <w:ind w:firstLine="0"/>
              <w:jc w:val="right"/>
              <w:rPr>
                <w:rFonts w:eastAsia="Times New Roman" w:cs="Times New Roman"/>
                <w:color w:val="000000"/>
                <w:sz w:val="22"/>
                <w:lang w:val="en-US"/>
              </w:rPr>
            </w:pPr>
            <w:r w:rsidRPr="00BF0707">
              <w:rPr>
                <w:rFonts w:cs="Times New Roman"/>
                <w:color w:val="000000"/>
                <w:sz w:val="22"/>
              </w:rPr>
              <w:t>0.0124081</w:t>
            </w:r>
          </w:p>
        </w:tc>
        <w:tc>
          <w:tcPr>
            <w:tcW w:w="1218" w:type="dxa"/>
            <w:shd w:val="clear" w:color="auto" w:fill="auto"/>
            <w:vAlign w:val="bottom"/>
            <w:hideMark/>
          </w:tcPr>
          <w:p w14:paraId="64A5EAA4" w14:textId="77777777" w:rsidR="00216CCA" w:rsidRPr="00BF0707" w:rsidRDefault="00216CCA" w:rsidP="00DB4768">
            <w:pPr>
              <w:spacing w:after="0" w:line="240" w:lineRule="auto"/>
              <w:ind w:firstLine="0"/>
              <w:jc w:val="right"/>
              <w:rPr>
                <w:rFonts w:eastAsia="Times New Roman" w:cs="Times New Roman"/>
                <w:color w:val="000000"/>
                <w:sz w:val="22"/>
                <w:lang w:val="en-US"/>
              </w:rPr>
            </w:pPr>
            <w:r w:rsidRPr="00BF0707">
              <w:rPr>
                <w:rFonts w:cs="Times New Roman"/>
                <w:color w:val="000000"/>
                <w:sz w:val="22"/>
              </w:rPr>
              <w:t>0.0021578</w:t>
            </w:r>
          </w:p>
        </w:tc>
        <w:tc>
          <w:tcPr>
            <w:tcW w:w="1271" w:type="dxa"/>
            <w:shd w:val="clear" w:color="auto" w:fill="auto"/>
            <w:vAlign w:val="bottom"/>
            <w:hideMark/>
          </w:tcPr>
          <w:p w14:paraId="4C27885E" w14:textId="77777777" w:rsidR="00216CCA" w:rsidRPr="00BF0707" w:rsidRDefault="00216CCA" w:rsidP="00DB4768">
            <w:pPr>
              <w:spacing w:after="0" w:line="240" w:lineRule="auto"/>
              <w:ind w:firstLine="0"/>
              <w:jc w:val="right"/>
              <w:rPr>
                <w:rFonts w:eastAsia="Times New Roman" w:cs="Times New Roman"/>
                <w:color w:val="000000"/>
                <w:sz w:val="22"/>
                <w:lang w:val="en-US"/>
              </w:rPr>
            </w:pPr>
            <w:r w:rsidRPr="00BF0707">
              <w:rPr>
                <w:rFonts w:cs="Times New Roman"/>
                <w:color w:val="000000"/>
                <w:sz w:val="22"/>
              </w:rPr>
              <w:t>0.0032336</w:t>
            </w:r>
          </w:p>
        </w:tc>
        <w:tc>
          <w:tcPr>
            <w:tcW w:w="1417" w:type="dxa"/>
            <w:shd w:val="clear" w:color="auto" w:fill="auto"/>
            <w:vAlign w:val="bottom"/>
            <w:hideMark/>
          </w:tcPr>
          <w:p w14:paraId="23A7627B" w14:textId="77777777" w:rsidR="00216CCA" w:rsidRPr="00BF0707" w:rsidRDefault="00216CCA" w:rsidP="00DB4768">
            <w:pPr>
              <w:spacing w:after="0" w:line="240" w:lineRule="auto"/>
              <w:ind w:firstLine="0"/>
              <w:jc w:val="right"/>
              <w:rPr>
                <w:rFonts w:eastAsia="Times New Roman" w:cs="Times New Roman"/>
                <w:color w:val="000000"/>
                <w:sz w:val="22"/>
                <w:lang w:val="en-US"/>
              </w:rPr>
            </w:pPr>
            <w:r w:rsidRPr="00BF0707">
              <w:rPr>
                <w:rFonts w:cs="Times New Roman"/>
                <w:color w:val="000000"/>
                <w:sz w:val="22"/>
              </w:rPr>
              <w:t>0.0025915</w:t>
            </w:r>
          </w:p>
        </w:tc>
        <w:tc>
          <w:tcPr>
            <w:tcW w:w="1264" w:type="dxa"/>
            <w:shd w:val="clear" w:color="auto" w:fill="auto"/>
            <w:noWrap/>
            <w:vAlign w:val="center"/>
            <w:hideMark/>
          </w:tcPr>
          <w:p w14:paraId="6779C479" w14:textId="77777777" w:rsidR="00216CCA" w:rsidRPr="00BF0707" w:rsidRDefault="00216CCA" w:rsidP="00DB4768">
            <w:pPr>
              <w:spacing w:after="0" w:line="240" w:lineRule="auto"/>
              <w:ind w:firstLine="0"/>
              <w:jc w:val="right"/>
              <w:rPr>
                <w:rFonts w:eastAsia="Times New Roman" w:cs="Times New Roman"/>
                <w:color w:val="000000"/>
                <w:sz w:val="22"/>
                <w:lang w:val="en-US"/>
              </w:rPr>
            </w:pPr>
          </w:p>
        </w:tc>
        <w:tc>
          <w:tcPr>
            <w:tcW w:w="856" w:type="dxa"/>
            <w:shd w:val="clear" w:color="auto" w:fill="auto"/>
            <w:noWrap/>
            <w:vAlign w:val="center"/>
            <w:hideMark/>
          </w:tcPr>
          <w:p w14:paraId="45735436" w14:textId="77777777" w:rsidR="00216CCA" w:rsidRPr="00BF0707" w:rsidRDefault="00216CCA" w:rsidP="00DB4768">
            <w:pPr>
              <w:spacing w:after="0" w:line="240" w:lineRule="auto"/>
              <w:ind w:firstLine="0"/>
              <w:jc w:val="left"/>
              <w:rPr>
                <w:rFonts w:eastAsia="Times New Roman" w:cs="Times New Roman"/>
                <w:sz w:val="22"/>
                <w:lang w:val="en-US"/>
              </w:rPr>
            </w:pPr>
          </w:p>
        </w:tc>
        <w:tc>
          <w:tcPr>
            <w:tcW w:w="856" w:type="dxa"/>
            <w:shd w:val="clear" w:color="auto" w:fill="auto"/>
            <w:noWrap/>
            <w:vAlign w:val="center"/>
            <w:hideMark/>
          </w:tcPr>
          <w:p w14:paraId="747277ED" w14:textId="77777777" w:rsidR="00216CCA" w:rsidRPr="00BF0707" w:rsidRDefault="00216CCA" w:rsidP="00DB4768">
            <w:pPr>
              <w:spacing w:after="0" w:line="240" w:lineRule="auto"/>
              <w:ind w:firstLine="0"/>
              <w:jc w:val="left"/>
              <w:rPr>
                <w:rFonts w:eastAsia="Times New Roman" w:cs="Times New Roman"/>
                <w:sz w:val="22"/>
                <w:lang w:val="en-US"/>
              </w:rPr>
            </w:pPr>
          </w:p>
        </w:tc>
      </w:tr>
      <w:tr w:rsidR="00216CCA" w:rsidRPr="008B1AF6" w14:paraId="4B86E5D3" w14:textId="77777777" w:rsidTr="00142F12">
        <w:trPr>
          <w:trHeight w:val="645"/>
        </w:trPr>
        <w:tc>
          <w:tcPr>
            <w:tcW w:w="1276" w:type="dxa"/>
            <w:shd w:val="clear" w:color="auto" w:fill="auto"/>
            <w:vAlign w:val="center"/>
            <w:hideMark/>
          </w:tcPr>
          <w:p w14:paraId="66C8CD34" w14:textId="77777777" w:rsidR="00216CCA" w:rsidRPr="00BF0707" w:rsidRDefault="00216CCA" w:rsidP="00DB4768">
            <w:pPr>
              <w:spacing w:after="0" w:line="240" w:lineRule="auto"/>
              <w:ind w:firstLine="0"/>
              <w:jc w:val="left"/>
              <w:rPr>
                <w:rFonts w:eastAsia="Times New Roman" w:cs="Times New Roman"/>
                <w:color w:val="000000"/>
                <w:sz w:val="22"/>
                <w:lang w:val="en-US"/>
              </w:rPr>
            </w:pPr>
            <w:r w:rsidRPr="00BF0707">
              <w:rPr>
                <w:rFonts w:eastAsia="Times New Roman" w:cs="Times New Roman"/>
                <w:color w:val="000000"/>
                <w:sz w:val="22"/>
                <w:lang w:val="en-US"/>
              </w:rPr>
              <w:t>Percentage of company that use</w:t>
            </w:r>
          </w:p>
        </w:tc>
        <w:tc>
          <w:tcPr>
            <w:tcW w:w="1192" w:type="dxa"/>
            <w:shd w:val="clear" w:color="auto" w:fill="auto"/>
            <w:noWrap/>
            <w:vAlign w:val="center"/>
            <w:hideMark/>
          </w:tcPr>
          <w:p w14:paraId="40752573" w14:textId="77777777" w:rsidR="00216CCA" w:rsidRPr="00BF0707" w:rsidRDefault="00216CCA" w:rsidP="00DB4768">
            <w:pPr>
              <w:spacing w:after="0" w:line="240" w:lineRule="auto"/>
              <w:ind w:firstLine="0"/>
              <w:jc w:val="center"/>
              <w:rPr>
                <w:rFonts w:eastAsia="Times New Roman" w:cs="Times New Roman"/>
                <w:color w:val="000000"/>
                <w:sz w:val="22"/>
                <w:lang w:val="en-US"/>
              </w:rPr>
            </w:pPr>
            <w:r w:rsidRPr="00BF0707">
              <w:rPr>
                <w:rFonts w:eastAsia="Times New Roman" w:cs="Times New Roman"/>
                <w:color w:val="000000"/>
                <w:sz w:val="22"/>
                <w:lang w:val="en-US"/>
              </w:rPr>
              <w:t>100.00%</w:t>
            </w:r>
          </w:p>
        </w:tc>
        <w:tc>
          <w:tcPr>
            <w:tcW w:w="1218" w:type="dxa"/>
            <w:shd w:val="clear" w:color="auto" w:fill="auto"/>
            <w:noWrap/>
            <w:vAlign w:val="center"/>
            <w:hideMark/>
          </w:tcPr>
          <w:p w14:paraId="692A7348" w14:textId="77777777" w:rsidR="00216CCA" w:rsidRPr="00BF0707" w:rsidRDefault="00216CCA" w:rsidP="00DB4768">
            <w:pPr>
              <w:spacing w:after="0" w:line="240" w:lineRule="auto"/>
              <w:ind w:firstLine="0"/>
              <w:jc w:val="center"/>
              <w:rPr>
                <w:rFonts w:eastAsia="Times New Roman" w:cs="Times New Roman"/>
                <w:color w:val="000000"/>
                <w:sz w:val="22"/>
                <w:lang w:val="en-US"/>
              </w:rPr>
            </w:pPr>
            <w:r w:rsidRPr="00BF0707">
              <w:rPr>
                <w:rFonts w:eastAsia="Times New Roman" w:cs="Times New Roman"/>
                <w:color w:val="000000"/>
                <w:sz w:val="22"/>
                <w:lang w:val="en-US"/>
              </w:rPr>
              <w:t>83.33%</w:t>
            </w:r>
          </w:p>
        </w:tc>
        <w:tc>
          <w:tcPr>
            <w:tcW w:w="1271" w:type="dxa"/>
            <w:shd w:val="clear" w:color="auto" w:fill="auto"/>
            <w:noWrap/>
            <w:vAlign w:val="center"/>
            <w:hideMark/>
          </w:tcPr>
          <w:p w14:paraId="1C958E70" w14:textId="77777777" w:rsidR="00216CCA" w:rsidRPr="00BF0707" w:rsidRDefault="00216CCA" w:rsidP="00DB4768">
            <w:pPr>
              <w:spacing w:after="0" w:line="240" w:lineRule="auto"/>
              <w:ind w:firstLine="0"/>
              <w:jc w:val="center"/>
              <w:rPr>
                <w:rFonts w:eastAsia="Times New Roman" w:cs="Times New Roman"/>
                <w:color w:val="000000"/>
                <w:sz w:val="22"/>
                <w:lang w:val="en-US"/>
              </w:rPr>
            </w:pPr>
            <w:r w:rsidRPr="00BF0707">
              <w:rPr>
                <w:rFonts w:eastAsia="Times New Roman" w:cs="Times New Roman"/>
                <w:color w:val="000000"/>
                <w:sz w:val="22"/>
                <w:lang w:val="en-US"/>
              </w:rPr>
              <w:t>54.17%</w:t>
            </w:r>
          </w:p>
        </w:tc>
        <w:tc>
          <w:tcPr>
            <w:tcW w:w="1417" w:type="dxa"/>
            <w:shd w:val="clear" w:color="auto" w:fill="auto"/>
            <w:noWrap/>
            <w:vAlign w:val="center"/>
            <w:hideMark/>
          </w:tcPr>
          <w:p w14:paraId="30862D24" w14:textId="77777777" w:rsidR="00216CCA" w:rsidRPr="00BF0707" w:rsidRDefault="00216CCA" w:rsidP="00DB4768">
            <w:pPr>
              <w:spacing w:after="0" w:line="240" w:lineRule="auto"/>
              <w:ind w:firstLine="0"/>
              <w:jc w:val="center"/>
              <w:rPr>
                <w:rFonts w:eastAsia="Times New Roman" w:cs="Times New Roman"/>
                <w:color w:val="000000"/>
                <w:sz w:val="22"/>
                <w:lang w:val="en-US"/>
              </w:rPr>
            </w:pPr>
            <w:r w:rsidRPr="00BF0707">
              <w:rPr>
                <w:rFonts w:eastAsia="Times New Roman" w:cs="Times New Roman"/>
                <w:color w:val="000000"/>
                <w:sz w:val="22"/>
                <w:lang w:val="en-US"/>
              </w:rPr>
              <w:t>37.50%</w:t>
            </w:r>
          </w:p>
        </w:tc>
        <w:tc>
          <w:tcPr>
            <w:tcW w:w="1264" w:type="dxa"/>
            <w:shd w:val="clear" w:color="auto" w:fill="auto"/>
            <w:noWrap/>
            <w:vAlign w:val="center"/>
            <w:hideMark/>
          </w:tcPr>
          <w:p w14:paraId="267E7860" w14:textId="77777777" w:rsidR="00216CCA" w:rsidRPr="00BF0707" w:rsidRDefault="00216CCA" w:rsidP="00DB4768">
            <w:pPr>
              <w:spacing w:after="0" w:line="240" w:lineRule="auto"/>
              <w:ind w:firstLine="0"/>
              <w:jc w:val="center"/>
              <w:rPr>
                <w:rFonts w:eastAsia="Times New Roman" w:cs="Times New Roman"/>
                <w:color w:val="000000"/>
                <w:sz w:val="22"/>
                <w:lang w:val="en-US"/>
              </w:rPr>
            </w:pPr>
            <w:r w:rsidRPr="00BF0707">
              <w:rPr>
                <w:rFonts w:eastAsia="Times New Roman" w:cs="Times New Roman"/>
                <w:color w:val="000000"/>
                <w:sz w:val="22"/>
                <w:lang w:val="en-US"/>
              </w:rPr>
              <w:t>8%</w:t>
            </w:r>
          </w:p>
        </w:tc>
        <w:tc>
          <w:tcPr>
            <w:tcW w:w="856" w:type="dxa"/>
            <w:shd w:val="clear" w:color="auto" w:fill="auto"/>
            <w:noWrap/>
            <w:vAlign w:val="center"/>
            <w:hideMark/>
          </w:tcPr>
          <w:p w14:paraId="5CDCBA7D" w14:textId="77777777" w:rsidR="00216CCA" w:rsidRPr="00BF0707" w:rsidRDefault="00216CCA" w:rsidP="00DB4768">
            <w:pPr>
              <w:spacing w:after="0" w:line="240" w:lineRule="auto"/>
              <w:ind w:firstLine="0"/>
              <w:jc w:val="center"/>
              <w:rPr>
                <w:rFonts w:eastAsia="Times New Roman" w:cs="Times New Roman"/>
                <w:color w:val="000000"/>
                <w:sz w:val="22"/>
                <w:lang w:val="en-US"/>
              </w:rPr>
            </w:pPr>
            <w:r w:rsidRPr="00BF0707">
              <w:rPr>
                <w:rFonts w:eastAsia="Times New Roman" w:cs="Times New Roman"/>
                <w:color w:val="000000"/>
                <w:sz w:val="22"/>
                <w:lang w:val="en-US"/>
              </w:rPr>
              <w:t>21%</w:t>
            </w:r>
          </w:p>
        </w:tc>
        <w:tc>
          <w:tcPr>
            <w:tcW w:w="856" w:type="dxa"/>
            <w:shd w:val="clear" w:color="auto" w:fill="auto"/>
            <w:noWrap/>
            <w:vAlign w:val="center"/>
            <w:hideMark/>
          </w:tcPr>
          <w:p w14:paraId="1AEB2F6B" w14:textId="77777777" w:rsidR="00216CCA" w:rsidRPr="00BF0707" w:rsidRDefault="00216CCA" w:rsidP="00DB4768">
            <w:pPr>
              <w:spacing w:after="0" w:line="240" w:lineRule="auto"/>
              <w:ind w:firstLine="0"/>
              <w:jc w:val="center"/>
              <w:rPr>
                <w:rFonts w:eastAsia="Times New Roman" w:cs="Times New Roman"/>
                <w:color w:val="000000"/>
                <w:sz w:val="22"/>
                <w:lang w:val="en-US"/>
              </w:rPr>
            </w:pPr>
            <w:r w:rsidRPr="00BF0707">
              <w:rPr>
                <w:rFonts w:eastAsia="Times New Roman" w:cs="Times New Roman"/>
                <w:color w:val="000000"/>
                <w:sz w:val="22"/>
                <w:lang w:val="en-US"/>
              </w:rPr>
              <w:t>42%</w:t>
            </w:r>
          </w:p>
        </w:tc>
      </w:tr>
    </w:tbl>
    <w:p w14:paraId="5CC2A998" w14:textId="3CC38146" w:rsidR="00CE4EEA" w:rsidRDefault="00074701" w:rsidP="00142F12">
      <w:r>
        <w:lastRenderedPageBreak/>
        <w:t xml:space="preserve">The remuneration factors were presented as a proportion of the total operating expense of the organization. </w:t>
      </w:r>
      <w:r w:rsidR="00216CCA" w:rsidRPr="00AE0B3D">
        <w:t xml:space="preserve">From the </w:t>
      </w:r>
      <w:r w:rsidR="00216CCA">
        <w:t>research findings</w:t>
      </w:r>
      <w:r w:rsidR="00216CCA" w:rsidRPr="00AE0B3D">
        <w:t xml:space="preserve">, the main </w:t>
      </w:r>
      <w:r w:rsidR="00216CCA">
        <w:t xml:space="preserve">type of </w:t>
      </w:r>
      <w:r w:rsidR="00216CCA" w:rsidRPr="00AE0B3D">
        <w:t xml:space="preserve">remuneration identified was </w:t>
      </w:r>
      <w:r w:rsidR="00216CCA">
        <w:t xml:space="preserve">the </w:t>
      </w:r>
      <w:r w:rsidR="00216CCA" w:rsidRPr="00AE0B3D">
        <w:t xml:space="preserve">salary and benefits utilized by </w:t>
      </w:r>
      <w:r w:rsidR="00155D11">
        <w:t>most of</w:t>
      </w:r>
      <w:r w:rsidR="00216CCA" w:rsidRPr="00AE0B3D">
        <w:t xml:space="preserve"> the companies.</w:t>
      </w:r>
      <w:r w:rsidR="00CE4EEA">
        <w:t xml:space="preserve"> The finding concurs with those of </w:t>
      </w:r>
      <w:r w:rsidR="00CE4EEA">
        <w:rPr>
          <w:noProof/>
        </w:rPr>
        <w:t xml:space="preserve">Prouska </w:t>
      </w:r>
      <w:r w:rsidR="00CE4EEA">
        <w:rPr>
          <w:rFonts w:cs="Times New Roman"/>
          <w:noProof/>
        </w:rPr>
        <w:t>et al.</w:t>
      </w:r>
      <w:r w:rsidR="00CE4EEA">
        <w:rPr>
          <w:noProof/>
        </w:rPr>
        <w:t xml:space="preserve"> (2016) who reported that base salary was one of the most used </w:t>
      </w:r>
      <w:r w:rsidR="00B52AE3">
        <w:rPr>
          <w:noProof/>
        </w:rPr>
        <w:t xml:space="preserve">remuneration methods by organisation. The finding also complements the finding of Nyaribo and Nyakundi </w:t>
      </w:r>
      <w:r w:rsidR="00B52AE3">
        <w:rPr>
          <w:noProof/>
        </w:rPr>
        <w:fldChar w:fldCharType="begin" w:fldLock="1"/>
      </w:r>
      <w:r w:rsidR="00B52AE3">
        <w:rPr>
          <w:noProof/>
        </w:rPr>
        <w:instrText>ADDIN CSL_CITATION {"citationItems":[{"id":"ITEM-1","itemData":{"author":[{"dropping-particle":"","family":"Nyaribo","given":"Oburu Lewis","non-dropping-particle":"","parse-names":false,"suffix":""},{"dropping-particle":"","family":"Nyakundi","given":"Atambo Wallace","non-dropping-particle":"","parse-names":false,"suffix":""}],"container-title":"Imperial Journal of Interdisciplinary Research (IJIR)","id":"ITEM-1","issue":"6","issued":{"date-parts":[["2016"]]},"page":"103-126","title":"The Effect of Non-Financial Compensation on Employee Performance of Micro-Finance Institutions: A Case of Wakenya Pamoja Sacco, Kisii County, Kenya","type":"article-journal","volume":"2"},"uris":["http://www.mendeley.com/documents/?uuid=c2bd51ef-a788-423f-9058-c8b1d4123b57"]}],"mendeley":{"formattedCitation":"(Nyaribo &amp; Nyakundi, 2016)","manualFormatting":"(2016)","plainTextFormattedCitation":"(Nyaribo &amp; Nyakundi, 2016)","previouslyFormattedCitation":"(Nyaribo &amp; Nyakundi, 2016)"},"properties":{"noteIndex":0},"schema":"https://github.com/citation-style-language/schema/raw/master/csl-citation.json"}</w:instrText>
      </w:r>
      <w:r w:rsidR="00B52AE3">
        <w:rPr>
          <w:noProof/>
        </w:rPr>
        <w:fldChar w:fldCharType="separate"/>
      </w:r>
      <w:r w:rsidR="00B52AE3">
        <w:rPr>
          <w:noProof/>
        </w:rPr>
        <w:t>(2016)</w:t>
      </w:r>
      <w:r w:rsidR="00B52AE3">
        <w:rPr>
          <w:noProof/>
        </w:rPr>
        <w:fldChar w:fldCharType="end"/>
      </w:r>
      <w:r w:rsidR="00B52AE3">
        <w:rPr>
          <w:noProof/>
        </w:rPr>
        <w:t xml:space="preserve"> that not only does Kenyan organisation utilise non-financial </w:t>
      </w:r>
      <w:r w:rsidR="008A1B45">
        <w:rPr>
          <w:noProof/>
        </w:rPr>
        <w:t xml:space="preserve">rewards, they also use financial reward such as salary and bonuses. </w:t>
      </w:r>
    </w:p>
    <w:p w14:paraId="7B3AC487" w14:textId="429E59CB" w:rsidR="003C3791" w:rsidRDefault="00216CCA" w:rsidP="00142F12">
      <w:r w:rsidRPr="00AE0B3D">
        <w:t xml:space="preserve">The use of benefits as an important compensation factor was also concurred by </w:t>
      </w:r>
      <w:r w:rsidRPr="00AE0B3D">
        <w:rPr>
          <w:noProof/>
          <w:lang w:val="en-US"/>
        </w:rPr>
        <w:t xml:space="preserve">Klonoski </w:t>
      </w:r>
      <w:r w:rsidRPr="00AE0B3D">
        <w:rPr>
          <w:noProof/>
          <w:lang w:val="en-US"/>
        </w:rPr>
        <w:fldChar w:fldCharType="begin" w:fldLock="1"/>
      </w:r>
      <w:r w:rsidRPr="00AE0B3D">
        <w:rPr>
          <w:noProof/>
          <w:lang w:val="en-US"/>
        </w:rPr>
        <w:instrText>ADDIN CSL_CITATION {"citationItems":[{"id":"ITEM-1","itemData":{"DOI":"10.5296/ijhrs.v6i2.9314","abstract":"“Benefits” are offered to employees because they promote job satisfaction and increase organizational commitment. They are generally defined as forms of indirect or non-wage compensation, conceptualizations that are principally useful for accounting and tax purposes. A definition of “benefits” from a managerial perspective can help to clarify how they can be used to achieve employee satisfaction and commitment. This article includes a brief history of benefits, an international comparison of their usage, and a review of their most widely accepted definitions. A new definition of employee benefits is proposed.","author":[{"dropping-particle":"","family":"Klonoski","given":"Robert","non-dropping-particle":"","parse-names":false,"suffix":""}],"container-title":"International Journal of Human Resource Studies","id":"ITEM-1","issue":"2","issued":{"date-parts":[["2016"]]},"page":"52","title":"Defining Employee Benefits: A Managerial Perspective","type":"article-journal","volume":"6"},"uris":["http://www.mendeley.com/documents/?uuid=647f63d8-4405-44ef-b996-633cc52fb69c"]}],"mendeley":{"formattedCitation":"(Klonoski, 2016)","manualFormatting":"(2016)","plainTextFormattedCitation":"(Klonoski, 2016)","previouslyFormattedCitation":"(Klonoski, 2016)"},"properties":{"noteIndex":0},"schema":"https://github.com/citation-style-language/schema/raw/master/csl-citation.json"}</w:instrText>
      </w:r>
      <w:r w:rsidRPr="00AE0B3D">
        <w:rPr>
          <w:noProof/>
          <w:lang w:val="en-US"/>
        </w:rPr>
        <w:fldChar w:fldCharType="separate"/>
      </w:r>
      <w:r w:rsidRPr="00AE0B3D">
        <w:rPr>
          <w:noProof/>
          <w:lang w:val="en-US"/>
        </w:rPr>
        <w:t>(2016)</w:t>
      </w:r>
      <w:r w:rsidRPr="00AE0B3D">
        <w:rPr>
          <w:noProof/>
          <w:lang w:val="en-US"/>
        </w:rPr>
        <w:fldChar w:fldCharType="end"/>
      </w:r>
      <w:r w:rsidRPr="00AE0B3D">
        <w:rPr>
          <w:noProof/>
        </w:rPr>
        <w:t xml:space="preserve"> and </w:t>
      </w:r>
      <w:r w:rsidRPr="00AE0B3D">
        <w:rPr>
          <w:noProof/>
          <w:lang w:val="en-US"/>
        </w:rPr>
        <w:fldChar w:fldCharType="begin" w:fldLock="1"/>
      </w:r>
      <w:r w:rsidRPr="00AE0B3D">
        <w:rPr>
          <w:noProof/>
          <w:lang w:val="en-US"/>
        </w:rPr>
        <w:instrText>ADDIN CSL_CITATION {"citationItems":[{"id":"ITEM-1","itemData":{"author":[{"dropping-particle":"","family":"Hung","given":"Elysia","non-dropping-particle":"","parse-names":false,"suffix":""},{"dropping-particle":"","family":"Wang","given":"Kan","non-dropping-particle":"","parse-names":false,"suffix":""}],"container-title":"Cornell University","id":"ITEM-1","issued":{"date-parts":[["2017"]]},"title":"What are the Best in Class Non-Monetary ( e . g . Non-Bonus , Non-Stock , or Non-Salary ) Benefits for Innovation Based Companies ?","type":"article-journal"},"uris":["http://www.mendeley.com/documents/?uuid=9a16585f-219d-4ba4-9d81-61bfda15f6b0"]}],"mendeley":{"formattedCitation":"(Hung &amp; Wang, 2017)","manualFormatting":"Hung and Wang ( 2017)","plainTextFormattedCitation":"(Hung &amp; Wang, 2017)","previouslyFormattedCitation":"(Hung &amp; Wang, 2017)"},"properties":{"noteIndex":0},"schema":"https://github.com/citation-style-language/schema/raw/master/csl-citation.json"}</w:instrText>
      </w:r>
      <w:r w:rsidRPr="00AE0B3D">
        <w:rPr>
          <w:noProof/>
          <w:lang w:val="en-US"/>
        </w:rPr>
        <w:fldChar w:fldCharType="separate"/>
      </w:r>
      <w:r w:rsidRPr="00AE0B3D">
        <w:rPr>
          <w:noProof/>
          <w:lang w:val="en-US"/>
        </w:rPr>
        <w:t xml:space="preserve">Hung </w:t>
      </w:r>
      <w:r w:rsidRPr="00AE0B3D">
        <w:rPr>
          <w:noProof/>
        </w:rPr>
        <w:t xml:space="preserve">and </w:t>
      </w:r>
      <w:r w:rsidRPr="00AE0B3D">
        <w:rPr>
          <w:noProof/>
          <w:lang w:val="en-US"/>
        </w:rPr>
        <w:t>Wang</w:t>
      </w:r>
      <w:r w:rsidRPr="00AE0B3D">
        <w:rPr>
          <w:noProof/>
        </w:rPr>
        <w:t xml:space="preserve"> (</w:t>
      </w:r>
      <w:r w:rsidRPr="00AE0B3D">
        <w:rPr>
          <w:noProof/>
          <w:lang w:val="en-US"/>
        </w:rPr>
        <w:t xml:space="preserve"> 2017)</w:t>
      </w:r>
      <w:r w:rsidRPr="00AE0B3D">
        <w:rPr>
          <w:noProof/>
          <w:lang w:val="en-US"/>
        </w:rPr>
        <w:fldChar w:fldCharType="end"/>
      </w:r>
      <w:r>
        <w:rPr>
          <w:noProof/>
          <w:lang w:val="en-US"/>
        </w:rPr>
        <w:t>,</w:t>
      </w:r>
      <w:r w:rsidRPr="00AE0B3D">
        <w:rPr>
          <w:noProof/>
        </w:rPr>
        <w:t xml:space="preserve"> who recognized the importance of benefits on motivating employees. </w:t>
      </w:r>
      <w:r w:rsidRPr="00AE0B3D">
        <w:rPr>
          <w:noProof/>
          <w:lang w:val="en-US"/>
        </w:rPr>
        <w:t xml:space="preserve">Klonoski </w:t>
      </w:r>
      <w:r w:rsidRPr="00AE0B3D">
        <w:rPr>
          <w:noProof/>
          <w:lang w:val="en-US"/>
        </w:rPr>
        <w:fldChar w:fldCharType="begin" w:fldLock="1"/>
      </w:r>
      <w:r w:rsidRPr="00AE0B3D">
        <w:rPr>
          <w:noProof/>
          <w:lang w:val="en-US"/>
        </w:rPr>
        <w:instrText>ADDIN CSL_CITATION {"citationItems":[{"id":"ITEM-1","itemData":{"DOI":"10.5296/ijhrs.v6i2.9314","abstract":"“Benefits” are offered to employees because they promote job satisfaction and increase organizational commitment. They are generally defined as forms of indirect or non-wage compensation, conceptualizations that are principally useful for accounting and tax purposes. A definition of “benefits” from a managerial perspective can help to clarify how they can be used to achieve employee satisfaction and commitment. This article includes a brief history of benefits, an international comparison of their usage, and a review of their most widely accepted definitions. A new definition of employee benefits is proposed.","author":[{"dropping-particle":"","family":"Klonoski","given":"Robert","non-dropping-particle":"","parse-names":false,"suffix":""}],"container-title":"International Journal of Human Resource Studies","id":"ITEM-1","issue":"2","issued":{"date-parts":[["2016"]]},"page":"52","title":"Defining Employee Benefits: A Managerial Perspective","type":"article-journal","volume":"6"},"uris":["http://www.mendeley.com/documents/?uuid=647f63d8-4405-44ef-b996-633cc52fb69c"]}],"mendeley":{"formattedCitation":"(Klonoski, 2016)","manualFormatting":"(2016)","plainTextFormattedCitation":"(Klonoski, 2016)","previouslyFormattedCitation":"(Klonoski, 2016)"},"properties":{"noteIndex":0},"schema":"https://github.com/citation-style-language/schema/raw/master/csl-citation.json"}</w:instrText>
      </w:r>
      <w:r w:rsidRPr="00AE0B3D">
        <w:rPr>
          <w:noProof/>
          <w:lang w:val="en-US"/>
        </w:rPr>
        <w:fldChar w:fldCharType="separate"/>
      </w:r>
      <w:r w:rsidRPr="00AE0B3D">
        <w:rPr>
          <w:noProof/>
          <w:lang w:val="en-US"/>
        </w:rPr>
        <w:t>(2016)</w:t>
      </w:r>
      <w:r w:rsidRPr="00AE0B3D">
        <w:rPr>
          <w:noProof/>
          <w:lang w:val="en-US"/>
        </w:rPr>
        <w:fldChar w:fldCharType="end"/>
      </w:r>
      <w:r w:rsidRPr="00AE0B3D">
        <w:rPr>
          <w:noProof/>
        </w:rPr>
        <w:t xml:space="preserve"> also identified that there are various benefits that organisations can utilise to compensate their employees and influence their perfomance. </w:t>
      </w:r>
      <w:r w:rsidRPr="00AE0B3D">
        <w:t xml:space="preserve">Some companies had bonuses which varied depending on the performance of the organization. The payment of bonus thus can relate to pay for performance strategies that has been utilized by the organization with the aim of motivating the top management to perform better. </w:t>
      </w:r>
    </w:p>
    <w:p w14:paraId="3214ABDB" w14:textId="05B9B760" w:rsidR="00941B7D" w:rsidRDefault="003C3791" w:rsidP="00142F12">
      <w:r>
        <w:t>Moreover, t</w:t>
      </w:r>
      <w:r w:rsidR="00216CCA" w:rsidRPr="00AE0B3D">
        <w:t xml:space="preserve">he findings concur with that of </w:t>
      </w:r>
      <w:r w:rsidR="00216CCA" w:rsidRPr="00AE0B3D">
        <w:rPr>
          <w:noProof/>
          <w:lang w:val="en-US"/>
        </w:rPr>
        <w:t xml:space="preserve">Sajuyigbe et al. </w:t>
      </w:r>
      <w:r w:rsidR="00216CCA" w:rsidRPr="00AE0B3D">
        <w:rPr>
          <w:lang w:val="en-US"/>
        </w:rPr>
        <w:fldChar w:fldCharType="begin" w:fldLock="1"/>
      </w:r>
      <w:r w:rsidR="00216CCA" w:rsidRPr="00AE0B3D">
        <w:rPr>
          <w:lang w:val="en-US"/>
        </w:rPr>
        <w:instrText>ADDIN CSL_CITATION {"citationItems":[{"id":"ITEM-1","itemData":{"ISSN":"03164004","abstract":"From premium office grades to whitetop to testliner, new formulations and combinations of internal, and surface sizing are helping papermakers improve aethetics, printability, and more, depending upon the grade. At the same time, production headaches, resulting from mill closure and the use of lower quality fibre resources, call for next generation sizing products to perform under harsh conditions.","author":[{"dropping-particle":"","family":"Sajuyigbe","given":"A. S.","non-dropping-particle":"","parse-names":false,"suffix":""},{"dropping-particle":"","family":"Olaoye","given":"Bosede .O","non-dropping-particle":"","parse-names":false,"suffix":""},{"dropping-particle":"","family":"Adeyemi","given":"M.A","non-dropping-particle":"","parse-names":false,"suffix":""}],"container-title":"International Journal of Arts and Commerce","id":"ITEM-1","issue":"2","issued":{"date-parts":[["2013"]]},"title":"Innovations in size coming on strong","type":"article-journal","volume":"2"},"uris":["http://www.mendeley.com/documents/?uuid=2242b9ca-ff53-4f9a-af0f-ac96ad1e9ce7"]}],"mendeley":{"formattedCitation":"(Sajuyigbe et al., 2013)","manualFormatting":"(2013)","plainTextFormattedCitation":"(Sajuyigbe et al., 2013)","previouslyFormattedCitation":"(Sajuyigbe et al., 2013)"},"properties":{"noteIndex":0},"schema":"https://github.com/citation-style-language/schema/raw/master/csl-citation.json"}</w:instrText>
      </w:r>
      <w:r w:rsidR="00216CCA" w:rsidRPr="00AE0B3D">
        <w:rPr>
          <w:lang w:val="en-US"/>
        </w:rPr>
        <w:fldChar w:fldCharType="separate"/>
      </w:r>
      <w:r w:rsidR="00216CCA" w:rsidRPr="00AE0B3D">
        <w:rPr>
          <w:noProof/>
          <w:lang w:val="en-US"/>
        </w:rPr>
        <w:t>(2013)</w:t>
      </w:r>
      <w:r w:rsidR="00216CCA" w:rsidRPr="00AE0B3D">
        <w:rPr>
          <w:lang w:val="en-US"/>
        </w:rPr>
        <w:fldChar w:fldCharType="end"/>
      </w:r>
      <w:r w:rsidR="00216CCA">
        <w:rPr>
          <w:lang w:val="en-US"/>
        </w:rPr>
        <w:t>,</w:t>
      </w:r>
      <w:r w:rsidR="00216CCA" w:rsidRPr="00AE0B3D">
        <w:t xml:space="preserve"> who identified that bonus is an extrinsic reward that play</w:t>
      </w:r>
      <w:r w:rsidR="00216CCA">
        <w:t>s</w:t>
      </w:r>
      <w:r w:rsidR="00216CCA" w:rsidRPr="00AE0B3D">
        <w:t xml:space="preserve"> a crucial role in motivating of employees and enhancing their performance. Shares w</w:t>
      </w:r>
      <w:r w:rsidR="00216CCA">
        <w:t>ere</w:t>
      </w:r>
      <w:r w:rsidR="00216CCA" w:rsidRPr="00AE0B3D">
        <w:t xml:space="preserve"> another remuneration method that w</w:t>
      </w:r>
      <w:r w:rsidR="00216CCA">
        <w:t>as</w:t>
      </w:r>
      <w:r w:rsidR="00216CCA" w:rsidRPr="00AE0B3D">
        <w:t xml:space="preserve"> utilized by some of the companies. Even so, not all the companies had adopted the strategy as a method of paying </w:t>
      </w:r>
      <w:r w:rsidR="00216CCA">
        <w:t>for</w:t>
      </w:r>
      <w:r w:rsidR="00216CCA" w:rsidRPr="00AE0B3D">
        <w:t xml:space="preserve"> their top employees. Share </w:t>
      </w:r>
      <w:r w:rsidR="009C5BAE">
        <w:t>was</w:t>
      </w:r>
      <w:r w:rsidR="00216CCA" w:rsidRPr="00AE0B3D">
        <w:t xml:space="preserve"> an </w:t>
      </w:r>
      <w:r w:rsidR="00216CCA" w:rsidRPr="00AE0B3D">
        <w:rPr>
          <w:noProof/>
          <w:lang w:val="en-US"/>
        </w:rPr>
        <w:t>equity</w:t>
      </w:r>
      <w:r w:rsidR="00216CCA">
        <w:rPr>
          <w:noProof/>
          <w:lang w:val="en-US"/>
        </w:rPr>
        <w:t>-</w:t>
      </w:r>
      <w:r w:rsidR="00216CCA" w:rsidRPr="00AE0B3D">
        <w:rPr>
          <w:noProof/>
          <w:lang w:val="en-US"/>
        </w:rPr>
        <w:t>based compensation or remuneration</w:t>
      </w:r>
      <w:r w:rsidR="00216CCA">
        <w:rPr>
          <w:noProof/>
          <w:lang w:val="en-US"/>
        </w:rPr>
        <w:t>,</w:t>
      </w:r>
      <w:r w:rsidR="00216CCA" w:rsidRPr="00AE0B3D">
        <w:rPr>
          <w:noProof/>
        </w:rPr>
        <w:t xml:space="preserve"> although</w:t>
      </w:r>
      <w:r w:rsidR="00216CCA">
        <w:rPr>
          <w:noProof/>
        </w:rPr>
        <w:t>,</w:t>
      </w:r>
      <w:r w:rsidR="00216CCA" w:rsidRPr="00AE0B3D">
        <w:rPr>
          <w:noProof/>
        </w:rPr>
        <w:t xml:space="preserve"> as evident from the finding</w:t>
      </w:r>
      <w:r w:rsidR="007F1FAC">
        <w:rPr>
          <w:noProof/>
        </w:rPr>
        <w:t>s</w:t>
      </w:r>
      <w:r w:rsidR="00216CCA">
        <w:rPr>
          <w:noProof/>
        </w:rPr>
        <w:t>,</w:t>
      </w:r>
      <w:r w:rsidR="00216CCA" w:rsidRPr="00AE0B3D">
        <w:rPr>
          <w:noProof/>
        </w:rPr>
        <w:t xml:space="preserve"> it has not been widely adopted by majority of public listed companies. The use of share as part of remunerations concurs with </w:t>
      </w:r>
      <w:r w:rsidR="00216CCA" w:rsidRPr="00AE0B3D">
        <w:rPr>
          <w:noProof/>
        </w:rPr>
        <w:lastRenderedPageBreak/>
        <w:t xml:space="preserve">the findings of </w:t>
      </w:r>
      <w:r w:rsidR="00216CCA" w:rsidRPr="00AE0B3D">
        <w:rPr>
          <w:lang w:val="en-US"/>
        </w:rPr>
        <w:fldChar w:fldCharType="begin" w:fldLock="1"/>
      </w:r>
      <w:r w:rsidR="00216CCA" w:rsidRPr="00AE0B3D">
        <w:rPr>
          <w:lang w:val="en-US"/>
        </w:rPr>
        <w:instrText>ADDIN CSL_CITATION {"citationItems":[{"id":"ITEM-1","itemData":{"DOI":"10.1111/corg.12127","ISSN":"14678683","abstract":"Manuscript Type: Empirical Research Question/Issue: This paper investigates whether corporate payout policies (dividends, share repurchases, a combination of dividends and share repurchases, and full earnings retention) are set by CEOs who intend to maximize their personal wealth. Research Findings/Insights: For all listed UK companies we study whether the payout channel choice is affected by investor sentiment, taxation, major shareholder ownership, and in particular the CEO's compensation package. The payout choice has an immediate effect on the value of the CEO's stock options and restricted stock, as anticipated dividends drive down the value of his equity-based pay (if it is not dividend-protected), and share repurchases have a positive impact on pay. By means of a quantile regression approach and nested logit models, we find that CEOs adopt a payout policy that increases the value of their equity-based pay. Theoretical/Academic Implications: Traditional research shows that corporate payout policies cater to shareholder clienteles who have preferences for specific types of payout induced by e.g. differences in taxation on dividends and capital gains, or market sentiment. We demonstrate that it is a CEO's personal wealth as reflected by his compensation package rather than shareholder preferences that has the strongest impact on the payout policy. Practitioner/Policy Implications: This research encourages firms/remuneration consultants to make top management's remuneration packages 'dividend-neutral', in other words to remove the negative impact of the dividends on pay such that the payout and payout channel choice will not be influenced by the CEO's wealth. In addition, this research encourages shareholders to contemplate whether the payout is beneficial for them and to vote on the proposed payout policy at the annual general meetings.","author":[{"dropping-particle":"","family":"Geiler","given":"Philipp","non-dropping-particle":"","parse-names":false,"suffix":""}],"container-title":"Corporate Governance: An International Review","id":"ITEM-1","issued":{"date-parts":[["2013"]]},"title":"Executive Remuneration and the Payout Decision","type":"article-journal","volume":"33"},"uris":["http://www.mendeley.com/documents/?uuid=4793b6d8-99cd-4be2-ab36-bbee49b71bc8"]}],"mendeley":{"formattedCitation":"(Geiler, 2013)","manualFormatting":"Geiler (2013)","plainTextFormattedCitation":"(Geiler, 2013)","previouslyFormattedCitation":"(Geiler, 2013)"},"properties":{"noteIndex":0},"schema":"https://github.com/citation-style-language/schema/raw/master/csl-citation.json"}</w:instrText>
      </w:r>
      <w:r w:rsidR="00216CCA" w:rsidRPr="00AE0B3D">
        <w:rPr>
          <w:lang w:val="en-US"/>
        </w:rPr>
        <w:fldChar w:fldCharType="separate"/>
      </w:r>
      <w:r w:rsidR="00216CCA" w:rsidRPr="00AE0B3D">
        <w:rPr>
          <w:noProof/>
          <w:lang w:val="en-US"/>
        </w:rPr>
        <w:t>Geiler</w:t>
      </w:r>
      <w:r w:rsidR="00216CCA" w:rsidRPr="00AE0B3D">
        <w:rPr>
          <w:noProof/>
        </w:rPr>
        <w:t xml:space="preserve"> (</w:t>
      </w:r>
      <w:r w:rsidR="00216CCA" w:rsidRPr="00AE0B3D">
        <w:rPr>
          <w:noProof/>
          <w:lang w:val="en-US"/>
        </w:rPr>
        <w:t>2013)</w:t>
      </w:r>
      <w:r w:rsidR="00216CCA" w:rsidRPr="00AE0B3D">
        <w:rPr>
          <w:lang w:val="en-US"/>
        </w:rPr>
        <w:fldChar w:fldCharType="end"/>
      </w:r>
      <w:r w:rsidR="00216CCA" w:rsidRPr="00AE0B3D">
        <w:t xml:space="preserve"> and </w:t>
      </w:r>
      <w:r w:rsidR="00216CCA" w:rsidRPr="00AE0B3D">
        <w:rPr>
          <w:noProof/>
        </w:rPr>
        <w:t>Manzaneque, Merino, and Banegas</w:t>
      </w:r>
      <w:r w:rsidR="00216CCA" w:rsidRPr="00AE0B3D">
        <w:rPr>
          <w:lang w:val="en-US"/>
        </w:rPr>
        <w:t xml:space="preserve"> </w:t>
      </w:r>
      <w:sdt>
        <w:sdtPr>
          <w:rPr>
            <w:lang w:val="en-US"/>
          </w:rPr>
          <w:id w:val="-410548349"/>
          <w:citation/>
        </w:sdtPr>
        <w:sdtEndPr/>
        <w:sdtContent>
          <w:r w:rsidR="00216CCA" w:rsidRPr="00AE0B3D">
            <w:rPr>
              <w:lang w:val="en-US"/>
            </w:rPr>
            <w:fldChar w:fldCharType="begin"/>
          </w:r>
          <w:r w:rsidR="00216CCA" w:rsidRPr="00AE0B3D">
            <w:instrText xml:space="preserve">CITATION Man163 \n  \t  \l 2057 </w:instrText>
          </w:r>
          <w:r w:rsidR="00216CCA" w:rsidRPr="00AE0B3D">
            <w:rPr>
              <w:lang w:val="en-US"/>
            </w:rPr>
            <w:fldChar w:fldCharType="separate"/>
          </w:r>
          <w:r w:rsidR="00216CCA" w:rsidRPr="00AE0B3D">
            <w:rPr>
              <w:noProof/>
            </w:rPr>
            <w:t>(2016)</w:t>
          </w:r>
          <w:r w:rsidR="00216CCA" w:rsidRPr="00AE0B3D">
            <w:rPr>
              <w:lang w:val="en-US"/>
            </w:rPr>
            <w:fldChar w:fldCharType="end"/>
          </w:r>
        </w:sdtContent>
      </w:sdt>
      <w:r w:rsidR="00216CCA" w:rsidRPr="00AE0B3D">
        <w:t xml:space="preserve"> who recognized that the Shares is an important motivator for top management of organization.</w:t>
      </w:r>
    </w:p>
    <w:p w14:paraId="54AD25F3" w14:textId="1AAD5C37" w:rsidR="00216CCA" w:rsidRPr="00AE0B3D" w:rsidRDefault="00216CCA" w:rsidP="00142F12">
      <w:r>
        <w:t xml:space="preserve"> </w:t>
      </w:r>
      <w:r w:rsidRPr="00AE0B3D">
        <w:t xml:space="preserve">Furthermore, most of the companies were identified to utilize a combination of different remuneration strategies as a method of motivating their top management. The findings concurs with those of </w:t>
      </w:r>
      <w:r w:rsidRPr="00AE0B3D">
        <w:rPr>
          <w:noProof/>
          <w:lang w:val="en-US"/>
        </w:rPr>
        <w:t>Zameer et al.</w:t>
      </w:r>
      <w:r w:rsidRPr="00AE0B3D">
        <w:rPr>
          <w:noProof/>
          <w:lang w:val="en-US"/>
        </w:rPr>
        <w:fldChar w:fldCharType="begin" w:fldLock="1"/>
      </w:r>
      <w:r w:rsidR="00BD7F46">
        <w:rPr>
          <w:noProof/>
          <w:lang w:val="en-US"/>
        </w:rPr>
        <w:instrText>ADDIN CSL_CITATION {"citationItems":[{"id":"ITEM-1","itemData":{"DOI":"10.6007/ijarafms/v4-i1/630","ISSN":"2225-8329","abstract":"Motivation plays an important role in all public and private organizations. Without motivating their employees organizations can't run and can't achieve their goals. Purpose of present study is to explore the impact of motivation on employee's performance of beverage industry in Pakistan. The data for present study has been collected from five major cities of Pakistan using structured questionnaire. Results from present study explores that motivation plays a vital role toward the performance of employees in beverage industry of Pakistan.","author":[{"dropping-particle":"","family":"Zameer","given":"Hashim","non-dropping-particle":"","parse-names":false,"suffix":""},{"dropping-particle":"","family":"Alireza","given":"Shehzad","non-dropping-particle":"","parse-names":false,"suffix":""},{"dropping-particle":"","family":"Nisar","given":"Waqar","non-dropping-particle":"","parse-names":false,"suffix":""},{"dropping-particle":"","family":"Amir","given":"Muhammad","non-dropping-particle":"","parse-names":false,"suffix":""}],"container-title":"International Journal of Academic Research in Accounting, Finance and Management Sciences","id":"ITEM-1","issue":"1","issued":{"date-parts":[["2014"]]},"page":"293-298","title":"The Impact of the Motivation on the Employeeâ</w:instrText>
      </w:r>
      <w:r w:rsidR="00BD7F46">
        <w:rPr>
          <w:rFonts w:cs="Times New Roman"/>
          <w:noProof/>
          <w:lang w:val="en-US"/>
        </w:rPr>
        <w:instrText>™</w:instrText>
      </w:r>
      <w:r w:rsidR="00BD7F46">
        <w:rPr>
          <w:noProof/>
          <w:lang w:val="en-US"/>
        </w:rPr>
        <w:instrText>s Performance in Beverage Industry of Pakistan","type":"article-journal","volume":"4"},"uris":["http://www.mendeley.com/documents/?uuid=76654b53-1b0c-4f7a-be65-9d76183624eb"]}],"mendeley":{"formattedCitation":"(Zameer et al., 2014)","manualFormatting":"( 2014)","plainTextFormattedCitation":"(Zameer et al., 2014)","previouslyFormattedCitation":"(Zameer et al., 2014)"},"properties":{"noteIndex":0},"schema":"https://github.com/citation-style-language/schema/raw/master/csl-citation.json"}</w:instrText>
      </w:r>
      <w:r w:rsidRPr="00AE0B3D">
        <w:rPr>
          <w:noProof/>
          <w:lang w:val="en-US"/>
        </w:rPr>
        <w:fldChar w:fldCharType="separate"/>
      </w:r>
      <w:r w:rsidRPr="00AE0B3D">
        <w:rPr>
          <w:noProof/>
          <w:lang w:val="en-US"/>
        </w:rPr>
        <w:t>( 2014)</w:t>
      </w:r>
      <w:r w:rsidRPr="00AE0B3D">
        <w:rPr>
          <w:noProof/>
          <w:lang w:val="en-US"/>
        </w:rPr>
        <w:fldChar w:fldCharType="end"/>
      </w:r>
      <w:r w:rsidRPr="00AE0B3D">
        <w:rPr>
          <w:noProof/>
        </w:rPr>
        <w:t xml:space="preserve"> who identified that the majority of the organisation utilise a combination of different management remuneration strategies for the top management.</w:t>
      </w:r>
    </w:p>
    <w:p w14:paraId="35803D51" w14:textId="77777777" w:rsidR="00565484" w:rsidRPr="00AE0B3D" w:rsidRDefault="00565484" w:rsidP="00012323">
      <w:pPr>
        <w:pStyle w:val="Heading3"/>
        <w:jc w:val="center"/>
      </w:pPr>
      <w:bookmarkStart w:id="73" w:name="_Toc78067533"/>
      <w:r w:rsidRPr="00AE0B3D">
        <w:t>Financial performance of public listed companies</w:t>
      </w:r>
      <w:bookmarkEnd w:id="73"/>
    </w:p>
    <w:p w14:paraId="13BD2F56" w14:textId="7534909D" w:rsidR="00565484" w:rsidRPr="00AE0B3D" w:rsidRDefault="00565484" w:rsidP="00740401">
      <w:r w:rsidRPr="00AE0B3D">
        <w:t xml:space="preserve">The financial performance of the public listed companies was evaluated in the research study using </w:t>
      </w:r>
      <w:r w:rsidR="007B7159">
        <w:t>return on assets (ROA)</w:t>
      </w:r>
      <w:r w:rsidR="007B7159" w:rsidRPr="00AE0B3D">
        <w:t xml:space="preserve"> </w:t>
      </w:r>
      <w:r w:rsidRPr="00AE0B3D">
        <w:t xml:space="preserve">and </w:t>
      </w:r>
      <w:bookmarkStart w:id="74" w:name="_Hlk31744853"/>
      <w:r w:rsidRPr="00AE0B3D">
        <w:t>return on equity</w:t>
      </w:r>
      <w:bookmarkEnd w:id="74"/>
      <w:r w:rsidRPr="00AE0B3D">
        <w:t xml:space="preserve"> (ROE) as the main measures of performance for t</w:t>
      </w:r>
      <w:r w:rsidR="003C7965" w:rsidRPr="00AE0B3D">
        <w:t>he financial years 2016, 2017 and 2018</w:t>
      </w:r>
      <w:r w:rsidRPr="00AE0B3D">
        <w:t>.</w:t>
      </w:r>
    </w:p>
    <w:p w14:paraId="0CC0BD81" w14:textId="5FE81BEE" w:rsidR="00565484" w:rsidRPr="00AE0B3D" w:rsidRDefault="00B9743C" w:rsidP="00012323">
      <w:pPr>
        <w:pStyle w:val="Heading4"/>
        <w:jc w:val="center"/>
      </w:pPr>
      <w:r>
        <w:t>R</w:t>
      </w:r>
      <w:r w:rsidRPr="00AE0B3D">
        <w:t xml:space="preserve">eturn on </w:t>
      </w:r>
      <w:r>
        <w:t>E</w:t>
      </w:r>
      <w:r w:rsidRPr="00AE0B3D">
        <w:t>quity</w:t>
      </w:r>
    </w:p>
    <w:p w14:paraId="33B82F10" w14:textId="77777777" w:rsidR="00DB4768" w:rsidRDefault="00E10DCE">
      <w:pPr>
        <w:autoSpaceDE w:val="0"/>
        <w:autoSpaceDN w:val="0"/>
        <w:adjustRightInd w:val="0"/>
        <w:spacing w:after="0"/>
        <w:rPr>
          <w:rFonts w:cs="Times New Roman"/>
          <w:szCs w:val="24"/>
        </w:rPr>
      </w:pPr>
      <w:r>
        <w:rPr>
          <w:rFonts w:cs="Times New Roman"/>
          <w:szCs w:val="24"/>
        </w:rPr>
        <w:t xml:space="preserve">The financial performance of the public listed company was </w:t>
      </w:r>
      <w:r w:rsidR="00CF0FEA">
        <w:rPr>
          <w:rFonts w:cs="Times New Roman"/>
          <w:szCs w:val="24"/>
        </w:rPr>
        <w:t>undertaken through</w:t>
      </w:r>
      <w:r>
        <w:rPr>
          <w:rFonts w:cs="Times New Roman"/>
          <w:szCs w:val="24"/>
        </w:rPr>
        <w:t xml:space="preserve"> analysing the </w:t>
      </w:r>
      <w:r w:rsidRPr="00AE0B3D">
        <w:rPr>
          <w:rFonts w:cs="Times New Roman"/>
          <w:szCs w:val="24"/>
        </w:rPr>
        <w:t>return on equity</w:t>
      </w:r>
      <w:r>
        <w:rPr>
          <w:rFonts w:cs="Times New Roman"/>
          <w:szCs w:val="24"/>
        </w:rPr>
        <w:t xml:space="preserve"> of sampled companies and the summarized information presented in table 2. </w:t>
      </w:r>
      <w:r w:rsidR="00565484" w:rsidRPr="00AE0B3D">
        <w:rPr>
          <w:rFonts w:cs="Times New Roman"/>
          <w:szCs w:val="24"/>
        </w:rPr>
        <w:t>The findings showed that</w:t>
      </w:r>
      <w:r w:rsidR="000D3D1A" w:rsidRPr="00AE0B3D">
        <w:rPr>
          <w:rFonts w:cs="Times New Roman"/>
          <w:szCs w:val="24"/>
        </w:rPr>
        <w:t xml:space="preserve"> C2</w:t>
      </w:r>
      <w:r w:rsidR="00565484" w:rsidRPr="00AE0B3D">
        <w:rPr>
          <w:rFonts w:cs="Times New Roman"/>
          <w:szCs w:val="24"/>
        </w:rPr>
        <w:t xml:space="preserve"> had the best </w:t>
      </w:r>
      <w:r w:rsidR="0009551E" w:rsidRPr="00AE0B3D">
        <w:rPr>
          <w:rFonts w:cs="Times New Roman"/>
          <w:szCs w:val="24"/>
        </w:rPr>
        <w:t xml:space="preserve">average </w:t>
      </w:r>
      <w:r w:rsidR="00565484" w:rsidRPr="00AE0B3D">
        <w:rPr>
          <w:rFonts w:cs="Times New Roman"/>
          <w:szCs w:val="24"/>
        </w:rPr>
        <w:t>ROE</w:t>
      </w:r>
      <w:r w:rsidR="0009551E" w:rsidRPr="00AE0B3D">
        <w:rPr>
          <w:rFonts w:cs="Times New Roman"/>
          <w:szCs w:val="24"/>
        </w:rPr>
        <w:t xml:space="preserve"> of 0.4</w:t>
      </w:r>
      <w:r w:rsidR="002F5E55" w:rsidRPr="00AE0B3D">
        <w:rPr>
          <w:rFonts w:cs="Times New Roman"/>
          <w:szCs w:val="24"/>
        </w:rPr>
        <w:t>0</w:t>
      </w:r>
      <w:r w:rsidR="00873DB1">
        <w:rPr>
          <w:rFonts w:cs="Times New Roman"/>
          <w:szCs w:val="24"/>
        </w:rPr>
        <w:t>8</w:t>
      </w:r>
      <w:r w:rsidR="00CF0FEA">
        <w:rPr>
          <w:rFonts w:cs="Times New Roman"/>
          <w:szCs w:val="24"/>
        </w:rPr>
        <w:t xml:space="preserve"> within </w:t>
      </w:r>
      <w:r w:rsidR="00C372AF">
        <w:rPr>
          <w:rFonts w:cs="Times New Roman"/>
          <w:szCs w:val="24"/>
        </w:rPr>
        <w:t>the three year</w:t>
      </w:r>
      <w:r w:rsidR="00C21B81">
        <w:rPr>
          <w:rFonts w:cs="Times New Roman"/>
          <w:szCs w:val="24"/>
        </w:rPr>
        <w:t>s</w:t>
      </w:r>
      <w:r w:rsidR="00565484" w:rsidRPr="00AE0B3D">
        <w:rPr>
          <w:rFonts w:cs="Times New Roman"/>
          <w:szCs w:val="24"/>
        </w:rPr>
        <w:t xml:space="preserve">. Other </w:t>
      </w:r>
      <w:r w:rsidR="00C372AF">
        <w:rPr>
          <w:rFonts w:cs="Times New Roman"/>
          <w:szCs w:val="24"/>
        </w:rPr>
        <w:t>companies that had high average perform</w:t>
      </w:r>
      <w:r w:rsidR="00EC7FAA">
        <w:rPr>
          <w:rFonts w:cs="Times New Roman"/>
          <w:szCs w:val="24"/>
        </w:rPr>
        <w:t>ance</w:t>
      </w:r>
      <w:r w:rsidR="00C372AF">
        <w:rPr>
          <w:rFonts w:cs="Times New Roman"/>
          <w:szCs w:val="24"/>
        </w:rPr>
        <w:t xml:space="preserve"> as measured</w:t>
      </w:r>
      <w:r w:rsidR="00840BB3">
        <w:rPr>
          <w:rFonts w:cs="Times New Roman"/>
          <w:szCs w:val="24"/>
        </w:rPr>
        <w:t xml:space="preserve"> by the</w:t>
      </w:r>
    </w:p>
    <w:p w14:paraId="5932BE86" w14:textId="2471F773" w:rsidR="00565484" w:rsidRDefault="00B663EF" w:rsidP="00750E0F">
      <w:pPr>
        <w:autoSpaceDE w:val="0"/>
        <w:autoSpaceDN w:val="0"/>
        <w:adjustRightInd w:val="0"/>
        <w:spacing w:after="0"/>
        <w:ind w:firstLine="0"/>
      </w:pPr>
      <w:r>
        <w:rPr>
          <w:rFonts w:cs="Times New Roman"/>
          <w:szCs w:val="24"/>
        </w:rPr>
        <w:t xml:space="preserve">ROE of the three years included C22 (0.280) </w:t>
      </w:r>
      <w:r w:rsidRPr="00AE0B3D">
        <w:rPr>
          <w:rFonts w:cs="Times New Roman"/>
          <w:szCs w:val="24"/>
        </w:rPr>
        <w:t>C3 (0.20), C1</w:t>
      </w:r>
      <w:r>
        <w:rPr>
          <w:rFonts w:cs="Times New Roman"/>
          <w:szCs w:val="24"/>
        </w:rPr>
        <w:t>7</w:t>
      </w:r>
      <w:r w:rsidRPr="00AE0B3D">
        <w:rPr>
          <w:rFonts w:cs="Times New Roman"/>
          <w:szCs w:val="24"/>
        </w:rPr>
        <w:t xml:space="preserve"> (0.20)</w:t>
      </w:r>
      <w:r>
        <w:rPr>
          <w:rFonts w:cs="Times New Roman"/>
          <w:szCs w:val="24"/>
        </w:rPr>
        <w:t xml:space="preserve"> </w:t>
      </w:r>
      <w:r w:rsidRPr="00AE0B3D">
        <w:rPr>
          <w:rFonts w:cs="Times New Roman"/>
          <w:szCs w:val="24"/>
        </w:rPr>
        <w:t>C</w:t>
      </w:r>
      <w:r>
        <w:rPr>
          <w:rFonts w:cs="Times New Roman"/>
          <w:szCs w:val="24"/>
        </w:rPr>
        <w:t>7</w:t>
      </w:r>
      <w:r w:rsidRPr="00AE0B3D">
        <w:rPr>
          <w:rFonts w:cs="Times New Roman"/>
          <w:szCs w:val="24"/>
        </w:rPr>
        <w:t xml:space="preserve"> (0.1</w:t>
      </w:r>
      <w:r>
        <w:rPr>
          <w:rFonts w:cs="Times New Roman"/>
          <w:szCs w:val="24"/>
        </w:rPr>
        <w:t>6</w:t>
      </w:r>
      <w:r w:rsidRPr="00AE0B3D">
        <w:rPr>
          <w:rFonts w:cs="Times New Roman"/>
          <w:szCs w:val="24"/>
        </w:rPr>
        <w:t>),</w:t>
      </w:r>
      <w:r>
        <w:rPr>
          <w:rFonts w:cs="Times New Roman"/>
          <w:szCs w:val="24"/>
        </w:rPr>
        <w:t xml:space="preserve"> and</w:t>
      </w:r>
      <w:r w:rsidRPr="00AE0B3D">
        <w:rPr>
          <w:rFonts w:cs="Times New Roman"/>
          <w:szCs w:val="24"/>
        </w:rPr>
        <w:t xml:space="preserve"> C1</w:t>
      </w:r>
      <w:r>
        <w:rPr>
          <w:rFonts w:cs="Times New Roman"/>
          <w:szCs w:val="24"/>
        </w:rPr>
        <w:t>4</w:t>
      </w:r>
      <w:r w:rsidRPr="00AE0B3D">
        <w:rPr>
          <w:rFonts w:cs="Times New Roman"/>
          <w:szCs w:val="24"/>
        </w:rPr>
        <w:t xml:space="preserve"> </w:t>
      </w:r>
      <w:r w:rsidR="00750E0F" w:rsidRPr="00AE0B3D">
        <w:rPr>
          <w:rFonts w:cs="Times New Roman"/>
          <w:szCs w:val="24"/>
        </w:rPr>
        <w:t>(0.17).</w:t>
      </w:r>
      <w:r w:rsidR="00750E0F">
        <w:rPr>
          <w:rFonts w:cs="Times New Roman"/>
          <w:szCs w:val="24"/>
        </w:rPr>
        <w:t xml:space="preserve"> </w:t>
      </w:r>
      <w:r w:rsidR="00565484" w:rsidRPr="00AE0B3D">
        <w:rPr>
          <w:rFonts w:cs="Times New Roman"/>
          <w:szCs w:val="24"/>
        </w:rPr>
        <w:t xml:space="preserve">From the </w:t>
      </w:r>
      <w:r w:rsidR="00B240B8">
        <w:rPr>
          <w:rFonts w:cs="Times New Roman"/>
          <w:szCs w:val="24"/>
        </w:rPr>
        <w:t xml:space="preserve">average annual </w:t>
      </w:r>
      <w:r w:rsidR="00565484" w:rsidRPr="00AE0B3D">
        <w:rPr>
          <w:rFonts w:cs="Times New Roman"/>
          <w:szCs w:val="24"/>
        </w:rPr>
        <w:t xml:space="preserve">ROE of the sampled company, ROE generally decreased annually from 2016 to 2018 </w:t>
      </w:r>
      <w:r w:rsidR="00786A95">
        <w:t xml:space="preserve">that is from </w:t>
      </w:r>
      <w:r w:rsidR="009D6B31">
        <w:t>0.</w:t>
      </w:r>
      <w:r w:rsidR="009D6B31" w:rsidRPr="00AE0B3D">
        <w:t>1</w:t>
      </w:r>
      <w:r w:rsidR="00DB3A76">
        <w:t>13</w:t>
      </w:r>
      <w:r w:rsidR="009D6B31" w:rsidRPr="00AE0B3D">
        <w:t xml:space="preserve"> </w:t>
      </w:r>
      <w:r w:rsidR="00786A95">
        <w:t>to</w:t>
      </w:r>
      <w:r w:rsidR="00786A95" w:rsidRPr="00AE0B3D">
        <w:t xml:space="preserve"> </w:t>
      </w:r>
      <w:r w:rsidR="009D6B31">
        <w:t>0.06</w:t>
      </w:r>
      <w:r w:rsidR="00DB3A76">
        <w:t>8</w:t>
      </w:r>
      <w:r w:rsidR="00786A95">
        <w:t xml:space="preserve">. </w:t>
      </w:r>
      <w:r w:rsidR="009D6B31">
        <w:t>Consequently, t</w:t>
      </w:r>
      <w:r w:rsidR="00786A95">
        <w:t>his point to general decrease in the performance of the public listed companies</w:t>
      </w:r>
      <w:r w:rsidR="009D6B31">
        <w:t xml:space="preserve"> during the three years evaluated. </w:t>
      </w:r>
      <w:r w:rsidR="0090461A">
        <w:t xml:space="preserve">According to </w:t>
      </w:r>
      <w:r w:rsidR="0090461A">
        <w:rPr>
          <w:rFonts w:cs="Times New Roman"/>
          <w:lang w:val="en-US"/>
        </w:rPr>
        <w:fldChar w:fldCharType="begin" w:fldLock="1"/>
      </w:r>
      <w:r w:rsidR="0090461A">
        <w:rPr>
          <w:rFonts w:cs="Times New Roman"/>
          <w:lang w:val="en-US"/>
        </w:rPr>
        <w:instrText>ADDIN CSL_CITATION {"citationItems":[{"id":"ITEM-1","itemData":{"DOI":"10.1016/j.jbusres.2014.06.024","ISBN":"01482963","ISSN":"01482963","PMID":"99792656","abstract":"Direct relationship between corporate social responsibility (CSR) and firm performance has been examined by many scholars, but this direct test seems to be spurious and imprecise. This is because many factors indirectly influence this relation. Therefore, this study considers sustainable competitive advantage, reputation, and customer satisfaction as three probable mediators in the relationship between CSR and firm performance. The findings from 205 Iranian manufacturing and consumer product firms reveal that the link between CSR and firm performance is a fully mediated relationship. The positive effect of CSR on firm performance is due to the positive effect CSR has on competitive advantage, reputation, and customer satisfaction. The final findings show that only reputation and competitive advantage mediate the relationship between CSR and firm performance. Taken together, these findings suggest a role for CSR in indirectly promoting firm performance through enhancing reputation and competitive advantage while improving the level of customer satisfaction.","author":[{"dropping-particle":"","family":"Saeidi","given":"Sayedeh Parastoo","non-dropping-particle":"","parse-names":false,"suffix":""},{"dropping-particle":"","family":"Sofian","given":"Saudah","non-dropping-particle":"","parse-names":false,"suffix":""},{"dropping-particle":"","family":"Saeidi","given":"Parvaneh","non-dropping-particle":"","parse-names":false,"suffix":""},{"dropping-particle":"","family":"Saeidi","given":"Sayyedeh Parisa","non-dropping-particle":"","parse-names":false,"suffix":""},{"dropping-particle":"","family":"Saaeidi","given":"Seyyed Alireza","non-dropping-particle":"","parse-names":false,"suffix":""}],"container-title":"Journal of Business Research","id":"ITEM-1","issue":"2","issued":{"date-parts":[["2015"]]},"page":"341-350","title":"How does corporate social responsibility contribute to firm financial performance? The mediating role of competitive advantage, reputation, and customer satisfaction","type":"article-journal","volume":"68"},"uris":["http://www.mendeley.com/documents/?uuid=ac5bbf34-f3cf-4f42-9010-b85d8398632c"]}],"mendeley":{"formattedCitation":"(Saeidi et al., 2015)","manualFormatting":"Saeidi et al.( 2015)","plainTextFormattedCitation":"(Saeidi et al., 2015)","previouslyFormattedCitation":"(Saeidi et al., 2015)"},"properties":{"noteIndex":0},"schema":"https://github.com/citation-style-language/schema/raw/master/csl-citation.json"}</w:instrText>
      </w:r>
      <w:r w:rsidR="0090461A">
        <w:rPr>
          <w:rFonts w:cs="Times New Roman"/>
          <w:lang w:val="en-US"/>
        </w:rPr>
        <w:fldChar w:fldCharType="separate"/>
      </w:r>
      <w:r w:rsidR="0090461A">
        <w:rPr>
          <w:rFonts w:cs="Times New Roman"/>
          <w:noProof/>
          <w:lang w:val="en-US"/>
        </w:rPr>
        <w:t>Saeidi et al.( 2015)</w:t>
      </w:r>
      <w:r w:rsidR="0090461A">
        <w:rPr>
          <w:rFonts w:cs="Times New Roman"/>
          <w:lang w:val="en-US"/>
        </w:rPr>
        <w:fldChar w:fldCharType="end"/>
      </w:r>
      <w:r w:rsidR="0090461A">
        <w:rPr>
          <w:rFonts w:cs="Times New Roman"/>
          <w:lang w:val="en-US"/>
        </w:rPr>
        <w:t>, the higher the RO</w:t>
      </w:r>
      <w:r w:rsidR="009275ED">
        <w:rPr>
          <w:rFonts w:cs="Times New Roman"/>
          <w:lang w:val="en-US"/>
        </w:rPr>
        <w:t xml:space="preserve">E the higher </w:t>
      </w:r>
      <w:r w:rsidR="002223EF">
        <w:rPr>
          <w:rFonts w:cs="Times New Roman"/>
          <w:lang w:val="en-US"/>
        </w:rPr>
        <w:t xml:space="preserve">the better the performance </w:t>
      </w:r>
      <w:r w:rsidR="002223EF">
        <w:rPr>
          <w:rFonts w:cs="Times New Roman"/>
          <w:lang w:val="en-US"/>
        </w:rPr>
        <w:lastRenderedPageBreak/>
        <w:t xml:space="preserve">of the organization. Therefore, the companies’ reduction of average ROE point to poor financial performance in the three years evaluated. </w:t>
      </w:r>
    </w:p>
    <w:p w14:paraId="390DB63D" w14:textId="77777777" w:rsidR="002223EF" w:rsidRDefault="002223EF" w:rsidP="002E5A40">
      <w:pPr>
        <w:pStyle w:val="Caption"/>
      </w:pPr>
      <w:bookmarkStart w:id="75" w:name="_Toc66721388"/>
    </w:p>
    <w:p w14:paraId="658A5788" w14:textId="77777777" w:rsidR="00075D56" w:rsidRDefault="00DC4EEE" w:rsidP="002E5A40">
      <w:pPr>
        <w:pStyle w:val="Caption"/>
      </w:pPr>
      <w:r>
        <w:t xml:space="preserve">Table </w:t>
      </w:r>
      <w:r>
        <w:fldChar w:fldCharType="begin"/>
      </w:r>
      <w:r>
        <w:instrText xml:space="preserve"> SEQ Table \* ARABIC </w:instrText>
      </w:r>
      <w:r>
        <w:fldChar w:fldCharType="separate"/>
      </w:r>
      <w:r>
        <w:rPr>
          <w:noProof/>
        </w:rPr>
        <w:t>2</w:t>
      </w:r>
      <w:r>
        <w:fldChar w:fldCharType="end"/>
      </w:r>
      <w:r>
        <w:t>.</w:t>
      </w:r>
    </w:p>
    <w:p w14:paraId="7F24D861" w14:textId="23696A11" w:rsidR="005E018F" w:rsidRPr="00BF0707" w:rsidRDefault="00DC4EEE" w:rsidP="00142F12">
      <w:pPr>
        <w:pStyle w:val="Caption"/>
      </w:pPr>
      <w:r w:rsidRPr="00E75E37">
        <w:t xml:space="preserve">ROE of Public Listed Company in NSE </w:t>
      </w:r>
      <w:r w:rsidR="007C4613" w:rsidRPr="00E75E37">
        <w:t>between</w:t>
      </w:r>
      <w:r w:rsidRPr="00E75E37">
        <w:t xml:space="preserve"> 2016 and 2018</w:t>
      </w:r>
      <w:bookmarkEnd w:id="75"/>
    </w:p>
    <w:tbl>
      <w:tblPr>
        <w:tblW w:w="7797" w:type="dxa"/>
        <w:jc w:val="center"/>
        <w:tblLayout w:type="fixed"/>
        <w:tblLook w:val="04A0" w:firstRow="1" w:lastRow="0" w:firstColumn="1" w:lastColumn="0" w:noHBand="0" w:noVBand="1"/>
      </w:tblPr>
      <w:tblGrid>
        <w:gridCol w:w="1633"/>
        <w:gridCol w:w="844"/>
        <w:gridCol w:w="844"/>
        <w:gridCol w:w="843"/>
        <w:gridCol w:w="843"/>
        <w:gridCol w:w="2790"/>
      </w:tblGrid>
      <w:tr w:rsidR="007D31AF" w:rsidRPr="00B03BC3" w14:paraId="1384E77B" w14:textId="77777777" w:rsidTr="00BF0707">
        <w:trPr>
          <w:trHeight w:val="300"/>
          <w:jc w:val="center"/>
        </w:trPr>
        <w:tc>
          <w:tcPr>
            <w:tcW w:w="1633" w:type="dxa"/>
            <w:tcBorders>
              <w:top w:val="single" w:sz="4" w:space="0" w:color="auto"/>
              <w:left w:val="nil"/>
              <w:bottom w:val="single" w:sz="4" w:space="0" w:color="auto"/>
              <w:right w:val="nil"/>
            </w:tcBorders>
            <w:shd w:val="clear" w:color="auto" w:fill="auto"/>
            <w:noWrap/>
            <w:vAlign w:val="center"/>
            <w:hideMark/>
          </w:tcPr>
          <w:p w14:paraId="4BD97752" w14:textId="77777777" w:rsidR="00B03BC3" w:rsidRPr="00BF0707" w:rsidRDefault="00B03BC3">
            <w:pPr>
              <w:spacing w:after="0" w:line="240" w:lineRule="auto"/>
              <w:ind w:firstLine="0"/>
              <w:jc w:val="left"/>
              <w:rPr>
                <w:rFonts w:eastAsia="Times New Roman" w:cs="Times New Roman"/>
                <w:b/>
                <w:color w:val="000000"/>
                <w:szCs w:val="24"/>
                <w:lang w:val="en-US"/>
              </w:rPr>
            </w:pPr>
            <w:r w:rsidRPr="00BF0707">
              <w:rPr>
                <w:rFonts w:eastAsia="Times New Roman" w:cs="Times New Roman"/>
                <w:b/>
                <w:color w:val="000000"/>
                <w:szCs w:val="24"/>
                <w:lang w:val="en-US"/>
              </w:rPr>
              <w:t> </w:t>
            </w:r>
          </w:p>
        </w:tc>
        <w:tc>
          <w:tcPr>
            <w:tcW w:w="6164" w:type="dxa"/>
            <w:gridSpan w:val="5"/>
            <w:tcBorders>
              <w:top w:val="single" w:sz="4" w:space="0" w:color="auto"/>
              <w:left w:val="nil"/>
              <w:bottom w:val="single" w:sz="4" w:space="0" w:color="auto"/>
              <w:right w:val="nil"/>
            </w:tcBorders>
            <w:shd w:val="clear" w:color="auto" w:fill="auto"/>
            <w:noWrap/>
            <w:vAlign w:val="center"/>
            <w:hideMark/>
          </w:tcPr>
          <w:p w14:paraId="70C3684B" w14:textId="5258C08F" w:rsidR="00B03BC3" w:rsidRPr="00BF0707" w:rsidRDefault="00CE579F">
            <w:pPr>
              <w:spacing w:after="0" w:line="240" w:lineRule="auto"/>
              <w:ind w:firstLine="0"/>
              <w:jc w:val="center"/>
              <w:rPr>
                <w:rFonts w:eastAsia="Times New Roman" w:cs="Times New Roman"/>
                <w:b/>
                <w:color w:val="000000"/>
                <w:szCs w:val="24"/>
                <w:lang w:val="en-US"/>
              </w:rPr>
            </w:pPr>
            <w:r w:rsidRPr="00CE579F">
              <w:rPr>
                <w:rFonts w:eastAsia="Times New Roman" w:cs="Times New Roman"/>
                <w:b/>
                <w:bCs/>
                <w:color w:val="000000"/>
                <w:szCs w:val="24"/>
                <w:lang w:eastAsia="en-GB"/>
              </w:rPr>
              <w:t xml:space="preserve">Comparison of </w:t>
            </w:r>
            <w:r w:rsidR="00B03BC3" w:rsidRPr="00BF0707">
              <w:rPr>
                <w:rFonts w:eastAsia="Times New Roman" w:cs="Times New Roman"/>
                <w:b/>
                <w:color w:val="000000"/>
                <w:szCs w:val="24"/>
                <w:lang w:val="en-US"/>
              </w:rPr>
              <w:t>ROE</w:t>
            </w:r>
          </w:p>
        </w:tc>
      </w:tr>
      <w:tr w:rsidR="007D31AF" w:rsidRPr="00B03BC3" w14:paraId="64E33A5C" w14:textId="77777777" w:rsidTr="00BF0707">
        <w:trPr>
          <w:trHeight w:val="328"/>
          <w:jc w:val="center"/>
        </w:trPr>
        <w:tc>
          <w:tcPr>
            <w:tcW w:w="1633" w:type="dxa"/>
            <w:tcBorders>
              <w:top w:val="nil"/>
              <w:left w:val="nil"/>
              <w:bottom w:val="single" w:sz="4" w:space="0" w:color="auto"/>
              <w:right w:val="nil"/>
            </w:tcBorders>
            <w:shd w:val="clear" w:color="auto" w:fill="auto"/>
            <w:noWrap/>
            <w:vAlign w:val="center"/>
            <w:hideMark/>
          </w:tcPr>
          <w:p w14:paraId="6CB11241" w14:textId="5BB7569C" w:rsidR="00B03BC3" w:rsidRPr="00BF0707" w:rsidRDefault="00B03BC3">
            <w:pPr>
              <w:spacing w:after="0" w:line="240" w:lineRule="auto"/>
              <w:ind w:firstLine="0"/>
              <w:jc w:val="left"/>
              <w:rPr>
                <w:rFonts w:eastAsia="Times New Roman" w:cs="Times New Roman"/>
                <w:b/>
                <w:color w:val="000000"/>
                <w:szCs w:val="24"/>
                <w:lang w:val="en-US"/>
              </w:rPr>
            </w:pPr>
            <w:r w:rsidRPr="00BF0707">
              <w:rPr>
                <w:rFonts w:eastAsia="Times New Roman" w:cs="Times New Roman"/>
                <w:b/>
                <w:color w:val="000000"/>
                <w:szCs w:val="24"/>
                <w:lang w:val="en-US"/>
              </w:rPr>
              <w:t> </w:t>
            </w:r>
            <w:r w:rsidR="00FA6339" w:rsidRPr="00BF0707">
              <w:rPr>
                <w:rFonts w:eastAsia="Times New Roman" w:cs="Times New Roman"/>
                <w:b/>
                <w:color w:val="000000"/>
                <w:szCs w:val="24"/>
                <w:lang w:val="en-US"/>
              </w:rPr>
              <w:t>Company</w:t>
            </w:r>
          </w:p>
        </w:tc>
        <w:tc>
          <w:tcPr>
            <w:tcW w:w="844" w:type="dxa"/>
            <w:tcBorders>
              <w:top w:val="nil"/>
              <w:left w:val="nil"/>
              <w:bottom w:val="single" w:sz="4" w:space="0" w:color="auto"/>
              <w:right w:val="nil"/>
            </w:tcBorders>
            <w:shd w:val="clear" w:color="auto" w:fill="auto"/>
            <w:noWrap/>
            <w:vAlign w:val="center"/>
            <w:hideMark/>
          </w:tcPr>
          <w:p w14:paraId="601626C5" w14:textId="77777777" w:rsidR="00B03BC3" w:rsidRPr="00BF0707" w:rsidRDefault="00B03BC3">
            <w:pPr>
              <w:spacing w:after="0" w:line="240" w:lineRule="auto"/>
              <w:ind w:firstLine="0"/>
              <w:jc w:val="right"/>
              <w:rPr>
                <w:rFonts w:eastAsia="Times New Roman" w:cs="Times New Roman"/>
                <w:b/>
                <w:color w:val="000000"/>
                <w:szCs w:val="24"/>
                <w:lang w:val="en-US"/>
              </w:rPr>
            </w:pPr>
            <w:r w:rsidRPr="00BF0707">
              <w:rPr>
                <w:rFonts w:eastAsia="Times New Roman" w:cs="Times New Roman"/>
                <w:b/>
                <w:color w:val="000000"/>
                <w:szCs w:val="24"/>
                <w:lang w:val="en-US"/>
              </w:rPr>
              <w:t>2016</w:t>
            </w:r>
          </w:p>
        </w:tc>
        <w:tc>
          <w:tcPr>
            <w:tcW w:w="844" w:type="dxa"/>
            <w:tcBorders>
              <w:top w:val="nil"/>
              <w:left w:val="nil"/>
              <w:bottom w:val="single" w:sz="4" w:space="0" w:color="auto"/>
              <w:right w:val="nil"/>
            </w:tcBorders>
            <w:shd w:val="clear" w:color="auto" w:fill="auto"/>
            <w:noWrap/>
            <w:vAlign w:val="center"/>
            <w:hideMark/>
          </w:tcPr>
          <w:p w14:paraId="4CDA47C8" w14:textId="77777777" w:rsidR="00B03BC3" w:rsidRPr="00BF0707" w:rsidRDefault="00B03BC3">
            <w:pPr>
              <w:spacing w:after="0" w:line="240" w:lineRule="auto"/>
              <w:ind w:firstLine="0"/>
              <w:jc w:val="right"/>
              <w:rPr>
                <w:rFonts w:eastAsia="Times New Roman" w:cs="Times New Roman"/>
                <w:b/>
                <w:color w:val="000000"/>
                <w:szCs w:val="24"/>
                <w:lang w:val="en-US"/>
              </w:rPr>
            </w:pPr>
            <w:r w:rsidRPr="00BF0707">
              <w:rPr>
                <w:rFonts w:eastAsia="Times New Roman" w:cs="Times New Roman"/>
                <w:b/>
                <w:color w:val="000000"/>
                <w:szCs w:val="24"/>
                <w:lang w:val="en-US"/>
              </w:rPr>
              <w:t>2017</w:t>
            </w:r>
          </w:p>
        </w:tc>
        <w:tc>
          <w:tcPr>
            <w:tcW w:w="843" w:type="dxa"/>
            <w:tcBorders>
              <w:top w:val="nil"/>
              <w:left w:val="nil"/>
              <w:bottom w:val="single" w:sz="4" w:space="0" w:color="auto"/>
              <w:right w:val="nil"/>
            </w:tcBorders>
            <w:shd w:val="clear" w:color="auto" w:fill="auto"/>
            <w:noWrap/>
            <w:vAlign w:val="center"/>
            <w:hideMark/>
          </w:tcPr>
          <w:p w14:paraId="6D0092EE" w14:textId="77777777" w:rsidR="00B03BC3" w:rsidRPr="00BF0707" w:rsidRDefault="00B03BC3">
            <w:pPr>
              <w:spacing w:after="0" w:line="240" w:lineRule="auto"/>
              <w:ind w:firstLine="0"/>
              <w:jc w:val="right"/>
              <w:rPr>
                <w:rFonts w:eastAsia="Times New Roman" w:cs="Times New Roman"/>
                <w:b/>
                <w:color w:val="000000"/>
                <w:szCs w:val="24"/>
                <w:lang w:val="en-US"/>
              </w:rPr>
            </w:pPr>
            <w:r w:rsidRPr="00BF0707">
              <w:rPr>
                <w:rFonts w:eastAsia="Times New Roman" w:cs="Times New Roman"/>
                <w:b/>
                <w:color w:val="000000"/>
                <w:szCs w:val="24"/>
                <w:lang w:val="en-US"/>
              </w:rPr>
              <w:t>2018</w:t>
            </w:r>
          </w:p>
        </w:tc>
        <w:tc>
          <w:tcPr>
            <w:tcW w:w="843" w:type="dxa"/>
            <w:tcBorders>
              <w:top w:val="nil"/>
              <w:left w:val="nil"/>
              <w:bottom w:val="single" w:sz="4" w:space="0" w:color="auto"/>
              <w:right w:val="nil"/>
            </w:tcBorders>
            <w:shd w:val="clear" w:color="auto" w:fill="auto"/>
            <w:noWrap/>
            <w:vAlign w:val="center"/>
            <w:hideMark/>
          </w:tcPr>
          <w:p w14:paraId="4A11950B" w14:textId="77777777" w:rsidR="00B03BC3" w:rsidRPr="00BF0707" w:rsidRDefault="00B03BC3">
            <w:pPr>
              <w:spacing w:after="0" w:line="240" w:lineRule="auto"/>
              <w:ind w:firstLine="0"/>
              <w:jc w:val="left"/>
              <w:rPr>
                <w:rFonts w:eastAsia="Times New Roman" w:cs="Times New Roman"/>
                <w:b/>
                <w:color w:val="000000"/>
                <w:szCs w:val="24"/>
                <w:lang w:val="en-US"/>
              </w:rPr>
            </w:pPr>
            <w:r w:rsidRPr="00BF0707">
              <w:rPr>
                <w:rFonts w:eastAsia="Times New Roman" w:cs="Times New Roman"/>
                <w:b/>
                <w:color w:val="000000"/>
                <w:szCs w:val="24"/>
                <w:lang w:val="en-US"/>
              </w:rPr>
              <w:t>Mean</w:t>
            </w:r>
          </w:p>
        </w:tc>
        <w:tc>
          <w:tcPr>
            <w:tcW w:w="2790" w:type="dxa"/>
            <w:tcBorders>
              <w:top w:val="nil"/>
              <w:left w:val="nil"/>
              <w:bottom w:val="single" w:sz="4" w:space="0" w:color="auto"/>
              <w:right w:val="nil"/>
            </w:tcBorders>
            <w:shd w:val="clear" w:color="auto" w:fill="auto"/>
            <w:vAlign w:val="center"/>
            <w:hideMark/>
          </w:tcPr>
          <w:p w14:paraId="1F8FA615" w14:textId="77777777" w:rsidR="00B03BC3" w:rsidRPr="00BF0707" w:rsidRDefault="00B03BC3">
            <w:pPr>
              <w:spacing w:after="0" w:line="240" w:lineRule="auto"/>
              <w:ind w:firstLine="0"/>
              <w:jc w:val="left"/>
              <w:rPr>
                <w:rFonts w:eastAsia="Times New Roman" w:cs="Times New Roman"/>
                <w:b/>
                <w:color w:val="000000"/>
                <w:szCs w:val="24"/>
                <w:lang w:val="en-US"/>
              </w:rPr>
            </w:pPr>
            <w:r w:rsidRPr="00BF0707">
              <w:rPr>
                <w:rFonts w:eastAsia="Times New Roman" w:cs="Times New Roman"/>
                <w:b/>
                <w:color w:val="000000"/>
                <w:szCs w:val="24"/>
                <w:lang w:val="en-US"/>
              </w:rPr>
              <w:t>Standard deviation</w:t>
            </w:r>
          </w:p>
        </w:tc>
      </w:tr>
      <w:tr w:rsidR="007D31AF" w:rsidRPr="00B03BC3" w14:paraId="0222169A"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7C42C73E"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C1</w:t>
            </w:r>
          </w:p>
        </w:tc>
        <w:tc>
          <w:tcPr>
            <w:tcW w:w="844" w:type="dxa"/>
            <w:tcBorders>
              <w:top w:val="nil"/>
              <w:left w:val="nil"/>
              <w:bottom w:val="nil"/>
              <w:right w:val="nil"/>
            </w:tcBorders>
            <w:shd w:val="clear" w:color="auto" w:fill="auto"/>
            <w:noWrap/>
            <w:vAlign w:val="center"/>
            <w:hideMark/>
          </w:tcPr>
          <w:p w14:paraId="28E27DFA"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-0.355</w:t>
            </w:r>
          </w:p>
        </w:tc>
        <w:tc>
          <w:tcPr>
            <w:tcW w:w="844" w:type="dxa"/>
            <w:tcBorders>
              <w:top w:val="nil"/>
              <w:left w:val="nil"/>
              <w:bottom w:val="nil"/>
              <w:right w:val="nil"/>
            </w:tcBorders>
            <w:shd w:val="clear" w:color="auto" w:fill="auto"/>
            <w:noWrap/>
            <w:vAlign w:val="center"/>
            <w:hideMark/>
          </w:tcPr>
          <w:p w14:paraId="14079B64"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0.007</w:t>
            </w:r>
          </w:p>
        </w:tc>
        <w:tc>
          <w:tcPr>
            <w:tcW w:w="843" w:type="dxa"/>
            <w:tcBorders>
              <w:top w:val="nil"/>
              <w:left w:val="nil"/>
              <w:bottom w:val="nil"/>
              <w:right w:val="nil"/>
            </w:tcBorders>
            <w:shd w:val="clear" w:color="auto" w:fill="auto"/>
            <w:noWrap/>
            <w:vAlign w:val="center"/>
            <w:hideMark/>
          </w:tcPr>
          <w:p w14:paraId="02E10E51"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-0.469</w:t>
            </w:r>
          </w:p>
        </w:tc>
        <w:tc>
          <w:tcPr>
            <w:tcW w:w="843" w:type="dxa"/>
            <w:tcBorders>
              <w:top w:val="nil"/>
              <w:left w:val="nil"/>
              <w:bottom w:val="nil"/>
              <w:right w:val="nil"/>
            </w:tcBorders>
            <w:shd w:val="clear" w:color="auto" w:fill="auto"/>
            <w:noWrap/>
            <w:vAlign w:val="center"/>
            <w:hideMark/>
          </w:tcPr>
          <w:p w14:paraId="0EEEFBBE"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-0.272</w:t>
            </w:r>
          </w:p>
        </w:tc>
        <w:tc>
          <w:tcPr>
            <w:tcW w:w="2790" w:type="dxa"/>
            <w:tcBorders>
              <w:top w:val="nil"/>
              <w:left w:val="nil"/>
              <w:bottom w:val="nil"/>
              <w:right w:val="nil"/>
            </w:tcBorders>
            <w:shd w:val="clear" w:color="auto" w:fill="auto"/>
            <w:noWrap/>
            <w:vAlign w:val="center"/>
            <w:hideMark/>
          </w:tcPr>
          <w:p w14:paraId="013C51FD"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0.248</w:t>
            </w:r>
          </w:p>
        </w:tc>
      </w:tr>
      <w:tr w:rsidR="007D31AF" w:rsidRPr="00B03BC3" w14:paraId="5FCAC9E7"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70C9D48E"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C2</w:t>
            </w:r>
          </w:p>
        </w:tc>
        <w:tc>
          <w:tcPr>
            <w:tcW w:w="844" w:type="dxa"/>
            <w:tcBorders>
              <w:top w:val="nil"/>
              <w:left w:val="nil"/>
              <w:bottom w:val="nil"/>
              <w:right w:val="nil"/>
            </w:tcBorders>
            <w:shd w:val="clear" w:color="auto" w:fill="auto"/>
            <w:noWrap/>
            <w:vAlign w:val="center"/>
            <w:hideMark/>
          </w:tcPr>
          <w:p w14:paraId="09EC4349"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0.326</w:t>
            </w:r>
          </w:p>
        </w:tc>
        <w:tc>
          <w:tcPr>
            <w:tcW w:w="844" w:type="dxa"/>
            <w:tcBorders>
              <w:top w:val="nil"/>
              <w:left w:val="nil"/>
              <w:bottom w:val="nil"/>
              <w:right w:val="nil"/>
            </w:tcBorders>
            <w:shd w:val="clear" w:color="auto" w:fill="auto"/>
            <w:noWrap/>
            <w:vAlign w:val="center"/>
            <w:hideMark/>
          </w:tcPr>
          <w:p w14:paraId="47DDFDD8"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0.451</w:t>
            </w:r>
          </w:p>
        </w:tc>
        <w:tc>
          <w:tcPr>
            <w:tcW w:w="843" w:type="dxa"/>
            <w:tcBorders>
              <w:top w:val="nil"/>
              <w:left w:val="nil"/>
              <w:bottom w:val="nil"/>
              <w:right w:val="nil"/>
            </w:tcBorders>
            <w:shd w:val="clear" w:color="auto" w:fill="auto"/>
            <w:noWrap/>
            <w:vAlign w:val="center"/>
            <w:hideMark/>
          </w:tcPr>
          <w:p w14:paraId="2A601565"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0.446</w:t>
            </w:r>
          </w:p>
        </w:tc>
        <w:tc>
          <w:tcPr>
            <w:tcW w:w="843" w:type="dxa"/>
            <w:tcBorders>
              <w:top w:val="nil"/>
              <w:left w:val="nil"/>
              <w:bottom w:val="nil"/>
              <w:right w:val="nil"/>
            </w:tcBorders>
            <w:shd w:val="clear" w:color="auto" w:fill="auto"/>
            <w:noWrap/>
            <w:vAlign w:val="center"/>
            <w:hideMark/>
          </w:tcPr>
          <w:p w14:paraId="432199EF"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0.408</w:t>
            </w:r>
          </w:p>
        </w:tc>
        <w:tc>
          <w:tcPr>
            <w:tcW w:w="2790" w:type="dxa"/>
            <w:tcBorders>
              <w:top w:val="nil"/>
              <w:left w:val="nil"/>
              <w:bottom w:val="nil"/>
              <w:right w:val="nil"/>
            </w:tcBorders>
            <w:shd w:val="clear" w:color="auto" w:fill="auto"/>
            <w:noWrap/>
            <w:vAlign w:val="center"/>
            <w:hideMark/>
          </w:tcPr>
          <w:p w14:paraId="7B1B4248"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0.070</w:t>
            </w:r>
          </w:p>
        </w:tc>
      </w:tr>
      <w:tr w:rsidR="007D31AF" w:rsidRPr="00B03BC3" w14:paraId="544B97AA"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01B0859A"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C3</w:t>
            </w:r>
          </w:p>
        </w:tc>
        <w:tc>
          <w:tcPr>
            <w:tcW w:w="844" w:type="dxa"/>
            <w:tcBorders>
              <w:top w:val="nil"/>
              <w:left w:val="nil"/>
              <w:bottom w:val="nil"/>
              <w:right w:val="nil"/>
            </w:tcBorders>
            <w:shd w:val="clear" w:color="auto" w:fill="auto"/>
            <w:noWrap/>
            <w:vAlign w:val="center"/>
            <w:hideMark/>
          </w:tcPr>
          <w:p w14:paraId="6C0220E3"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0.203</w:t>
            </w:r>
          </w:p>
        </w:tc>
        <w:tc>
          <w:tcPr>
            <w:tcW w:w="844" w:type="dxa"/>
            <w:tcBorders>
              <w:top w:val="nil"/>
              <w:left w:val="nil"/>
              <w:bottom w:val="nil"/>
              <w:right w:val="nil"/>
            </w:tcBorders>
            <w:shd w:val="clear" w:color="auto" w:fill="auto"/>
            <w:noWrap/>
            <w:vAlign w:val="center"/>
            <w:hideMark/>
          </w:tcPr>
          <w:p w14:paraId="28B48A4C"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0.205</w:t>
            </w:r>
          </w:p>
        </w:tc>
        <w:tc>
          <w:tcPr>
            <w:tcW w:w="843" w:type="dxa"/>
            <w:tcBorders>
              <w:top w:val="nil"/>
              <w:left w:val="nil"/>
              <w:bottom w:val="nil"/>
              <w:right w:val="nil"/>
            </w:tcBorders>
            <w:shd w:val="clear" w:color="auto" w:fill="auto"/>
            <w:noWrap/>
            <w:vAlign w:val="center"/>
            <w:hideMark/>
          </w:tcPr>
          <w:p w14:paraId="312A4A52"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0.209</w:t>
            </w:r>
          </w:p>
        </w:tc>
        <w:tc>
          <w:tcPr>
            <w:tcW w:w="843" w:type="dxa"/>
            <w:tcBorders>
              <w:top w:val="nil"/>
              <w:left w:val="nil"/>
              <w:bottom w:val="nil"/>
              <w:right w:val="nil"/>
            </w:tcBorders>
            <w:shd w:val="clear" w:color="auto" w:fill="auto"/>
            <w:noWrap/>
            <w:vAlign w:val="center"/>
            <w:hideMark/>
          </w:tcPr>
          <w:p w14:paraId="3E71F4EB"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0.205</w:t>
            </w:r>
          </w:p>
        </w:tc>
        <w:tc>
          <w:tcPr>
            <w:tcW w:w="2790" w:type="dxa"/>
            <w:tcBorders>
              <w:top w:val="nil"/>
              <w:left w:val="nil"/>
              <w:bottom w:val="nil"/>
              <w:right w:val="nil"/>
            </w:tcBorders>
            <w:shd w:val="clear" w:color="auto" w:fill="auto"/>
            <w:noWrap/>
            <w:vAlign w:val="center"/>
            <w:hideMark/>
          </w:tcPr>
          <w:p w14:paraId="34CDC000"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0.003</w:t>
            </w:r>
          </w:p>
        </w:tc>
      </w:tr>
      <w:tr w:rsidR="007D31AF" w:rsidRPr="00B03BC3" w14:paraId="72596E24"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73064286"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C4</w:t>
            </w:r>
          </w:p>
        </w:tc>
        <w:tc>
          <w:tcPr>
            <w:tcW w:w="844" w:type="dxa"/>
            <w:tcBorders>
              <w:top w:val="nil"/>
              <w:left w:val="nil"/>
              <w:bottom w:val="nil"/>
              <w:right w:val="nil"/>
            </w:tcBorders>
            <w:shd w:val="clear" w:color="auto" w:fill="auto"/>
            <w:noWrap/>
            <w:vAlign w:val="center"/>
            <w:hideMark/>
          </w:tcPr>
          <w:p w14:paraId="523312DA"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0.080</w:t>
            </w:r>
          </w:p>
        </w:tc>
        <w:tc>
          <w:tcPr>
            <w:tcW w:w="844" w:type="dxa"/>
            <w:tcBorders>
              <w:top w:val="nil"/>
              <w:left w:val="nil"/>
              <w:bottom w:val="nil"/>
              <w:right w:val="nil"/>
            </w:tcBorders>
            <w:shd w:val="clear" w:color="auto" w:fill="auto"/>
            <w:noWrap/>
            <w:vAlign w:val="center"/>
            <w:hideMark/>
          </w:tcPr>
          <w:p w14:paraId="0C671EEC"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0.011</w:t>
            </w:r>
          </w:p>
        </w:tc>
        <w:tc>
          <w:tcPr>
            <w:tcW w:w="843" w:type="dxa"/>
            <w:tcBorders>
              <w:top w:val="nil"/>
              <w:left w:val="nil"/>
              <w:bottom w:val="nil"/>
              <w:right w:val="nil"/>
            </w:tcBorders>
            <w:shd w:val="clear" w:color="auto" w:fill="auto"/>
            <w:noWrap/>
            <w:vAlign w:val="center"/>
            <w:hideMark/>
          </w:tcPr>
          <w:p w14:paraId="6B1A0286"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-0.058</w:t>
            </w:r>
          </w:p>
        </w:tc>
        <w:tc>
          <w:tcPr>
            <w:tcW w:w="843" w:type="dxa"/>
            <w:tcBorders>
              <w:top w:val="nil"/>
              <w:left w:val="nil"/>
              <w:bottom w:val="nil"/>
              <w:right w:val="nil"/>
            </w:tcBorders>
            <w:shd w:val="clear" w:color="auto" w:fill="auto"/>
            <w:noWrap/>
            <w:vAlign w:val="center"/>
            <w:hideMark/>
          </w:tcPr>
          <w:p w14:paraId="5FDFB0C2"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0.011</w:t>
            </w:r>
          </w:p>
        </w:tc>
        <w:tc>
          <w:tcPr>
            <w:tcW w:w="2790" w:type="dxa"/>
            <w:tcBorders>
              <w:top w:val="nil"/>
              <w:left w:val="nil"/>
              <w:bottom w:val="nil"/>
              <w:right w:val="nil"/>
            </w:tcBorders>
            <w:shd w:val="clear" w:color="auto" w:fill="auto"/>
            <w:noWrap/>
            <w:vAlign w:val="center"/>
            <w:hideMark/>
          </w:tcPr>
          <w:p w14:paraId="238CF9D7"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0.069</w:t>
            </w:r>
          </w:p>
        </w:tc>
      </w:tr>
      <w:tr w:rsidR="007D31AF" w:rsidRPr="00B03BC3" w14:paraId="58AF71FC"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6BE34E64"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C5</w:t>
            </w:r>
          </w:p>
        </w:tc>
        <w:tc>
          <w:tcPr>
            <w:tcW w:w="844" w:type="dxa"/>
            <w:tcBorders>
              <w:top w:val="nil"/>
              <w:left w:val="nil"/>
              <w:bottom w:val="nil"/>
              <w:right w:val="nil"/>
            </w:tcBorders>
            <w:shd w:val="clear" w:color="auto" w:fill="auto"/>
            <w:noWrap/>
            <w:vAlign w:val="center"/>
            <w:hideMark/>
          </w:tcPr>
          <w:p w14:paraId="0A434127"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0.055</w:t>
            </w:r>
          </w:p>
        </w:tc>
        <w:tc>
          <w:tcPr>
            <w:tcW w:w="844" w:type="dxa"/>
            <w:tcBorders>
              <w:top w:val="nil"/>
              <w:left w:val="nil"/>
              <w:bottom w:val="nil"/>
              <w:right w:val="nil"/>
            </w:tcBorders>
            <w:shd w:val="clear" w:color="auto" w:fill="auto"/>
            <w:noWrap/>
            <w:vAlign w:val="center"/>
            <w:hideMark/>
          </w:tcPr>
          <w:p w14:paraId="51271B28"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0.030</w:t>
            </w:r>
          </w:p>
        </w:tc>
        <w:tc>
          <w:tcPr>
            <w:tcW w:w="843" w:type="dxa"/>
            <w:tcBorders>
              <w:top w:val="nil"/>
              <w:left w:val="nil"/>
              <w:bottom w:val="nil"/>
              <w:right w:val="nil"/>
            </w:tcBorders>
            <w:shd w:val="clear" w:color="auto" w:fill="auto"/>
            <w:noWrap/>
            <w:vAlign w:val="center"/>
            <w:hideMark/>
          </w:tcPr>
          <w:p w14:paraId="6449AAE4"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0.026</w:t>
            </w:r>
          </w:p>
        </w:tc>
        <w:tc>
          <w:tcPr>
            <w:tcW w:w="843" w:type="dxa"/>
            <w:tcBorders>
              <w:top w:val="nil"/>
              <w:left w:val="nil"/>
              <w:bottom w:val="nil"/>
              <w:right w:val="nil"/>
            </w:tcBorders>
            <w:shd w:val="clear" w:color="auto" w:fill="auto"/>
            <w:noWrap/>
            <w:vAlign w:val="center"/>
            <w:hideMark/>
          </w:tcPr>
          <w:p w14:paraId="792DD31A"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0.037</w:t>
            </w:r>
          </w:p>
        </w:tc>
        <w:tc>
          <w:tcPr>
            <w:tcW w:w="2790" w:type="dxa"/>
            <w:tcBorders>
              <w:top w:val="nil"/>
              <w:left w:val="nil"/>
              <w:bottom w:val="nil"/>
              <w:right w:val="nil"/>
            </w:tcBorders>
            <w:shd w:val="clear" w:color="auto" w:fill="auto"/>
            <w:noWrap/>
            <w:vAlign w:val="center"/>
            <w:hideMark/>
          </w:tcPr>
          <w:p w14:paraId="6E088A53"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0.016</w:t>
            </w:r>
          </w:p>
        </w:tc>
      </w:tr>
      <w:tr w:rsidR="007D31AF" w:rsidRPr="00B03BC3" w14:paraId="5134FDB9"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5DB4B6AC"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C6</w:t>
            </w:r>
          </w:p>
        </w:tc>
        <w:tc>
          <w:tcPr>
            <w:tcW w:w="844" w:type="dxa"/>
            <w:tcBorders>
              <w:top w:val="nil"/>
              <w:left w:val="nil"/>
              <w:bottom w:val="nil"/>
              <w:right w:val="nil"/>
            </w:tcBorders>
            <w:shd w:val="clear" w:color="auto" w:fill="auto"/>
            <w:noWrap/>
            <w:vAlign w:val="center"/>
            <w:hideMark/>
          </w:tcPr>
          <w:p w14:paraId="78D0D46D"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0.027</w:t>
            </w:r>
          </w:p>
        </w:tc>
        <w:tc>
          <w:tcPr>
            <w:tcW w:w="844" w:type="dxa"/>
            <w:tcBorders>
              <w:top w:val="nil"/>
              <w:left w:val="nil"/>
              <w:bottom w:val="nil"/>
              <w:right w:val="nil"/>
            </w:tcBorders>
            <w:shd w:val="clear" w:color="auto" w:fill="auto"/>
            <w:noWrap/>
            <w:vAlign w:val="center"/>
            <w:hideMark/>
          </w:tcPr>
          <w:p w14:paraId="7E7241AB"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0.024</w:t>
            </w:r>
          </w:p>
        </w:tc>
        <w:tc>
          <w:tcPr>
            <w:tcW w:w="843" w:type="dxa"/>
            <w:tcBorders>
              <w:top w:val="nil"/>
              <w:left w:val="nil"/>
              <w:bottom w:val="nil"/>
              <w:right w:val="nil"/>
            </w:tcBorders>
            <w:shd w:val="clear" w:color="auto" w:fill="auto"/>
            <w:noWrap/>
            <w:vAlign w:val="center"/>
            <w:hideMark/>
          </w:tcPr>
          <w:p w14:paraId="004E48DE"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0.063</w:t>
            </w:r>
          </w:p>
        </w:tc>
        <w:tc>
          <w:tcPr>
            <w:tcW w:w="843" w:type="dxa"/>
            <w:tcBorders>
              <w:top w:val="nil"/>
              <w:left w:val="nil"/>
              <w:bottom w:val="nil"/>
              <w:right w:val="nil"/>
            </w:tcBorders>
            <w:shd w:val="clear" w:color="auto" w:fill="auto"/>
            <w:noWrap/>
            <w:vAlign w:val="center"/>
            <w:hideMark/>
          </w:tcPr>
          <w:p w14:paraId="564E16FB"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0.038</w:t>
            </w:r>
          </w:p>
        </w:tc>
        <w:tc>
          <w:tcPr>
            <w:tcW w:w="2790" w:type="dxa"/>
            <w:tcBorders>
              <w:top w:val="nil"/>
              <w:left w:val="nil"/>
              <w:bottom w:val="nil"/>
              <w:right w:val="nil"/>
            </w:tcBorders>
            <w:shd w:val="clear" w:color="auto" w:fill="auto"/>
            <w:noWrap/>
            <w:vAlign w:val="center"/>
            <w:hideMark/>
          </w:tcPr>
          <w:p w14:paraId="0CD48D14"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0.021</w:t>
            </w:r>
          </w:p>
        </w:tc>
      </w:tr>
      <w:tr w:rsidR="007D31AF" w:rsidRPr="00B03BC3" w14:paraId="0A5A1AE9"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78F68AA7"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C7</w:t>
            </w:r>
          </w:p>
        </w:tc>
        <w:tc>
          <w:tcPr>
            <w:tcW w:w="844" w:type="dxa"/>
            <w:tcBorders>
              <w:top w:val="nil"/>
              <w:left w:val="nil"/>
              <w:bottom w:val="nil"/>
              <w:right w:val="nil"/>
            </w:tcBorders>
            <w:shd w:val="clear" w:color="auto" w:fill="auto"/>
            <w:noWrap/>
            <w:vAlign w:val="center"/>
            <w:hideMark/>
          </w:tcPr>
          <w:p w14:paraId="253230D1"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0.195</w:t>
            </w:r>
          </w:p>
        </w:tc>
        <w:tc>
          <w:tcPr>
            <w:tcW w:w="844" w:type="dxa"/>
            <w:tcBorders>
              <w:top w:val="nil"/>
              <w:left w:val="nil"/>
              <w:bottom w:val="nil"/>
              <w:right w:val="nil"/>
            </w:tcBorders>
            <w:shd w:val="clear" w:color="auto" w:fill="auto"/>
            <w:noWrap/>
            <w:vAlign w:val="center"/>
            <w:hideMark/>
          </w:tcPr>
          <w:p w14:paraId="1187770E"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0.162</w:t>
            </w:r>
          </w:p>
        </w:tc>
        <w:tc>
          <w:tcPr>
            <w:tcW w:w="843" w:type="dxa"/>
            <w:tcBorders>
              <w:top w:val="nil"/>
              <w:left w:val="nil"/>
              <w:bottom w:val="nil"/>
              <w:right w:val="nil"/>
            </w:tcBorders>
            <w:shd w:val="clear" w:color="auto" w:fill="auto"/>
            <w:noWrap/>
            <w:vAlign w:val="center"/>
            <w:hideMark/>
          </w:tcPr>
          <w:p w14:paraId="14EEFF3F"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0.134</w:t>
            </w:r>
          </w:p>
        </w:tc>
        <w:tc>
          <w:tcPr>
            <w:tcW w:w="843" w:type="dxa"/>
            <w:tcBorders>
              <w:top w:val="nil"/>
              <w:left w:val="nil"/>
              <w:bottom w:val="nil"/>
              <w:right w:val="nil"/>
            </w:tcBorders>
            <w:shd w:val="clear" w:color="auto" w:fill="auto"/>
            <w:noWrap/>
            <w:vAlign w:val="center"/>
            <w:hideMark/>
          </w:tcPr>
          <w:p w14:paraId="2FC2DF57"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0.163</w:t>
            </w:r>
          </w:p>
        </w:tc>
        <w:tc>
          <w:tcPr>
            <w:tcW w:w="2790" w:type="dxa"/>
            <w:tcBorders>
              <w:top w:val="nil"/>
              <w:left w:val="nil"/>
              <w:bottom w:val="nil"/>
              <w:right w:val="nil"/>
            </w:tcBorders>
            <w:shd w:val="clear" w:color="auto" w:fill="auto"/>
            <w:noWrap/>
            <w:vAlign w:val="center"/>
            <w:hideMark/>
          </w:tcPr>
          <w:p w14:paraId="61FEE312"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0.031</w:t>
            </w:r>
          </w:p>
        </w:tc>
      </w:tr>
      <w:tr w:rsidR="007D31AF" w:rsidRPr="00B03BC3" w14:paraId="45177D38"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3DC7094D"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C8</w:t>
            </w:r>
          </w:p>
        </w:tc>
        <w:tc>
          <w:tcPr>
            <w:tcW w:w="844" w:type="dxa"/>
            <w:tcBorders>
              <w:top w:val="nil"/>
              <w:left w:val="nil"/>
              <w:bottom w:val="nil"/>
              <w:right w:val="nil"/>
            </w:tcBorders>
            <w:shd w:val="clear" w:color="auto" w:fill="auto"/>
            <w:noWrap/>
            <w:vAlign w:val="center"/>
            <w:hideMark/>
          </w:tcPr>
          <w:p w14:paraId="17BCB2B4"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0.110</w:t>
            </w:r>
          </w:p>
        </w:tc>
        <w:tc>
          <w:tcPr>
            <w:tcW w:w="844" w:type="dxa"/>
            <w:tcBorders>
              <w:top w:val="nil"/>
              <w:left w:val="nil"/>
              <w:bottom w:val="nil"/>
              <w:right w:val="nil"/>
            </w:tcBorders>
            <w:shd w:val="clear" w:color="auto" w:fill="auto"/>
            <w:noWrap/>
            <w:vAlign w:val="center"/>
            <w:hideMark/>
          </w:tcPr>
          <w:p w14:paraId="3D20742A"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0.142</w:t>
            </w:r>
          </w:p>
        </w:tc>
        <w:tc>
          <w:tcPr>
            <w:tcW w:w="843" w:type="dxa"/>
            <w:tcBorders>
              <w:top w:val="nil"/>
              <w:left w:val="nil"/>
              <w:bottom w:val="nil"/>
              <w:right w:val="nil"/>
            </w:tcBorders>
            <w:shd w:val="clear" w:color="auto" w:fill="auto"/>
            <w:noWrap/>
            <w:vAlign w:val="center"/>
            <w:hideMark/>
          </w:tcPr>
          <w:p w14:paraId="211541C2"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0.177</w:t>
            </w:r>
          </w:p>
        </w:tc>
        <w:tc>
          <w:tcPr>
            <w:tcW w:w="843" w:type="dxa"/>
            <w:tcBorders>
              <w:top w:val="nil"/>
              <w:left w:val="nil"/>
              <w:bottom w:val="nil"/>
              <w:right w:val="nil"/>
            </w:tcBorders>
            <w:shd w:val="clear" w:color="auto" w:fill="auto"/>
            <w:noWrap/>
            <w:vAlign w:val="center"/>
            <w:hideMark/>
          </w:tcPr>
          <w:p w14:paraId="4788626D"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0.143</w:t>
            </w:r>
          </w:p>
        </w:tc>
        <w:tc>
          <w:tcPr>
            <w:tcW w:w="2790" w:type="dxa"/>
            <w:tcBorders>
              <w:top w:val="nil"/>
              <w:left w:val="nil"/>
              <w:bottom w:val="nil"/>
              <w:right w:val="nil"/>
            </w:tcBorders>
            <w:shd w:val="clear" w:color="auto" w:fill="auto"/>
            <w:noWrap/>
            <w:vAlign w:val="center"/>
            <w:hideMark/>
          </w:tcPr>
          <w:p w14:paraId="5634DD37"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0.033</w:t>
            </w:r>
          </w:p>
        </w:tc>
      </w:tr>
      <w:tr w:rsidR="007D31AF" w:rsidRPr="00B03BC3" w14:paraId="58868874"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312B98F3"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C9</w:t>
            </w:r>
          </w:p>
        </w:tc>
        <w:tc>
          <w:tcPr>
            <w:tcW w:w="844" w:type="dxa"/>
            <w:tcBorders>
              <w:top w:val="nil"/>
              <w:left w:val="nil"/>
              <w:bottom w:val="nil"/>
              <w:right w:val="nil"/>
            </w:tcBorders>
            <w:shd w:val="clear" w:color="auto" w:fill="auto"/>
            <w:noWrap/>
            <w:vAlign w:val="center"/>
            <w:hideMark/>
          </w:tcPr>
          <w:p w14:paraId="70976051"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0.198</w:t>
            </w:r>
          </w:p>
        </w:tc>
        <w:tc>
          <w:tcPr>
            <w:tcW w:w="844" w:type="dxa"/>
            <w:tcBorders>
              <w:top w:val="nil"/>
              <w:left w:val="nil"/>
              <w:bottom w:val="nil"/>
              <w:right w:val="nil"/>
            </w:tcBorders>
            <w:shd w:val="clear" w:color="auto" w:fill="auto"/>
            <w:noWrap/>
            <w:vAlign w:val="center"/>
            <w:hideMark/>
          </w:tcPr>
          <w:p w14:paraId="7A56EC8C"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0.059</w:t>
            </w:r>
          </w:p>
        </w:tc>
        <w:tc>
          <w:tcPr>
            <w:tcW w:w="843" w:type="dxa"/>
            <w:tcBorders>
              <w:top w:val="nil"/>
              <w:left w:val="nil"/>
              <w:bottom w:val="nil"/>
              <w:right w:val="nil"/>
            </w:tcBorders>
            <w:shd w:val="clear" w:color="auto" w:fill="auto"/>
            <w:noWrap/>
            <w:vAlign w:val="center"/>
            <w:hideMark/>
          </w:tcPr>
          <w:p w14:paraId="73BDB111"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0.018</w:t>
            </w:r>
          </w:p>
        </w:tc>
        <w:tc>
          <w:tcPr>
            <w:tcW w:w="843" w:type="dxa"/>
            <w:tcBorders>
              <w:top w:val="nil"/>
              <w:left w:val="nil"/>
              <w:bottom w:val="nil"/>
              <w:right w:val="nil"/>
            </w:tcBorders>
            <w:shd w:val="clear" w:color="auto" w:fill="auto"/>
            <w:noWrap/>
            <w:vAlign w:val="center"/>
            <w:hideMark/>
          </w:tcPr>
          <w:p w14:paraId="4F3EBCE8"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0.092</w:t>
            </w:r>
          </w:p>
        </w:tc>
        <w:tc>
          <w:tcPr>
            <w:tcW w:w="2790" w:type="dxa"/>
            <w:tcBorders>
              <w:top w:val="nil"/>
              <w:left w:val="nil"/>
              <w:bottom w:val="nil"/>
              <w:right w:val="nil"/>
            </w:tcBorders>
            <w:shd w:val="clear" w:color="auto" w:fill="auto"/>
            <w:noWrap/>
            <w:vAlign w:val="center"/>
            <w:hideMark/>
          </w:tcPr>
          <w:p w14:paraId="34E1E121"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0.094</w:t>
            </w:r>
          </w:p>
        </w:tc>
      </w:tr>
      <w:tr w:rsidR="007D31AF" w:rsidRPr="00B03BC3" w14:paraId="07E4722F"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3C2D9F56"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C10</w:t>
            </w:r>
          </w:p>
        </w:tc>
        <w:tc>
          <w:tcPr>
            <w:tcW w:w="844" w:type="dxa"/>
            <w:tcBorders>
              <w:top w:val="nil"/>
              <w:left w:val="nil"/>
              <w:bottom w:val="nil"/>
              <w:right w:val="nil"/>
            </w:tcBorders>
            <w:shd w:val="clear" w:color="auto" w:fill="auto"/>
            <w:noWrap/>
            <w:vAlign w:val="center"/>
            <w:hideMark/>
          </w:tcPr>
          <w:p w14:paraId="3D466DE0"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0.121</w:t>
            </w:r>
          </w:p>
        </w:tc>
        <w:tc>
          <w:tcPr>
            <w:tcW w:w="844" w:type="dxa"/>
            <w:tcBorders>
              <w:top w:val="nil"/>
              <w:left w:val="nil"/>
              <w:bottom w:val="nil"/>
              <w:right w:val="nil"/>
            </w:tcBorders>
            <w:shd w:val="clear" w:color="auto" w:fill="auto"/>
            <w:noWrap/>
            <w:vAlign w:val="center"/>
            <w:hideMark/>
          </w:tcPr>
          <w:p w14:paraId="51F1F6BA"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0.115</w:t>
            </w:r>
          </w:p>
        </w:tc>
        <w:tc>
          <w:tcPr>
            <w:tcW w:w="843" w:type="dxa"/>
            <w:tcBorders>
              <w:top w:val="nil"/>
              <w:left w:val="nil"/>
              <w:bottom w:val="nil"/>
              <w:right w:val="nil"/>
            </w:tcBorders>
            <w:shd w:val="clear" w:color="auto" w:fill="auto"/>
            <w:noWrap/>
            <w:vAlign w:val="center"/>
            <w:hideMark/>
          </w:tcPr>
          <w:p w14:paraId="4A931AEE"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0.030</w:t>
            </w:r>
          </w:p>
        </w:tc>
        <w:tc>
          <w:tcPr>
            <w:tcW w:w="843" w:type="dxa"/>
            <w:tcBorders>
              <w:top w:val="nil"/>
              <w:left w:val="nil"/>
              <w:bottom w:val="nil"/>
              <w:right w:val="nil"/>
            </w:tcBorders>
            <w:shd w:val="clear" w:color="auto" w:fill="auto"/>
            <w:noWrap/>
            <w:vAlign w:val="center"/>
            <w:hideMark/>
          </w:tcPr>
          <w:p w14:paraId="087D02BE"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0.089</w:t>
            </w:r>
          </w:p>
        </w:tc>
        <w:tc>
          <w:tcPr>
            <w:tcW w:w="2790" w:type="dxa"/>
            <w:tcBorders>
              <w:top w:val="nil"/>
              <w:left w:val="nil"/>
              <w:bottom w:val="nil"/>
              <w:right w:val="nil"/>
            </w:tcBorders>
            <w:shd w:val="clear" w:color="auto" w:fill="auto"/>
            <w:noWrap/>
            <w:vAlign w:val="center"/>
            <w:hideMark/>
          </w:tcPr>
          <w:p w14:paraId="3EDEE42D"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0.051</w:t>
            </w:r>
          </w:p>
        </w:tc>
      </w:tr>
      <w:tr w:rsidR="007D31AF" w:rsidRPr="00B03BC3" w14:paraId="39F5E731"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61FD34C3"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C11</w:t>
            </w:r>
          </w:p>
        </w:tc>
        <w:tc>
          <w:tcPr>
            <w:tcW w:w="844" w:type="dxa"/>
            <w:tcBorders>
              <w:top w:val="nil"/>
              <w:left w:val="nil"/>
              <w:bottom w:val="nil"/>
              <w:right w:val="nil"/>
            </w:tcBorders>
            <w:shd w:val="clear" w:color="auto" w:fill="auto"/>
            <w:noWrap/>
            <w:vAlign w:val="center"/>
            <w:hideMark/>
          </w:tcPr>
          <w:p w14:paraId="49DE05D0"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0.002</w:t>
            </w:r>
          </w:p>
        </w:tc>
        <w:tc>
          <w:tcPr>
            <w:tcW w:w="844" w:type="dxa"/>
            <w:tcBorders>
              <w:top w:val="nil"/>
              <w:left w:val="nil"/>
              <w:bottom w:val="nil"/>
              <w:right w:val="nil"/>
            </w:tcBorders>
            <w:shd w:val="clear" w:color="auto" w:fill="auto"/>
            <w:noWrap/>
            <w:vAlign w:val="center"/>
            <w:hideMark/>
          </w:tcPr>
          <w:p w14:paraId="6591E8C2"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0.015</w:t>
            </w:r>
          </w:p>
        </w:tc>
        <w:tc>
          <w:tcPr>
            <w:tcW w:w="843" w:type="dxa"/>
            <w:tcBorders>
              <w:top w:val="nil"/>
              <w:left w:val="nil"/>
              <w:bottom w:val="nil"/>
              <w:right w:val="nil"/>
            </w:tcBorders>
            <w:shd w:val="clear" w:color="auto" w:fill="auto"/>
            <w:noWrap/>
            <w:vAlign w:val="center"/>
            <w:hideMark/>
          </w:tcPr>
          <w:p w14:paraId="299B3F68"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0.126</w:t>
            </w:r>
          </w:p>
        </w:tc>
        <w:tc>
          <w:tcPr>
            <w:tcW w:w="843" w:type="dxa"/>
            <w:tcBorders>
              <w:top w:val="nil"/>
              <w:left w:val="nil"/>
              <w:bottom w:val="nil"/>
              <w:right w:val="nil"/>
            </w:tcBorders>
            <w:shd w:val="clear" w:color="auto" w:fill="auto"/>
            <w:noWrap/>
            <w:vAlign w:val="center"/>
            <w:hideMark/>
          </w:tcPr>
          <w:p w14:paraId="43DC45F5"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0.048</w:t>
            </w:r>
          </w:p>
        </w:tc>
        <w:tc>
          <w:tcPr>
            <w:tcW w:w="2790" w:type="dxa"/>
            <w:tcBorders>
              <w:top w:val="nil"/>
              <w:left w:val="nil"/>
              <w:bottom w:val="nil"/>
              <w:right w:val="nil"/>
            </w:tcBorders>
            <w:shd w:val="clear" w:color="auto" w:fill="auto"/>
            <w:noWrap/>
            <w:vAlign w:val="center"/>
            <w:hideMark/>
          </w:tcPr>
          <w:p w14:paraId="7474A549"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0.068</w:t>
            </w:r>
          </w:p>
        </w:tc>
      </w:tr>
      <w:tr w:rsidR="007D31AF" w:rsidRPr="00B03BC3" w14:paraId="60BC17F7"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29B31E71"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C12</w:t>
            </w:r>
          </w:p>
        </w:tc>
        <w:tc>
          <w:tcPr>
            <w:tcW w:w="844" w:type="dxa"/>
            <w:tcBorders>
              <w:top w:val="nil"/>
              <w:left w:val="nil"/>
              <w:bottom w:val="nil"/>
              <w:right w:val="nil"/>
            </w:tcBorders>
            <w:shd w:val="clear" w:color="auto" w:fill="auto"/>
            <w:noWrap/>
            <w:vAlign w:val="center"/>
            <w:hideMark/>
          </w:tcPr>
          <w:p w14:paraId="57A38E25"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0.052</w:t>
            </w:r>
          </w:p>
        </w:tc>
        <w:tc>
          <w:tcPr>
            <w:tcW w:w="844" w:type="dxa"/>
            <w:tcBorders>
              <w:top w:val="nil"/>
              <w:left w:val="nil"/>
              <w:bottom w:val="nil"/>
              <w:right w:val="nil"/>
            </w:tcBorders>
            <w:shd w:val="clear" w:color="auto" w:fill="auto"/>
            <w:noWrap/>
            <w:vAlign w:val="center"/>
            <w:hideMark/>
          </w:tcPr>
          <w:p w14:paraId="38910B04"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0.053</w:t>
            </w:r>
          </w:p>
        </w:tc>
        <w:tc>
          <w:tcPr>
            <w:tcW w:w="843" w:type="dxa"/>
            <w:tcBorders>
              <w:top w:val="nil"/>
              <w:left w:val="nil"/>
              <w:bottom w:val="nil"/>
              <w:right w:val="nil"/>
            </w:tcBorders>
            <w:shd w:val="clear" w:color="auto" w:fill="auto"/>
            <w:noWrap/>
            <w:vAlign w:val="center"/>
            <w:hideMark/>
          </w:tcPr>
          <w:p w14:paraId="2F606FAC"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0.072</w:t>
            </w:r>
          </w:p>
        </w:tc>
        <w:tc>
          <w:tcPr>
            <w:tcW w:w="843" w:type="dxa"/>
            <w:tcBorders>
              <w:top w:val="nil"/>
              <w:left w:val="nil"/>
              <w:bottom w:val="nil"/>
              <w:right w:val="nil"/>
            </w:tcBorders>
            <w:shd w:val="clear" w:color="auto" w:fill="auto"/>
            <w:noWrap/>
            <w:vAlign w:val="center"/>
            <w:hideMark/>
          </w:tcPr>
          <w:p w14:paraId="21A8DD72"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0.059</w:t>
            </w:r>
          </w:p>
        </w:tc>
        <w:tc>
          <w:tcPr>
            <w:tcW w:w="2790" w:type="dxa"/>
            <w:tcBorders>
              <w:top w:val="nil"/>
              <w:left w:val="nil"/>
              <w:bottom w:val="nil"/>
              <w:right w:val="nil"/>
            </w:tcBorders>
            <w:shd w:val="clear" w:color="auto" w:fill="auto"/>
            <w:noWrap/>
            <w:vAlign w:val="center"/>
            <w:hideMark/>
          </w:tcPr>
          <w:p w14:paraId="66442E96"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0.011</w:t>
            </w:r>
          </w:p>
        </w:tc>
      </w:tr>
      <w:tr w:rsidR="007D31AF" w:rsidRPr="00B03BC3" w14:paraId="63789B46"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2AF05904"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C13</w:t>
            </w:r>
          </w:p>
        </w:tc>
        <w:tc>
          <w:tcPr>
            <w:tcW w:w="844" w:type="dxa"/>
            <w:tcBorders>
              <w:top w:val="nil"/>
              <w:left w:val="nil"/>
              <w:bottom w:val="nil"/>
              <w:right w:val="nil"/>
            </w:tcBorders>
            <w:shd w:val="clear" w:color="auto" w:fill="auto"/>
            <w:noWrap/>
            <w:vAlign w:val="center"/>
            <w:hideMark/>
          </w:tcPr>
          <w:p w14:paraId="6193B2B6"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0.096</w:t>
            </w:r>
          </w:p>
        </w:tc>
        <w:tc>
          <w:tcPr>
            <w:tcW w:w="844" w:type="dxa"/>
            <w:tcBorders>
              <w:top w:val="nil"/>
              <w:left w:val="nil"/>
              <w:bottom w:val="nil"/>
              <w:right w:val="nil"/>
            </w:tcBorders>
            <w:shd w:val="clear" w:color="auto" w:fill="auto"/>
            <w:noWrap/>
            <w:vAlign w:val="center"/>
            <w:hideMark/>
          </w:tcPr>
          <w:p w14:paraId="7A3BDC29"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-0.113</w:t>
            </w:r>
          </w:p>
        </w:tc>
        <w:tc>
          <w:tcPr>
            <w:tcW w:w="843" w:type="dxa"/>
            <w:tcBorders>
              <w:top w:val="nil"/>
              <w:left w:val="nil"/>
              <w:bottom w:val="nil"/>
              <w:right w:val="nil"/>
            </w:tcBorders>
            <w:shd w:val="clear" w:color="auto" w:fill="auto"/>
            <w:noWrap/>
            <w:vAlign w:val="center"/>
            <w:hideMark/>
          </w:tcPr>
          <w:p w14:paraId="657A0E3F"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0.134</w:t>
            </w:r>
          </w:p>
        </w:tc>
        <w:tc>
          <w:tcPr>
            <w:tcW w:w="843" w:type="dxa"/>
            <w:tcBorders>
              <w:top w:val="nil"/>
              <w:left w:val="nil"/>
              <w:bottom w:val="nil"/>
              <w:right w:val="nil"/>
            </w:tcBorders>
            <w:shd w:val="clear" w:color="auto" w:fill="auto"/>
            <w:noWrap/>
            <w:vAlign w:val="center"/>
            <w:hideMark/>
          </w:tcPr>
          <w:p w14:paraId="168182BF"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0.039</w:t>
            </w:r>
          </w:p>
        </w:tc>
        <w:tc>
          <w:tcPr>
            <w:tcW w:w="2790" w:type="dxa"/>
            <w:tcBorders>
              <w:top w:val="nil"/>
              <w:left w:val="nil"/>
              <w:bottom w:val="nil"/>
              <w:right w:val="nil"/>
            </w:tcBorders>
            <w:shd w:val="clear" w:color="auto" w:fill="auto"/>
            <w:noWrap/>
            <w:vAlign w:val="center"/>
            <w:hideMark/>
          </w:tcPr>
          <w:p w14:paraId="01819688"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0.133</w:t>
            </w:r>
          </w:p>
        </w:tc>
      </w:tr>
      <w:tr w:rsidR="007D31AF" w:rsidRPr="00B03BC3" w14:paraId="77219C04"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24E9AB4B"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C14</w:t>
            </w:r>
          </w:p>
        </w:tc>
        <w:tc>
          <w:tcPr>
            <w:tcW w:w="844" w:type="dxa"/>
            <w:tcBorders>
              <w:top w:val="nil"/>
              <w:left w:val="nil"/>
              <w:bottom w:val="nil"/>
              <w:right w:val="nil"/>
            </w:tcBorders>
            <w:shd w:val="clear" w:color="auto" w:fill="auto"/>
            <w:noWrap/>
            <w:vAlign w:val="center"/>
            <w:hideMark/>
          </w:tcPr>
          <w:p w14:paraId="335D198A"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0.198</w:t>
            </w:r>
          </w:p>
        </w:tc>
        <w:tc>
          <w:tcPr>
            <w:tcW w:w="844" w:type="dxa"/>
            <w:tcBorders>
              <w:top w:val="nil"/>
              <w:left w:val="nil"/>
              <w:bottom w:val="nil"/>
              <w:right w:val="nil"/>
            </w:tcBorders>
            <w:shd w:val="clear" w:color="auto" w:fill="auto"/>
            <w:noWrap/>
            <w:vAlign w:val="center"/>
            <w:hideMark/>
          </w:tcPr>
          <w:p w14:paraId="15A98CF1"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0.146</w:t>
            </w:r>
          </w:p>
        </w:tc>
        <w:tc>
          <w:tcPr>
            <w:tcW w:w="843" w:type="dxa"/>
            <w:tcBorders>
              <w:top w:val="nil"/>
              <w:left w:val="nil"/>
              <w:bottom w:val="nil"/>
              <w:right w:val="nil"/>
            </w:tcBorders>
            <w:shd w:val="clear" w:color="auto" w:fill="auto"/>
            <w:noWrap/>
            <w:vAlign w:val="center"/>
            <w:hideMark/>
          </w:tcPr>
          <w:p w14:paraId="2490A9CE"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0.174</w:t>
            </w:r>
          </w:p>
        </w:tc>
        <w:tc>
          <w:tcPr>
            <w:tcW w:w="843" w:type="dxa"/>
            <w:tcBorders>
              <w:top w:val="nil"/>
              <w:left w:val="nil"/>
              <w:bottom w:val="nil"/>
              <w:right w:val="nil"/>
            </w:tcBorders>
            <w:shd w:val="clear" w:color="auto" w:fill="auto"/>
            <w:noWrap/>
            <w:vAlign w:val="center"/>
            <w:hideMark/>
          </w:tcPr>
          <w:p w14:paraId="5CCF1CC6"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0.173</w:t>
            </w:r>
          </w:p>
        </w:tc>
        <w:tc>
          <w:tcPr>
            <w:tcW w:w="2790" w:type="dxa"/>
            <w:tcBorders>
              <w:top w:val="nil"/>
              <w:left w:val="nil"/>
              <w:bottom w:val="nil"/>
              <w:right w:val="nil"/>
            </w:tcBorders>
            <w:shd w:val="clear" w:color="auto" w:fill="auto"/>
            <w:noWrap/>
            <w:vAlign w:val="center"/>
            <w:hideMark/>
          </w:tcPr>
          <w:p w14:paraId="108FC913"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0.026</w:t>
            </w:r>
          </w:p>
        </w:tc>
      </w:tr>
      <w:tr w:rsidR="007D31AF" w:rsidRPr="00B03BC3" w14:paraId="57BFF471"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5F6B358B"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C15</w:t>
            </w:r>
          </w:p>
        </w:tc>
        <w:tc>
          <w:tcPr>
            <w:tcW w:w="844" w:type="dxa"/>
            <w:tcBorders>
              <w:top w:val="nil"/>
              <w:left w:val="nil"/>
              <w:bottom w:val="nil"/>
              <w:right w:val="nil"/>
            </w:tcBorders>
            <w:shd w:val="clear" w:color="auto" w:fill="auto"/>
            <w:noWrap/>
            <w:vAlign w:val="center"/>
            <w:hideMark/>
          </w:tcPr>
          <w:p w14:paraId="2EF20B82"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0.143</w:t>
            </w:r>
          </w:p>
        </w:tc>
        <w:tc>
          <w:tcPr>
            <w:tcW w:w="844" w:type="dxa"/>
            <w:tcBorders>
              <w:top w:val="nil"/>
              <w:left w:val="nil"/>
              <w:bottom w:val="nil"/>
              <w:right w:val="nil"/>
            </w:tcBorders>
            <w:shd w:val="clear" w:color="auto" w:fill="auto"/>
            <w:noWrap/>
            <w:vAlign w:val="center"/>
            <w:hideMark/>
          </w:tcPr>
          <w:p w14:paraId="16B0574A"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0.119</w:t>
            </w:r>
          </w:p>
        </w:tc>
        <w:tc>
          <w:tcPr>
            <w:tcW w:w="843" w:type="dxa"/>
            <w:tcBorders>
              <w:top w:val="nil"/>
              <w:left w:val="nil"/>
              <w:bottom w:val="nil"/>
              <w:right w:val="nil"/>
            </w:tcBorders>
            <w:shd w:val="clear" w:color="auto" w:fill="auto"/>
            <w:noWrap/>
            <w:vAlign w:val="center"/>
            <w:hideMark/>
          </w:tcPr>
          <w:p w14:paraId="06117C4A"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0.118</w:t>
            </w:r>
          </w:p>
        </w:tc>
        <w:tc>
          <w:tcPr>
            <w:tcW w:w="843" w:type="dxa"/>
            <w:tcBorders>
              <w:top w:val="nil"/>
              <w:left w:val="nil"/>
              <w:bottom w:val="nil"/>
              <w:right w:val="nil"/>
            </w:tcBorders>
            <w:shd w:val="clear" w:color="auto" w:fill="auto"/>
            <w:noWrap/>
            <w:vAlign w:val="center"/>
            <w:hideMark/>
          </w:tcPr>
          <w:p w14:paraId="67D9E485"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0.127</w:t>
            </w:r>
          </w:p>
        </w:tc>
        <w:tc>
          <w:tcPr>
            <w:tcW w:w="2790" w:type="dxa"/>
            <w:tcBorders>
              <w:top w:val="nil"/>
              <w:left w:val="nil"/>
              <w:bottom w:val="nil"/>
              <w:right w:val="nil"/>
            </w:tcBorders>
            <w:shd w:val="clear" w:color="auto" w:fill="auto"/>
            <w:noWrap/>
            <w:vAlign w:val="center"/>
            <w:hideMark/>
          </w:tcPr>
          <w:p w14:paraId="2D20A0A7"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0.014</w:t>
            </w:r>
          </w:p>
        </w:tc>
      </w:tr>
      <w:tr w:rsidR="007D31AF" w:rsidRPr="00B03BC3" w14:paraId="07896963"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7A1181B7"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C16</w:t>
            </w:r>
          </w:p>
        </w:tc>
        <w:tc>
          <w:tcPr>
            <w:tcW w:w="844" w:type="dxa"/>
            <w:tcBorders>
              <w:top w:val="nil"/>
              <w:left w:val="nil"/>
              <w:bottom w:val="nil"/>
              <w:right w:val="nil"/>
            </w:tcBorders>
            <w:shd w:val="clear" w:color="auto" w:fill="auto"/>
            <w:noWrap/>
            <w:vAlign w:val="center"/>
            <w:hideMark/>
          </w:tcPr>
          <w:p w14:paraId="0CAA548D"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0.091</w:t>
            </w:r>
          </w:p>
        </w:tc>
        <w:tc>
          <w:tcPr>
            <w:tcW w:w="844" w:type="dxa"/>
            <w:tcBorders>
              <w:top w:val="nil"/>
              <w:left w:val="nil"/>
              <w:bottom w:val="nil"/>
              <w:right w:val="nil"/>
            </w:tcBorders>
            <w:shd w:val="clear" w:color="auto" w:fill="auto"/>
            <w:noWrap/>
            <w:vAlign w:val="center"/>
            <w:hideMark/>
          </w:tcPr>
          <w:p w14:paraId="7D7A5D7E"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0.090</w:t>
            </w:r>
          </w:p>
        </w:tc>
        <w:tc>
          <w:tcPr>
            <w:tcW w:w="843" w:type="dxa"/>
            <w:tcBorders>
              <w:top w:val="nil"/>
              <w:left w:val="nil"/>
              <w:bottom w:val="nil"/>
              <w:right w:val="nil"/>
            </w:tcBorders>
            <w:shd w:val="clear" w:color="auto" w:fill="auto"/>
            <w:noWrap/>
            <w:vAlign w:val="center"/>
            <w:hideMark/>
          </w:tcPr>
          <w:p w14:paraId="5A61946C"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0.072</w:t>
            </w:r>
          </w:p>
        </w:tc>
        <w:tc>
          <w:tcPr>
            <w:tcW w:w="843" w:type="dxa"/>
            <w:tcBorders>
              <w:top w:val="nil"/>
              <w:left w:val="nil"/>
              <w:bottom w:val="nil"/>
              <w:right w:val="nil"/>
            </w:tcBorders>
            <w:shd w:val="clear" w:color="auto" w:fill="auto"/>
            <w:noWrap/>
            <w:vAlign w:val="center"/>
            <w:hideMark/>
          </w:tcPr>
          <w:p w14:paraId="6C87D191"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0.085</w:t>
            </w:r>
          </w:p>
        </w:tc>
        <w:tc>
          <w:tcPr>
            <w:tcW w:w="2790" w:type="dxa"/>
            <w:tcBorders>
              <w:top w:val="nil"/>
              <w:left w:val="nil"/>
              <w:bottom w:val="nil"/>
              <w:right w:val="nil"/>
            </w:tcBorders>
            <w:shd w:val="clear" w:color="auto" w:fill="auto"/>
            <w:noWrap/>
            <w:vAlign w:val="center"/>
            <w:hideMark/>
          </w:tcPr>
          <w:p w14:paraId="317F9BD1"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0.011</w:t>
            </w:r>
          </w:p>
        </w:tc>
      </w:tr>
      <w:tr w:rsidR="007D31AF" w:rsidRPr="00B03BC3" w14:paraId="24E50553"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3D9CA0E1"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C17</w:t>
            </w:r>
          </w:p>
        </w:tc>
        <w:tc>
          <w:tcPr>
            <w:tcW w:w="844" w:type="dxa"/>
            <w:tcBorders>
              <w:top w:val="nil"/>
              <w:left w:val="nil"/>
              <w:bottom w:val="nil"/>
              <w:right w:val="nil"/>
            </w:tcBorders>
            <w:shd w:val="clear" w:color="auto" w:fill="auto"/>
            <w:noWrap/>
            <w:vAlign w:val="center"/>
            <w:hideMark/>
          </w:tcPr>
          <w:p w14:paraId="3CD4AE22"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0.204</w:t>
            </w:r>
          </w:p>
        </w:tc>
        <w:tc>
          <w:tcPr>
            <w:tcW w:w="844" w:type="dxa"/>
            <w:tcBorders>
              <w:top w:val="nil"/>
              <w:left w:val="nil"/>
              <w:bottom w:val="nil"/>
              <w:right w:val="nil"/>
            </w:tcBorders>
            <w:shd w:val="clear" w:color="auto" w:fill="auto"/>
            <w:noWrap/>
            <w:vAlign w:val="center"/>
            <w:hideMark/>
          </w:tcPr>
          <w:p w14:paraId="46291263"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0.186</w:t>
            </w:r>
          </w:p>
        </w:tc>
        <w:tc>
          <w:tcPr>
            <w:tcW w:w="843" w:type="dxa"/>
            <w:tcBorders>
              <w:top w:val="nil"/>
              <w:left w:val="nil"/>
              <w:bottom w:val="nil"/>
              <w:right w:val="nil"/>
            </w:tcBorders>
            <w:shd w:val="clear" w:color="auto" w:fill="auto"/>
            <w:noWrap/>
            <w:vAlign w:val="center"/>
            <w:hideMark/>
          </w:tcPr>
          <w:p w14:paraId="30B3371C"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0.211</w:t>
            </w:r>
          </w:p>
        </w:tc>
        <w:tc>
          <w:tcPr>
            <w:tcW w:w="843" w:type="dxa"/>
            <w:tcBorders>
              <w:top w:val="nil"/>
              <w:left w:val="nil"/>
              <w:bottom w:val="nil"/>
              <w:right w:val="nil"/>
            </w:tcBorders>
            <w:shd w:val="clear" w:color="auto" w:fill="auto"/>
            <w:noWrap/>
            <w:vAlign w:val="center"/>
            <w:hideMark/>
          </w:tcPr>
          <w:p w14:paraId="6655EA29"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0.200</w:t>
            </w:r>
          </w:p>
        </w:tc>
        <w:tc>
          <w:tcPr>
            <w:tcW w:w="2790" w:type="dxa"/>
            <w:tcBorders>
              <w:top w:val="nil"/>
              <w:left w:val="nil"/>
              <w:bottom w:val="nil"/>
              <w:right w:val="nil"/>
            </w:tcBorders>
            <w:shd w:val="clear" w:color="auto" w:fill="auto"/>
            <w:noWrap/>
            <w:vAlign w:val="center"/>
            <w:hideMark/>
          </w:tcPr>
          <w:p w14:paraId="0905218E"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0.013</w:t>
            </w:r>
          </w:p>
        </w:tc>
      </w:tr>
      <w:tr w:rsidR="007D31AF" w:rsidRPr="00B03BC3" w14:paraId="7499DF4B"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010A1899"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C18</w:t>
            </w:r>
          </w:p>
        </w:tc>
        <w:tc>
          <w:tcPr>
            <w:tcW w:w="844" w:type="dxa"/>
            <w:tcBorders>
              <w:top w:val="nil"/>
              <w:left w:val="nil"/>
              <w:bottom w:val="nil"/>
              <w:right w:val="nil"/>
            </w:tcBorders>
            <w:shd w:val="clear" w:color="auto" w:fill="auto"/>
            <w:noWrap/>
            <w:vAlign w:val="center"/>
            <w:hideMark/>
          </w:tcPr>
          <w:p w14:paraId="7B5E5815"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0.039</w:t>
            </w:r>
          </w:p>
        </w:tc>
        <w:tc>
          <w:tcPr>
            <w:tcW w:w="844" w:type="dxa"/>
            <w:tcBorders>
              <w:top w:val="nil"/>
              <w:left w:val="nil"/>
              <w:bottom w:val="nil"/>
              <w:right w:val="nil"/>
            </w:tcBorders>
            <w:shd w:val="clear" w:color="auto" w:fill="auto"/>
            <w:noWrap/>
            <w:vAlign w:val="center"/>
            <w:hideMark/>
          </w:tcPr>
          <w:p w14:paraId="6D6607CD"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0.049</w:t>
            </w:r>
          </w:p>
        </w:tc>
        <w:tc>
          <w:tcPr>
            <w:tcW w:w="843" w:type="dxa"/>
            <w:tcBorders>
              <w:top w:val="nil"/>
              <w:left w:val="nil"/>
              <w:bottom w:val="nil"/>
              <w:right w:val="nil"/>
            </w:tcBorders>
            <w:shd w:val="clear" w:color="auto" w:fill="auto"/>
            <w:noWrap/>
            <w:vAlign w:val="center"/>
            <w:hideMark/>
          </w:tcPr>
          <w:p w14:paraId="7E4637AF"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0.042</w:t>
            </w:r>
          </w:p>
        </w:tc>
        <w:tc>
          <w:tcPr>
            <w:tcW w:w="843" w:type="dxa"/>
            <w:tcBorders>
              <w:top w:val="nil"/>
              <w:left w:val="nil"/>
              <w:bottom w:val="nil"/>
              <w:right w:val="nil"/>
            </w:tcBorders>
            <w:shd w:val="clear" w:color="auto" w:fill="auto"/>
            <w:noWrap/>
            <w:vAlign w:val="center"/>
            <w:hideMark/>
          </w:tcPr>
          <w:p w14:paraId="66D32A49"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0.043</w:t>
            </w:r>
          </w:p>
        </w:tc>
        <w:tc>
          <w:tcPr>
            <w:tcW w:w="2790" w:type="dxa"/>
            <w:tcBorders>
              <w:top w:val="nil"/>
              <w:left w:val="nil"/>
              <w:bottom w:val="nil"/>
              <w:right w:val="nil"/>
            </w:tcBorders>
            <w:shd w:val="clear" w:color="auto" w:fill="auto"/>
            <w:noWrap/>
            <w:vAlign w:val="center"/>
            <w:hideMark/>
          </w:tcPr>
          <w:p w14:paraId="4E0A1A25"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0.005</w:t>
            </w:r>
          </w:p>
        </w:tc>
      </w:tr>
      <w:tr w:rsidR="007D31AF" w:rsidRPr="00B03BC3" w14:paraId="263801E2"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4E1848FD"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C19</w:t>
            </w:r>
          </w:p>
        </w:tc>
        <w:tc>
          <w:tcPr>
            <w:tcW w:w="844" w:type="dxa"/>
            <w:tcBorders>
              <w:top w:val="nil"/>
              <w:left w:val="nil"/>
              <w:bottom w:val="nil"/>
              <w:right w:val="nil"/>
            </w:tcBorders>
            <w:shd w:val="clear" w:color="auto" w:fill="auto"/>
            <w:noWrap/>
            <w:vAlign w:val="center"/>
            <w:hideMark/>
          </w:tcPr>
          <w:p w14:paraId="14B4FEC9"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0.139</w:t>
            </w:r>
          </w:p>
        </w:tc>
        <w:tc>
          <w:tcPr>
            <w:tcW w:w="844" w:type="dxa"/>
            <w:tcBorders>
              <w:top w:val="nil"/>
              <w:left w:val="nil"/>
              <w:bottom w:val="nil"/>
              <w:right w:val="nil"/>
            </w:tcBorders>
            <w:shd w:val="clear" w:color="auto" w:fill="auto"/>
            <w:noWrap/>
            <w:vAlign w:val="center"/>
            <w:hideMark/>
          </w:tcPr>
          <w:p w14:paraId="7E9F1592"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0.023</w:t>
            </w:r>
          </w:p>
        </w:tc>
        <w:tc>
          <w:tcPr>
            <w:tcW w:w="843" w:type="dxa"/>
            <w:tcBorders>
              <w:top w:val="nil"/>
              <w:left w:val="nil"/>
              <w:bottom w:val="nil"/>
              <w:right w:val="nil"/>
            </w:tcBorders>
            <w:shd w:val="clear" w:color="auto" w:fill="auto"/>
            <w:noWrap/>
            <w:vAlign w:val="center"/>
            <w:hideMark/>
          </w:tcPr>
          <w:p w14:paraId="380B76DA"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-0.092</w:t>
            </w:r>
          </w:p>
        </w:tc>
        <w:tc>
          <w:tcPr>
            <w:tcW w:w="843" w:type="dxa"/>
            <w:tcBorders>
              <w:top w:val="nil"/>
              <w:left w:val="nil"/>
              <w:bottom w:val="nil"/>
              <w:right w:val="nil"/>
            </w:tcBorders>
            <w:shd w:val="clear" w:color="auto" w:fill="auto"/>
            <w:noWrap/>
            <w:vAlign w:val="center"/>
            <w:hideMark/>
          </w:tcPr>
          <w:p w14:paraId="2ADB69EE"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0.023</w:t>
            </w:r>
          </w:p>
        </w:tc>
        <w:tc>
          <w:tcPr>
            <w:tcW w:w="2790" w:type="dxa"/>
            <w:tcBorders>
              <w:top w:val="nil"/>
              <w:left w:val="nil"/>
              <w:bottom w:val="nil"/>
              <w:right w:val="nil"/>
            </w:tcBorders>
            <w:shd w:val="clear" w:color="auto" w:fill="auto"/>
            <w:noWrap/>
            <w:vAlign w:val="center"/>
            <w:hideMark/>
          </w:tcPr>
          <w:p w14:paraId="3E7B960B"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0.115</w:t>
            </w:r>
          </w:p>
        </w:tc>
      </w:tr>
      <w:tr w:rsidR="007D31AF" w:rsidRPr="00B03BC3" w14:paraId="089F601E"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4DAD056E"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C20</w:t>
            </w:r>
          </w:p>
        </w:tc>
        <w:tc>
          <w:tcPr>
            <w:tcW w:w="844" w:type="dxa"/>
            <w:tcBorders>
              <w:top w:val="nil"/>
              <w:left w:val="nil"/>
              <w:bottom w:val="nil"/>
              <w:right w:val="nil"/>
            </w:tcBorders>
            <w:shd w:val="clear" w:color="auto" w:fill="auto"/>
            <w:noWrap/>
            <w:vAlign w:val="center"/>
            <w:hideMark/>
          </w:tcPr>
          <w:p w14:paraId="01B62DFF"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0.168</w:t>
            </w:r>
          </w:p>
        </w:tc>
        <w:tc>
          <w:tcPr>
            <w:tcW w:w="844" w:type="dxa"/>
            <w:tcBorders>
              <w:top w:val="nil"/>
              <w:left w:val="nil"/>
              <w:bottom w:val="nil"/>
              <w:right w:val="nil"/>
            </w:tcBorders>
            <w:shd w:val="clear" w:color="auto" w:fill="auto"/>
            <w:noWrap/>
            <w:vAlign w:val="center"/>
            <w:hideMark/>
          </w:tcPr>
          <w:p w14:paraId="450F4BBB"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0.129</w:t>
            </w:r>
          </w:p>
        </w:tc>
        <w:tc>
          <w:tcPr>
            <w:tcW w:w="843" w:type="dxa"/>
            <w:tcBorders>
              <w:top w:val="nil"/>
              <w:left w:val="nil"/>
              <w:bottom w:val="nil"/>
              <w:right w:val="nil"/>
            </w:tcBorders>
            <w:shd w:val="clear" w:color="auto" w:fill="auto"/>
            <w:noWrap/>
            <w:vAlign w:val="center"/>
            <w:hideMark/>
          </w:tcPr>
          <w:p w14:paraId="76D91255"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0.120</w:t>
            </w:r>
          </w:p>
        </w:tc>
        <w:tc>
          <w:tcPr>
            <w:tcW w:w="843" w:type="dxa"/>
            <w:tcBorders>
              <w:top w:val="nil"/>
              <w:left w:val="nil"/>
              <w:bottom w:val="nil"/>
              <w:right w:val="nil"/>
            </w:tcBorders>
            <w:shd w:val="clear" w:color="auto" w:fill="auto"/>
            <w:noWrap/>
            <w:vAlign w:val="center"/>
            <w:hideMark/>
          </w:tcPr>
          <w:p w14:paraId="00A15014"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0.139</w:t>
            </w:r>
          </w:p>
        </w:tc>
        <w:tc>
          <w:tcPr>
            <w:tcW w:w="2790" w:type="dxa"/>
            <w:tcBorders>
              <w:top w:val="nil"/>
              <w:left w:val="nil"/>
              <w:bottom w:val="nil"/>
              <w:right w:val="nil"/>
            </w:tcBorders>
            <w:shd w:val="clear" w:color="auto" w:fill="auto"/>
            <w:noWrap/>
            <w:vAlign w:val="center"/>
            <w:hideMark/>
          </w:tcPr>
          <w:p w14:paraId="4789B2DB"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0.026</w:t>
            </w:r>
          </w:p>
        </w:tc>
      </w:tr>
      <w:tr w:rsidR="00E668DE" w:rsidRPr="00B03BC3" w14:paraId="40851869"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653714B2" w14:textId="77777777" w:rsidR="00E668DE" w:rsidRPr="00BF0707" w:rsidRDefault="00E668DE"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C21</w:t>
            </w:r>
          </w:p>
        </w:tc>
        <w:tc>
          <w:tcPr>
            <w:tcW w:w="844" w:type="dxa"/>
            <w:tcBorders>
              <w:top w:val="nil"/>
              <w:left w:val="nil"/>
              <w:bottom w:val="nil"/>
              <w:right w:val="nil"/>
            </w:tcBorders>
            <w:shd w:val="clear" w:color="auto" w:fill="auto"/>
            <w:noWrap/>
            <w:vAlign w:val="bottom"/>
            <w:hideMark/>
          </w:tcPr>
          <w:p w14:paraId="0D21DA8B" w14:textId="36637505" w:rsidR="00E668DE" w:rsidRPr="00BF0707" w:rsidRDefault="00E668DE" w:rsidP="00BF0707">
            <w:pPr>
              <w:spacing w:after="0" w:line="240" w:lineRule="auto"/>
              <w:ind w:firstLine="0"/>
              <w:jc w:val="center"/>
              <w:rPr>
                <w:rFonts w:eastAsia="Times New Roman" w:cs="Times New Roman"/>
                <w:color w:val="000000"/>
                <w:szCs w:val="24"/>
                <w:lang w:val="en-US"/>
              </w:rPr>
            </w:pPr>
            <w:r>
              <w:rPr>
                <w:rFonts w:ascii="Calibri" w:hAnsi="Calibri" w:cs="Calibri"/>
                <w:color w:val="000000"/>
                <w:sz w:val="22"/>
              </w:rPr>
              <w:t>0.196</w:t>
            </w:r>
          </w:p>
        </w:tc>
        <w:tc>
          <w:tcPr>
            <w:tcW w:w="844" w:type="dxa"/>
            <w:tcBorders>
              <w:top w:val="nil"/>
              <w:left w:val="nil"/>
              <w:bottom w:val="nil"/>
              <w:right w:val="nil"/>
            </w:tcBorders>
            <w:shd w:val="clear" w:color="auto" w:fill="auto"/>
            <w:noWrap/>
            <w:vAlign w:val="bottom"/>
            <w:hideMark/>
          </w:tcPr>
          <w:p w14:paraId="66C9ACDB" w14:textId="5D02D635" w:rsidR="00E668DE" w:rsidRPr="00BF0707" w:rsidRDefault="00E668DE" w:rsidP="00BF0707">
            <w:pPr>
              <w:spacing w:after="0" w:line="240" w:lineRule="auto"/>
              <w:ind w:firstLine="0"/>
              <w:jc w:val="center"/>
              <w:rPr>
                <w:rFonts w:eastAsia="Times New Roman" w:cs="Times New Roman"/>
                <w:color w:val="000000"/>
                <w:szCs w:val="24"/>
                <w:lang w:val="en-US"/>
              </w:rPr>
            </w:pPr>
            <w:r>
              <w:rPr>
                <w:rFonts w:ascii="Calibri" w:hAnsi="Calibri" w:cs="Calibri"/>
                <w:color w:val="000000"/>
                <w:sz w:val="22"/>
              </w:rPr>
              <w:t>0.155</w:t>
            </w:r>
          </w:p>
        </w:tc>
        <w:tc>
          <w:tcPr>
            <w:tcW w:w="843" w:type="dxa"/>
            <w:tcBorders>
              <w:top w:val="nil"/>
              <w:left w:val="nil"/>
              <w:bottom w:val="nil"/>
              <w:right w:val="nil"/>
            </w:tcBorders>
            <w:shd w:val="clear" w:color="auto" w:fill="auto"/>
            <w:noWrap/>
            <w:vAlign w:val="bottom"/>
            <w:hideMark/>
          </w:tcPr>
          <w:p w14:paraId="61F94DC2" w14:textId="600CB0D8" w:rsidR="00E668DE" w:rsidRPr="00BF0707" w:rsidRDefault="00E668DE" w:rsidP="00BF0707">
            <w:pPr>
              <w:spacing w:after="0" w:line="240" w:lineRule="auto"/>
              <w:ind w:firstLine="0"/>
              <w:jc w:val="center"/>
              <w:rPr>
                <w:rFonts w:eastAsia="Times New Roman" w:cs="Times New Roman"/>
                <w:color w:val="000000"/>
                <w:szCs w:val="24"/>
                <w:lang w:val="en-US"/>
              </w:rPr>
            </w:pPr>
            <w:r>
              <w:rPr>
                <w:rFonts w:ascii="Calibri" w:hAnsi="Calibri" w:cs="Calibri"/>
                <w:color w:val="000000"/>
                <w:sz w:val="22"/>
              </w:rPr>
              <w:t>0.167</w:t>
            </w:r>
          </w:p>
        </w:tc>
        <w:tc>
          <w:tcPr>
            <w:tcW w:w="843" w:type="dxa"/>
            <w:tcBorders>
              <w:top w:val="nil"/>
              <w:left w:val="nil"/>
              <w:bottom w:val="nil"/>
              <w:right w:val="nil"/>
            </w:tcBorders>
            <w:shd w:val="clear" w:color="auto" w:fill="auto"/>
            <w:noWrap/>
            <w:vAlign w:val="bottom"/>
            <w:hideMark/>
          </w:tcPr>
          <w:p w14:paraId="34290383" w14:textId="4B0975DC" w:rsidR="00E668DE" w:rsidRPr="00BF0707" w:rsidRDefault="00E668DE" w:rsidP="00BF0707">
            <w:pPr>
              <w:spacing w:after="0" w:line="240" w:lineRule="auto"/>
              <w:ind w:firstLine="0"/>
              <w:jc w:val="center"/>
              <w:rPr>
                <w:rFonts w:eastAsia="Times New Roman" w:cs="Times New Roman"/>
                <w:color w:val="000000"/>
                <w:szCs w:val="24"/>
                <w:lang w:val="en-US"/>
              </w:rPr>
            </w:pPr>
            <w:r>
              <w:rPr>
                <w:rFonts w:ascii="Calibri" w:hAnsi="Calibri" w:cs="Calibri"/>
                <w:color w:val="000000"/>
                <w:sz w:val="22"/>
              </w:rPr>
              <w:t>0.173</w:t>
            </w:r>
          </w:p>
        </w:tc>
        <w:tc>
          <w:tcPr>
            <w:tcW w:w="2790" w:type="dxa"/>
            <w:tcBorders>
              <w:top w:val="nil"/>
              <w:left w:val="nil"/>
              <w:bottom w:val="nil"/>
              <w:right w:val="nil"/>
            </w:tcBorders>
            <w:shd w:val="clear" w:color="auto" w:fill="auto"/>
            <w:noWrap/>
            <w:vAlign w:val="bottom"/>
            <w:hideMark/>
          </w:tcPr>
          <w:p w14:paraId="247891FB" w14:textId="7871F6B5" w:rsidR="00E668DE" w:rsidRPr="00BF0707" w:rsidRDefault="00E668DE" w:rsidP="00BF0707">
            <w:pPr>
              <w:spacing w:after="0" w:line="240" w:lineRule="auto"/>
              <w:ind w:firstLine="0"/>
              <w:jc w:val="center"/>
              <w:rPr>
                <w:rFonts w:eastAsia="Times New Roman" w:cs="Times New Roman"/>
                <w:color w:val="000000"/>
                <w:szCs w:val="24"/>
                <w:lang w:val="en-US"/>
              </w:rPr>
            </w:pPr>
            <w:r>
              <w:rPr>
                <w:rFonts w:ascii="Calibri" w:hAnsi="Calibri" w:cs="Calibri"/>
                <w:color w:val="000000"/>
                <w:sz w:val="22"/>
              </w:rPr>
              <w:t>0.022</w:t>
            </w:r>
          </w:p>
        </w:tc>
      </w:tr>
      <w:tr w:rsidR="007D31AF" w:rsidRPr="00B03BC3" w14:paraId="417F28B0"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4D063FE6"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C22</w:t>
            </w:r>
          </w:p>
        </w:tc>
        <w:tc>
          <w:tcPr>
            <w:tcW w:w="844" w:type="dxa"/>
            <w:tcBorders>
              <w:top w:val="nil"/>
              <w:left w:val="nil"/>
              <w:bottom w:val="nil"/>
              <w:right w:val="nil"/>
            </w:tcBorders>
            <w:shd w:val="clear" w:color="auto" w:fill="auto"/>
            <w:noWrap/>
            <w:vAlign w:val="center"/>
            <w:hideMark/>
          </w:tcPr>
          <w:p w14:paraId="03CE2689"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0.534</w:t>
            </w:r>
          </w:p>
        </w:tc>
        <w:tc>
          <w:tcPr>
            <w:tcW w:w="844" w:type="dxa"/>
            <w:tcBorders>
              <w:top w:val="nil"/>
              <w:left w:val="nil"/>
              <w:bottom w:val="nil"/>
              <w:right w:val="nil"/>
            </w:tcBorders>
            <w:shd w:val="clear" w:color="auto" w:fill="auto"/>
            <w:noWrap/>
            <w:vAlign w:val="center"/>
            <w:hideMark/>
          </w:tcPr>
          <w:p w14:paraId="16A9104B"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0.127</w:t>
            </w:r>
          </w:p>
        </w:tc>
        <w:tc>
          <w:tcPr>
            <w:tcW w:w="843" w:type="dxa"/>
            <w:tcBorders>
              <w:top w:val="nil"/>
              <w:left w:val="nil"/>
              <w:bottom w:val="nil"/>
              <w:right w:val="nil"/>
            </w:tcBorders>
            <w:shd w:val="clear" w:color="auto" w:fill="auto"/>
            <w:noWrap/>
            <w:vAlign w:val="center"/>
            <w:hideMark/>
          </w:tcPr>
          <w:p w14:paraId="6EE2BB66"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0.179</w:t>
            </w:r>
          </w:p>
        </w:tc>
        <w:tc>
          <w:tcPr>
            <w:tcW w:w="843" w:type="dxa"/>
            <w:tcBorders>
              <w:top w:val="nil"/>
              <w:left w:val="nil"/>
              <w:bottom w:val="nil"/>
              <w:right w:val="nil"/>
            </w:tcBorders>
            <w:shd w:val="clear" w:color="auto" w:fill="auto"/>
            <w:noWrap/>
            <w:vAlign w:val="center"/>
            <w:hideMark/>
          </w:tcPr>
          <w:p w14:paraId="0B3C3411"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0.280</w:t>
            </w:r>
          </w:p>
        </w:tc>
        <w:tc>
          <w:tcPr>
            <w:tcW w:w="2790" w:type="dxa"/>
            <w:tcBorders>
              <w:top w:val="nil"/>
              <w:left w:val="nil"/>
              <w:bottom w:val="nil"/>
              <w:right w:val="nil"/>
            </w:tcBorders>
            <w:shd w:val="clear" w:color="auto" w:fill="auto"/>
            <w:noWrap/>
            <w:vAlign w:val="center"/>
            <w:hideMark/>
          </w:tcPr>
          <w:p w14:paraId="1FA614F8"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0.222</w:t>
            </w:r>
          </w:p>
        </w:tc>
      </w:tr>
      <w:tr w:rsidR="007D31AF" w:rsidRPr="00B03BC3" w14:paraId="7DD77847"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4648C36D"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C23</w:t>
            </w:r>
          </w:p>
        </w:tc>
        <w:tc>
          <w:tcPr>
            <w:tcW w:w="844" w:type="dxa"/>
            <w:tcBorders>
              <w:top w:val="nil"/>
              <w:left w:val="nil"/>
              <w:bottom w:val="nil"/>
              <w:right w:val="nil"/>
            </w:tcBorders>
            <w:shd w:val="clear" w:color="auto" w:fill="auto"/>
            <w:noWrap/>
            <w:vAlign w:val="center"/>
            <w:hideMark/>
          </w:tcPr>
          <w:p w14:paraId="707DFE1E"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-0.228</w:t>
            </w:r>
          </w:p>
        </w:tc>
        <w:tc>
          <w:tcPr>
            <w:tcW w:w="844" w:type="dxa"/>
            <w:tcBorders>
              <w:top w:val="nil"/>
              <w:left w:val="nil"/>
              <w:bottom w:val="nil"/>
              <w:right w:val="nil"/>
            </w:tcBorders>
            <w:shd w:val="clear" w:color="auto" w:fill="auto"/>
            <w:noWrap/>
            <w:vAlign w:val="center"/>
            <w:hideMark/>
          </w:tcPr>
          <w:p w14:paraId="2C8AB6B7"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-0.353</w:t>
            </w:r>
          </w:p>
        </w:tc>
        <w:tc>
          <w:tcPr>
            <w:tcW w:w="843" w:type="dxa"/>
            <w:tcBorders>
              <w:top w:val="nil"/>
              <w:left w:val="nil"/>
              <w:bottom w:val="nil"/>
              <w:right w:val="nil"/>
            </w:tcBorders>
            <w:shd w:val="clear" w:color="auto" w:fill="auto"/>
            <w:noWrap/>
            <w:vAlign w:val="center"/>
            <w:hideMark/>
          </w:tcPr>
          <w:p w14:paraId="60906105"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-0.379</w:t>
            </w:r>
          </w:p>
        </w:tc>
        <w:tc>
          <w:tcPr>
            <w:tcW w:w="843" w:type="dxa"/>
            <w:tcBorders>
              <w:top w:val="nil"/>
              <w:left w:val="nil"/>
              <w:bottom w:val="nil"/>
              <w:right w:val="nil"/>
            </w:tcBorders>
            <w:shd w:val="clear" w:color="auto" w:fill="auto"/>
            <w:noWrap/>
            <w:vAlign w:val="center"/>
            <w:hideMark/>
          </w:tcPr>
          <w:p w14:paraId="1DE6F527"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-0.320</w:t>
            </w:r>
          </w:p>
        </w:tc>
        <w:tc>
          <w:tcPr>
            <w:tcW w:w="2790" w:type="dxa"/>
            <w:tcBorders>
              <w:top w:val="nil"/>
              <w:left w:val="nil"/>
              <w:bottom w:val="nil"/>
              <w:right w:val="nil"/>
            </w:tcBorders>
            <w:shd w:val="clear" w:color="auto" w:fill="auto"/>
            <w:noWrap/>
            <w:vAlign w:val="center"/>
            <w:hideMark/>
          </w:tcPr>
          <w:p w14:paraId="4057A811"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0.081</w:t>
            </w:r>
          </w:p>
        </w:tc>
      </w:tr>
      <w:tr w:rsidR="007D31AF" w:rsidRPr="00B03BC3" w14:paraId="41593D1B" w14:textId="77777777" w:rsidTr="00BF0707">
        <w:trPr>
          <w:trHeight w:val="300"/>
          <w:jc w:val="center"/>
        </w:trPr>
        <w:tc>
          <w:tcPr>
            <w:tcW w:w="1633" w:type="dxa"/>
            <w:tcBorders>
              <w:top w:val="nil"/>
              <w:left w:val="nil"/>
              <w:bottom w:val="nil"/>
              <w:right w:val="nil"/>
            </w:tcBorders>
            <w:shd w:val="clear" w:color="auto" w:fill="auto"/>
            <w:noWrap/>
            <w:vAlign w:val="center"/>
            <w:hideMark/>
          </w:tcPr>
          <w:p w14:paraId="4E2E2F68"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C24</w:t>
            </w:r>
          </w:p>
        </w:tc>
        <w:tc>
          <w:tcPr>
            <w:tcW w:w="844" w:type="dxa"/>
            <w:tcBorders>
              <w:top w:val="nil"/>
              <w:left w:val="nil"/>
              <w:bottom w:val="nil"/>
              <w:right w:val="nil"/>
            </w:tcBorders>
            <w:shd w:val="clear" w:color="auto" w:fill="auto"/>
            <w:noWrap/>
            <w:vAlign w:val="center"/>
            <w:hideMark/>
          </w:tcPr>
          <w:p w14:paraId="5CDD8D1C"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0.115</w:t>
            </w:r>
          </w:p>
        </w:tc>
        <w:tc>
          <w:tcPr>
            <w:tcW w:w="844" w:type="dxa"/>
            <w:tcBorders>
              <w:top w:val="nil"/>
              <w:left w:val="nil"/>
              <w:bottom w:val="nil"/>
              <w:right w:val="nil"/>
            </w:tcBorders>
            <w:shd w:val="clear" w:color="auto" w:fill="auto"/>
            <w:noWrap/>
            <w:vAlign w:val="center"/>
            <w:hideMark/>
          </w:tcPr>
          <w:p w14:paraId="3A7B4D54"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0.128</w:t>
            </w:r>
          </w:p>
        </w:tc>
        <w:tc>
          <w:tcPr>
            <w:tcW w:w="843" w:type="dxa"/>
            <w:tcBorders>
              <w:top w:val="nil"/>
              <w:left w:val="nil"/>
              <w:bottom w:val="nil"/>
              <w:right w:val="nil"/>
            </w:tcBorders>
            <w:shd w:val="clear" w:color="auto" w:fill="auto"/>
            <w:noWrap/>
            <w:vAlign w:val="center"/>
            <w:hideMark/>
          </w:tcPr>
          <w:p w14:paraId="27526769"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0.102</w:t>
            </w:r>
          </w:p>
        </w:tc>
        <w:tc>
          <w:tcPr>
            <w:tcW w:w="843" w:type="dxa"/>
            <w:tcBorders>
              <w:top w:val="nil"/>
              <w:left w:val="nil"/>
              <w:bottom w:val="nil"/>
              <w:right w:val="nil"/>
            </w:tcBorders>
            <w:shd w:val="clear" w:color="auto" w:fill="auto"/>
            <w:noWrap/>
            <w:vAlign w:val="center"/>
            <w:hideMark/>
          </w:tcPr>
          <w:p w14:paraId="1F55DD18"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0.115</w:t>
            </w:r>
          </w:p>
        </w:tc>
        <w:tc>
          <w:tcPr>
            <w:tcW w:w="2790" w:type="dxa"/>
            <w:tcBorders>
              <w:top w:val="nil"/>
              <w:left w:val="nil"/>
              <w:bottom w:val="nil"/>
              <w:right w:val="nil"/>
            </w:tcBorders>
            <w:shd w:val="clear" w:color="auto" w:fill="auto"/>
            <w:noWrap/>
            <w:vAlign w:val="center"/>
            <w:hideMark/>
          </w:tcPr>
          <w:p w14:paraId="3C0FB32B" w14:textId="77777777" w:rsidR="00B03BC3" w:rsidRPr="00BF0707" w:rsidRDefault="00B03BC3"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0.013</w:t>
            </w:r>
          </w:p>
        </w:tc>
      </w:tr>
      <w:tr w:rsidR="00E668DE" w:rsidRPr="00B03BC3" w14:paraId="5742D800" w14:textId="77777777" w:rsidTr="00BF0707">
        <w:trPr>
          <w:trHeight w:val="300"/>
          <w:jc w:val="center"/>
        </w:trPr>
        <w:tc>
          <w:tcPr>
            <w:tcW w:w="1633" w:type="dxa"/>
            <w:tcBorders>
              <w:top w:val="single" w:sz="4" w:space="0" w:color="auto"/>
              <w:left w:val="nil"/>
              <w:bottom w:val="single" w:sz="4" w:space="0" w:color="auto"/>
              <w:right w:val="nil"/>
            </w:tcBorders>
            <w:shd w:val="clear" w:color="auto" w:fill="auto"/>
            <w:noWrap/>
            <w:vAlign w:val="center"/>
            <w:hideMark/>
          </w:tcPr>
          <w:p w14:paraId="178A0F66" w14:textId="0485E89A" w:rsidR="00E668DE" w:rsidRPr="00BF0707" w:rsidRDefault="00E668DE" w:rsidP="00BF0707">
            <w:pPr>
              <w:spacing w:after="0" w:line="240" w:lineRule="auto"/>
              <w:ind w:firstLine="0"/>
              <w:jc w:val="center"/>
              <w:rPr>
                <w:rFonts w:eastAsia="Times New Roman" w:cs="Times New Roman"/>
                <w:color w:val="000000"/>
                <w:szCs w:val="24"/>
                <w:lang w:val="en-US"/>
              </w:rPr>
            </w:pPr>
            <w:r w:rsidRPr="00BF0707">
              <w:rPr>
                <w:rFonts w:eastAsia="Times New Roman" w:cs="Times New Roman"/>
                <w:color w:val="000000"/>
                <w:szCs w:val="24"/>
                <w:lang w:val="en-US"/>
              </w:rPr>
              <w:t>Average</w:t>
            </w:r>
          </w:p>
        </w:tc>
        <w:tc>
          <w:tcPr>
            <w:tcW w:w="844" w:type="dxa"/>
            <w:tcBorders>
              <w:top w:val="single" w:sz="4" w:space="0" w:color="auto"/>
              <w:left w:val="nil"/>
              <w:bottom w:val="single" w:sz="4" w:space="0" w:color="auto"/>
              <w:right w:val="nil"/>
            </w:tcBorders>
            <w:shd w:val="clear" w:color="auto" w:fill="auto"/>
            <w:noWrap/>
            <w:vAlign w:val="bottom"/>
            <w:hideMark/>
          </w:tcPr>
          <w:p w14:paraId="267D86AF" w14:textId="3F089813" w:rsidR="00E668DE" w:rsidRPr="00BF0707" w:rsidRDefault="00E668DE" w:rsidP="00BF0707">
            <w:pPr>
              <w:spacing w:after="0" w:line="240" w:lineRule="auto"/>
              <w:ind w:firstLine="0"/>
              <w:jc w:val="center"/>
              <w:rPr>
                <w:rFonts w:eastAsia="Times New Roman" w:cs="Times New Roman"/>
                <w:color w:val="000000"/>
                <w:szCs w:val="24"/>
                <w:lang w:val="en-US"/>
              </w:rPr>
            </w:pPr>
            <w:r>
              <w:rPr>
                <w:rFonts w:ascii="Calibri" w:hAnsi="Calibri" w:cs="Calibri"/>
                <w:color w:val="000000"/>
                <w:sz w:val="22"/>
              </w:rPr>
              <w:t>0.113</w:t>
            </w:r>
          </w:p>
        </w:tc>
        <w:tc>
          <w:tcPr>
            <w:tcW w:w="844" w:type="dxa"/>
            <w:tcBorders>
              <w:top w:val="single" w:sz="4" w:space="0" w:color="auto"/>
              <w:left w:val="nil"/>
              <w:bottom w:val="single" w:sz="4" w:space="0" w:color="auto"/>
              <w:right w:val="nil"/>
            </w:tcBorders>
            <w:shd w:val="clear" w:color="auto" w:fill="auto"/>
            <w:noWrap/>
            <w:vAlign w:val="bottom"/>
            <w:hideMark/>
          </w:tcPr>
          <w:p w14:paraId="38A4BE1E" w14:textId="046553FF" w:rsidR="00E668DE" w:rsidRPr="00BF0707" w:rsidRDefault="00E668DE" w:rsidP="00BF0707">
            <w:pPr>
              <w:spacing w:after="0" w:line="240" w:lineRule="auto"/>
              <w:ind w:firstLine="0"/>
              <w:jc w:val="center"/>
              <w:rPr>
                <w:rFonts w:eastAsia="Times New Roman" w:cs="Times New Roman"/>
                <w:color w:val="000000"/>
                <w:szCs w:val="24"/>
                <w:lang w:val="en-US"/>
              </w:rPr>
            </w:pPr>
            <w:r>
              <w:rPr>
                <w:rFonts w:ascii="Calibri" w:hAnsi="Calibri" w:cs="Calibri"/>
                <w:color w:val="000000"/>
                <w:sz w:val="22"/>
              </w:rPr>
              <w:t>0.082</w:t>
            </w:r>
          </w:p>
        </w:tc>
        <w:tc>
          <w:tcPr>
            <w:tcW w:w="843" w:type="dxa"/>
            <w:tcBorders>
              <w:top w:val="single" w:sz="4" w:space="0" w:color="auto"/>
              <w:left w:val="nil"/>
              <w:bottom w:val="single" w:sz="4" w:space="0" w:color="auto"/>
              <w:right w:val="nil"/>
            </w:tcBorders>
            <w:shd w:val="clear" w:color="auto" w:fill="auto"/>
            <w:noWrap/>
            <w:vAlign w:val="bottom"/>
            <w:hideMark/>
          </w:tcPr>
          <w:p w14:paraId="231E56DF" w14:textId="3CD6180A" w:rsidR="00E668DE" w:rsidRPr="00BF0707" w:rsidRDefault="00E668DE" w:rsidP="00BF0707">
            <w:pPr>
              <w:spacing w:after="0" w:line="240" w:lineRule="auto"/>
              <w:ind w:firstLine="0"/>
              <w:jc w:val="center"/>
              <w:rPr>
                <w:rFonts w:eastAsia="Times New Roman" w:cs="Times New Roman"/>
                <w:color w:val="000000"/>
                <w:szCs w:val="24"/>
                <w:lang w:val="en-US"/>
              </w:rPr>
            </w:pPr>
            <w:r>
              <w:rPr>
                <w:rFonts w:ascii="Calibri" w:hAnsi="Calibri" w:cs="Calibri"/>
                <w:color w:val="000000"/>
                <w:sz w:val="22"/>
              </w:rPr>
              <w:t>0.068</w:t>
            </w:r>
          </w:p>
        </w:tc>
        <w:tc>
          <w:tcPr>
            <w:tcW w:w="843" w:type="dxa"/>
            <w:tcBorders>
              <w:top w:val="single" w:sz="4" w:space="0" w:color="auto"/>
              <w:left w:val="nil"/>
              <w:bottom w:val="single" w:sz="4" w:space="0" w:color="auto"/>
              <w:right w:val="nil"/>
            </w:tcBorders>
            <w:shd w:val="clear" w:color="auto" w:fill="auto"/>
            <w:noWrap/>
            <w:vAlign w:val="bottom"/>
            <w:hideMark/>
          </w:tcPr>
          <w:p w14:paraId="5DF777E9" w14:textId="4CEEBA08" w:rsidR="00E668DE" w:rsidRPr="00BF0707" w:rsidRDefault="00E668DE" w:rsidP="00BF0707">
            <w:pPr>
              <w:spacing w:after="0" w:line="240" w:lineRule="auto"/>
              <w:ind w:firstLine="0"/>
              <w:jc w:val="center"/>
              <w:rPr>
                <w:rFonts w:eastAsia="Times New Roman" w:cs="Times New Roman"/>
                <w:color w:val="000000"/>
                <w:szCs w:val="24"/>
                <w:lang w:val="en-US"/>
              </w:rPr>
            </w:pPr>
            <w:r>
              <w:rPr>
                <w:rFonts w:ascii="Calibri" w:hAnsi="Calibri" w:cs="Calibri"/>
                <w:color w:val="000000"/>
                <w:sz w:val="22"/>
              </w:rPr>
              <w:t>0.087</w:t>
            </w:r>
          </w:p>
        </w:tc>
        <w:tc>
          <w:tcPr>
            <w:tcW w:w="2790" w:type="dxa"/>
            <w:tcBorders>
              <w:top w:val="single" w:sz="4" w:space="0" w:color="auto"/>
              <w:left w:val="nil"/>
              <w:bottom w:val="single" w:sz="4" w:space="0" w:color="auto"/>
              <w:right w:val="nil"/>
            </w:tcBorders>
            <w:shd w:val="clear" w:color="auto" w:fill="auto"/>
            <w:noWrap/>
            <w:vAlign w:val="bottom"/>
            <w:hideMark/>
          </w:tcPr>
          <w:p w14:paraId="79C009BF" w14:textId="74BEF52C" w:rsidR="00E668DE" w:rsidRPr="00BF0707" w:rsidRDefault="00E668DE" w:rsidP="00BF0707">
            <w:pPr>
              <w:spacing w:after="0" w:line="240" w:lineRule="auto"/>
              <w:ind w:firstLine="0"/>
              <w:jc w:val="center"/>
              <w:rPr>
                <w:rFonts w:eastAsia="Times New Roman" w:cs="Times New Roman"/>
                <w:color w:val="000000"/>
                <w:szCs w:val="24"/>
                <w:lang w:val="en-US"/>
              </w:rPr>
            </w:pPr>
            <w:r>
              <w:rPr>
                <w:rFonts w:ascii="Calibri" w:hAnsi="Calibri" w:cs="Calibri"/>
                <w:color w:val="000000"/>
                <w:sz w:val="22"/>
              </w:rPr>
              <w:t>0.023</w:t>
            </w:r>
          </w:p>
        </w:tc>
      </w:tr>
    </w:tbl>
    <w:p w14:paraId="7251BC5B" w14:textId="77777777" w:rsidR="001A35CA" w:rsidRDefault="001A35CA" w:rsidP="00FA45CA"/>
    <w:p w14:paraId="3323681B" w14:textId="294470BE" w:rsidR="0017003C" w:rsidRDefault="00FA45CA" w:rsidP="00142F12">
      <w:pPr>
        <w:rPr>
          <w:rFonts w:cs="Times New Roman"/>
          <w:noProof/>
        </w:rPr>
      </w:pPr>
      <w:r w:rsidRPr="00AE0B3D">
        <w:t xml:space="preserve">Whereas the research studies identified that the performance of the companies in general </w:t>
      </w:r>
      <w:r w:rsidR="000539F9">
        <w:t xml:space="preserve">decreased </w:t>
      </w:r>
      <w:r w:rsidR="007C34D3">
        <w:t>between 2016 and 2018</w:t>
      </w:r>
      <w:r w:rsidRPr="00AE0B3D">
        <w:t xml:space="preserve"> as determined by </w:t>
      </w:r>
      <w:r w:rsidR="0060453B">
        <w:t xml:space="preserve">average annual </w:t>
      </w:r>
      <w:r w:rsidRPr="00AE0B3D">
        <w:t>ROE, the performance differed for the different companies that were</w:t>
      </w:r>
      <w:r w:rsidR="00A845FB" w:rsidRPr="00AE0B3D">
        <w:t xml:space="preserve"> </w:t>
      </w:r>
      <w:r w:rsidRPr="00AE0B3D">
        <w:t>selected</w:t>
      </w:r>
      <w:r w:rsidR="00FB10DF">
        <w:t xml:space="preserve"> in the three years</w:t>
      </w:r>
      <w:r w:rsidRPr="00AE0B3D">
        <w:t xml:space="preserve">. </w:t>
      </w:r>
      <w:r w:rsidRPr="00AE0B3D">
        <w:lastRenderedPageBreak/>
        <w:t>Some of the companies had</w:t>
      </w:r>
      <w:r w:rsidR="000D3D1A" w:rsidRPr="00AE0B3D">
        <w:t xml:space="preserve"> continuous increase in</w:t>
      </w:r>
      <w:r w:rsidRPr="00AE0B3D">
        <w:t xml:space="preserve"> </w:t>
      </w:r>
      <w:r w:rsidR="00FB10DF">
        <w:t>ROE</w:t>
      </w:r>
      <w:r w:rsidR="00FB10DF" w:rsidRPr="00AE0B3D">
        <w:t xml:space="preserve"> </w:t>
      </w:r>
      <w:r w:rsidRPr="00AE0B3D">
        <w:t>performance throughout the three years assessed</w:t>
      </w:r>
      <w:r w:rsidR="009C700E">
        <w:t>,</w:t>
      </w:r>
      <w:r w:rsidRPr="00AE0B3D">
        <w:t xml:space="preserve"> other</w:t>
      </w:r>
      <w:r w:rsidR="009C700E">
        <w:t>s</w:t>
      </w:r>
      <w:r w:rsidRPr="00AE0B3D">
        <w:t xml:space="preserve"> had continuous decrease in </w:t>
      </w:r>
      <w:r w:rsidR="00FB10DF">
        <w:t xml:space="preserve">ROE </w:t>
      </w:r>
      <w:r w:rsidRPr="00AE0B3D">
        <w:t>perfor</w:t>
      </w:r>
      <w:r w:rsidR="00946DB6">
        <w:t>man</w:t>
      </w:r>
      <w:r w:rsidRPr="00AE0B3D">
        <w:t>ce in the three year</w:t>
      </w:r>
      <w:r w:rsidR="009C700E">
        <w:t>s,</w:t>
      </w:r>
      <w:r w:rsidRPr="00AE0B3D">
        <w:t xml:space="preserve"> while for others</w:t>
      </w:r>
      <w:r w:rsidR="00E21959">
        <w:t xml:space="preserve"> </w:t>
      </w:r>
      <w:r w:rsidR="006F2DA2" w:rsidRPr="00AE0B3D">
        <w:t>there</w:t>
      </w:r>
      <w:r w:rsidRPr="00AE0B3D">
        <w:t xml:space="preserve"> was variat</w:t>
      </w:r>
      <w:r w:rsidR="0060453B">
        <w:t xml:space="preserve">ion of increase and decrease </w:t>
      </w:r>
      <w:r w:rsidRPr="00AE0B3D">
        <w:t>in performance</w:t>
      </w:r>
      <w:r w:rsidR="00FB10DF">
        <w:t xml:space="preserve"> in the three years</w:t>
      </w:r>
      <w:r w:rsidRPr="00AE0B3D">
        <w:t xml:space="preserve">. The </w:t>
      </w:r>
      <w:r w:rsidR="0097201C">
        <w:t>variation</w:t>
      </w:r>
      <w:r w:rsidR="0097201C" w:rsidRPr="00AE0B3D">
        <w:t xml:space="preserve"> </w:t>
      </w:r>
      <w:r w:rsidRPr="00AE0B3D">
        <w:t>in performance could be associated with difference in factors that affect</w:t>
      </w:r>
      <w:r w:rsidR="00645312">
        <w:t>ed</w:t>
      </w:r>
      <w:r w:rsidRPr="00AE0B3D">
        <w:t xml:space="preserve"> the specific companies such as difference in industry of operation, difference in market that are targeted, difference in scope of operation</w:t>
      </w:r>
      <w:r w:rsidR="00645312">
        <w:t>,</w:t>
      </w:r>
      <w:r w:rsidRPr="00AE0B3D">
        <w:t xml:space="preserve"> and internal environment of the org</w:t>
      </w:r>
      <w:r w:rsidR="00E1744A" w:rsidRPr="00AE0B3D">
        <w:t>anisation (</w:t>
      </w:r>
      <w:r w:rsidRPr="00AE0B3D">
        <w:rPr>
          <w:rFonts w:cs="Times New Roman"/>
          <w:noProof/>
        </w:rPr>
        <w:t xml:space="preserve">Ameer </w:t>
      </w:r>
      <w:r w:rsidR="00E1744A" w:rsidRPr="00AE0B3D">
        <w:rPr>
          <w:rFonts w:cs="Times New Roman"/>
          <w:noProof/>
        </w:rPr>
        <w:t xml:space="preserve">&amp; </w:t>
      </w:r>
      <w:r w:rsidRPr="00AE0B3D">
        <w:rPr>
          <w:rFonts w:cs="Times New Roman"/>
          <w:noProof/>
        </w:rPr>
        <w:t>Othman</w:t>
      </w:r>
      <w:r w:rsidR="00E1744A" w:rsidRPr="00AE0B3D">
        <w:rPr>
          <w:rFonts w:cs="Times New Roman"/>
          <w:noProof/>
        </w:rPr>
        <w:t xml:space="preserve">, </w:t>
      </w:r>
      <w:r w:rsidRPr="00AE0B3D">
        <w:rPr>
          <w:rFonts w:cs="Times New Roman"/>
          <w:noProof/>
        </w:rPr>
        <w:t xml:space="preserve">2012) </w:t>
      </w:r>
      <w:r w:rsidR="00E1744A" w:rsidRPr="00AE0B3D">
        <w:rPr>
          <w:rFonts w:cs="Times New Roman"/>
          <w:noProof/>
        </w:rPr>
        <w:t>.</w:t>
      </w:r>
    </w:p>
    <w:p w14:paraId="097C9FE5" w14:textId="5B827C25" w:rsidR="00143289" w:rsidRDefault="00143289" w:rsidP="00012323">
      <w:pPr>
        <w:pStyle w:val="Heading4"/>
        <w:jc w:val="center"/>
      </w:pPr>
      <w:r w:rsidRPr="002E5A40">
        <w:t>Return on Assets</w:t>
      </w:r>
    </w:p>
    <w:p w14:paraId="22EFFC81" w14:textId="57F276AB" w:rsidR="005E3196" w:rsidRDefault="00C22635">
      <w:r>
        <w:t xml:space="preserve">Table </w:t>
      </w:r>
      <w:r w:rsidR="001F1040">
        <w:t>3</w:t>
      </w:r>
      <w:r>
        <w:t xml:space="preserve"> presents the return on Assets (ROA)</w:t>
      </w:r>
      <w:r w:rsidR="00B9273F">
        <w:t xml:space="preserve"> analysis</w:t>
      </w:r>
      <w:r>
        <w:t xml:space="preserve"> of public listed </w:t>
      </w:r>
      <w:r w:rsidR="00742D78">
        <w:t>compan</w:t>
      </w:r>
      <w:r w:rsidR="008A7AEB">
        <w:t>ies</w:t>
      </w:r>
      <w:r w:rsidR="00742D78">
        <w:t xml:space="preserve"> in</w:t>
      </w:r>
      <w:r w:rsidR="00D938DF">
        <w:t xml:space="preserve"> </w:t>
      </w:r>
      <w:r w:rsidR="00742D78">
        <w:t>NSE for</w:t>
      </w:r>
      <w:r w:rsidR="00D938DF">
        <w:t xml:space="preserve"> the period between 2016 and 2018. </w:t>
      </w:r>
      <w:r w:rsidR="00742D78">
        <w:t xml:space="preserve">The </w:t>
      </w:r>
      <w:r w:rsidR="00D55586">
        <w:t xml:space="preserve">average </w:t>
      </w:r>
      <w:r w:rsidR="00742D78">
        <w:t>ROA performance was highest in 201</w:t>
      </w:r>
      <w:r w:rsidR="00D0023C">
        <w:t>6</w:t>
      </w:r>
      <w:r w:rsidR="00742D78">
        <w:t xml:space="preserve"> and lowest in 2018</w:t>
      </w:r>
      <w:r w:rsidR="00A7193C">
        <w:t xml:space="preserve"> when considering all the companies</w:t>
      </w:r>
      <w:r w:rsidR="00D0023C">
        <w:t xml:space="preserve"> that is from 3.504 to 3.106.</w:t>
      </w:r>
      <w:r w:rsidR="00DD6B83">
        <w:t xml:space="preserve"> The company that performed </w:t>
      </w:r>
      <w:r w:rsidR="00F1305C">
        <w:t>the worst in the three years had a score of -13.28 while the best performing company had</w:t>
      </w:r>
      <w:r w:rsidR="008A7AEB">
        <w:t xml:space="preserve"> </w:t>
      </w:r>
      <w:r w:rsidR="00F1305C">
        <w:t xml:space="preserve">ROA score of 30.99. </w:t>
      </w:r>
      <w:r w:rsidR="00756FD8">
        <w:t>The performance of the listed companies</w:t>
      </w:r>
      <w:r w:rsidR="008A7AEB">
        <w:t>,</w:t>
      </w:r>
      <w:r w:rsidR="00756FD8">
        <w:t xml:space="preserve"> as measured by the ROA differed as different compan</w:t>
      </w:r>
      <w:r w:rsidR="008A7AEB">
        <w:t>ies</w:t>
      </w:r>
      <w:r w:rsidR="00756FD8">
        <w:t xml:space="preserve"> had </w:t>
      </w:r>
      <w:r w:rsidR="00855581">
        <w:t>differed</w:t>
      </w:r>
      <w:r w:rsidR="00756FD8">
        <w:t xml:space="preserve"> performance trend</w:t>
      </w:r>
      <w:r w:rsidR="008A7AEB">
        <w:t>s</w:t>
      </w:r>
      <w:r w:rsidR="00756FD8">
        <w:t xml:space="preserve">. For </w:t>
      </w:r>
      <w:r w:rsidR="00855581">
        <w:t>instance,</w:t>
      </w:r>
      <w:r w:rsidR="00756FD8">
        <w:t xml:space="preserve"> </w:t>
      </w:r>
      <w:r w:rsidR="00855581">
        <w:t>for some companies, the ROA improved consistently in the three year</w:t>
      </w:r>
      <w:r w:rsidR="008A7AEB">
        <w:t>s</w:t>
      </w:r>
      <w:r w:rsidR="00855581">
        <w:t xml:space="preserve"> such as C2, </w:t>
      </w:r>
      <w:r w:rsidR="008374D6">
        <w:t xml:space="preserve">C8, </w:t>
      </w:r>
      <w:r w:rsidR="00A94B27">
        <w:t>C1</w:t>
      </w:r>
      <w:r w:rsidR="00CA5E5A">
        <w:t>1</w:t>
      </w:r>
      <w:r w:rsidR="00416B41">
        <w:t xml:space="preserve"> </w:t>
      </w:r>
      <w:r w:rsidR="008374D6">
        <w:t xml:space="preserve">and C12. </w:t>
      </w:r>
      <w:r w:rsidR="008A7AEB">
        <w:t>Moreover,</w:t>
      </w:r>
      <w:r w:rsidR="008374D6">
        <w:t xml:space="preserve"> some compan</w:t>
      </w:r>
      <w:r w:rsidR="008A7AEB">
        <w:t>ies’</w:t>
      </w:r>
      <w:r w:rsidR="008374D6">
        <w:t xml:space="preserve"> ROA performance decreased throughout the three years evaluated</w:t>
      </w:r>
      <w:r w:rsidR="008A7AEB">
        <w:t>,</w:t>
      </w:r>
      <w:r w:rsidR="008374D6">
        <w:t xml:space="preserve"> </w:t>
      </w:r>
      <w:r w:rsidR="00CF0179">
        <w:t xml:space="preserve">such as C4, C5, </w:t>
      </w:r>
      <w:r w:rsidR="007E3E06">
        <w:t>C7</w:t>
      </w:r>
      <w:r w:rsidR="00A94B27">
        <w:t>,</w:t>
      </w:r>
      <w:r w:rsidR="009F249A">
        <w:t xml:space="preserve"> C9,</w:t>
      </w:r>
      <w:r w:rsidR="00CA5E5A">
        <w:t xml:space="preserve"> C19, C</w:t>
      </w:r>
      <w:r w:rsidR="007517F1">
        <w:t>1</w:t>
      </w:r>
      <w:r w:rsidR="00CA5E5A">
        <w:t>0</w:t>
      </w:r>
      <w:r w:rsidR="00A94B27">
        <w:t xml:space="preserve"> and C</w:t>
      </w:r>
      <w:r w:rsidR="007517F1">
        <w:t>2</w:t>
      </w:r>
      <w:r w:rsidR="00A94B27">
        <w:t>0</w:t>
      </w:r>
      <w:r w:rsidR="00962D96">
        <w:t>.</w:t>
      </w:r>
      <w:r w:rsidR="008A7AEB">
        <w:t xml:space="preserve"> </w:t>
      </w:r>
      <w:r w:rsidR="00962D96">
        <w:t xml:space="preserve">Furthermore, </w:t>
      </w:r>
      <w:r w:rsidR="008A7AEB">
        <w:t>some companies</w:t>
      </w:r>
      <w:r w:rsidR="00962D96">
        <w:t xml:space="preserve"> had </w:t>
      </w:r>
      <w:r w:rsidR="008A7AEB">
        <w:t xml:space="preserve">an </w:t>
      </w:r>
      <w:r w:rsidR="00962D96">
        <w:t xml:space="preserve">inconsistent </w:t>
      </w:r>
      <w:r w:rsidR="007517F1">
        <w:t xml:space="preserve">ROA </w:t>
      </w:r>
      <w:r w:rsidR="00786765">
        <w:t>performance in three years. Some of the companies such as C1</w:t>
      </w:r>
      <w:r w:rsidR="00FF5D93">
        <w:t>,</w:t>
      </w:r>
      <w:r w:rsidR="00E21959">
        <w:t xml:space="preserve"> </w:t>
      </w:r>
      <w:r w:rsidR="00FF5D93">
        <w:t>C3</w:t>
      </w:r>
      <w:r w:rsidR="006F34B1">
        <w:t>, C14, C15, C16</w:t>
      </w:r>
      <w:r w:rsidR="00E76277">
        <w:t>, and C18</w:t>
      </w:r>
      <w:r w:rsidR="00786765">
        <w:t xml:space="preserve"> had </w:t>
      </w:r>
      <w:r w:rsidR="00257DF3">
        <w:t>an increase of ROA from 2016 to 2017 and then decrease from 2017 t</w:t>
      </w:r>
      <w:r w:rsidR="008A7AEB">
        <w:t>o</w:t>
      </w:r>
      <w:r w:rsidR="00257DF3">
        <w:t xml:space="preserve"> 2018. On the other hand,</w:t>
      </w:r>
      <w:r w:rsidR="00FF5D93">
        <w:t xml:space="preserve"> C6,</w:t>
      </w:r>
      <w:r w:rsidR="00257DF3">
        <w:t xml:space="preserve"> </w:t>
      </w:r>
      <w:r w:rsidR="00330B0E">
        <w:t>C1</w:t>
      </w:r>
      <w:r w:rsidR="00E76277">
        <w:t>7</w:t>
      </w:r>
      <w:r w:rsidR="009F249A">
        <w:t>, C13</w:t>
      </w:r>
      <w:r w:rsidR="00330B0E">
        <w:t xml:space="preserve"> had a decrease in ROA between 2016 and 2017 and then an increase between 2017 and 2018.</w:t>
      </w:r>
      <w:r w:rsidR="00D86176">
        <w:t xml:space="preserve"> </w:t>
      </w:r>
      <w:r w:rsidR="003062D2">
        <w:t>Therefore, t</w:t>
      </w:r>
      <w:r w:rsidR="00677DD9">
        <w:t>he financial performance of the</w:t>
      </w:r>
      <w:r w:rsidR="006972E9" w:rsidRPr="006972E9">
        <w:t xml:space="preserve"> </w:t>
      </w:r>
      <w:r w:rsidR="006972E9">
        <w:t>public listed</w:t>
      </w:r>
      <w:r w:rsidR="00677DD9">
        <w:t xml:space="preserve"> companies greatly </w:t>
      </w:r>
      <w:r w:rsidR="00A95B62">
        <w:t>differed</w:t>
      </w:r>
      <w:r w:rsidR="00677DD9">
        <w:t xml:space="preserve">. </w:t>
      </w:r>
    </w:p>
    <w:p w14:paraId="65DA1578" w14:textId="0A9F6702" w:rsidR="00A05FEA" w:rsidRDefault="00A05FEA">
      <w:r>
        <w:lastRenderedPageBreak/>
        <w:t xml:space="preserve">The decrease in the average ROA of the public listed company in the three years points to reduction in income generation from the assets that the companies </w:t>
      </w:r>
      <w:r w:rsidR="00155D11">
        <w:t>own</w:t>
      </w:r>
      <w:r>
        <w:t xml:space="preserve">. </w:t>
      </w:r>
      <w:proofErr w:type="spellStart"/>
      <w:r w:rsidR="00ED34A7">
        <w:t>Ongore</w:t>
      </w:r>
      <w:proofErr w:type="spellEnd"/>
      <w:r w:rsidR="00ED34A7">
        <w:t xml:space="preserve"> and </w:t>
      </w:r>
      <w:r w:rsidR="00ED34A7" w:rsidRPr="00ED34A7">
        <w:t xml:space="preserve">Kusa </w:t>
      </w:r>
      <w:r w:rsidR="00ED34A7">
        <w:t>(</w:t>
      </w:r>
      <w:r w:rsidR="00ED34A7" w:rsidRPr="00ED34A7">
        <w:t>2013)</w:t>
      </w:r>
      <w:r w:rsidR="00ED34A7">
        <w:t xml:space="preserve"> identified that ROA is used to evaluate the profitability of the company, which point to the profitability of the companies that are listed in the NSE to vary. </w:t>
      </w:r>
      <w:r w:rsidR="00480149">
        <w:t xml:space="preserve">There were some companies had low ROA or negative ROA. </w:t>
      </w:r>
      <w:r w:rsidR="00480149">
        <w:rPr>
          <w:noProof/>
        </w:rPr>
        <w:t xml:space="preserve">Kurniawan </w:t>
      </w:r>
      <w:r w:rsidR="00ED34A7">
        <w:fldChar w:fldCharType="begin" w:fldLock="1"/>
      </w:r>
      <w:r w:rsidR="00FE6439">
        <w:instrText>ADDIN CSL_CITATION {"citationItems":[{"id":"ITEM-1","itemData":{"DOI":"10.7777/JIEMAR.V2I1.114","abstract":"The objectives of this study are to test the effect of the Debt to Equity Ratio (DER), Return On Assets (ROA) and Total Asset Turnover (TATO) on stock returns in Property and Real Estate companies on the IDX.&amp;nbsp; The population in this study were all property and real estate sub-sector companies listed on the Indonesia Stock Exchange (IDX) which are listed on the Indonesia Stock Exchange (IDX) for the 2015-2019 period as many as 54 companies. The method used by the author in analyzing the data in this study is descriptive and quantitative statistical analysis with panel data regression, the data is processed with e-views 10. The results showed that partially Return on Assets had no significant effect on Stock Returns, the partial debt to Equty Ratio had no significant effect on Stock Returns, Total Asset Turnover partially had a positive and significant effect on Stock Returns.","author":[{"dropping-particle":"","family":"Kurniawan","given":"Andrie","non-dropping-particle":"","parse-names":false,"suffix":""}],"container-title":"Journal of Industrial Engineering &amp; Management Research","id":"ITEM-1","issue":"1","issued":{"date-parts":[["2021","1","30"]]},"page":"524-530","title":"Analysis of the effect of return on asset, debt to equity ratio, and total asset turnover on share return","type":"article-journal","volume":"4"},"uris":["http://www.mendeley.com/documents/?uuid=b2d24190-fd25-3e49-8982-a214a63ce697"]}],"mendeley":{"formattedCitation":"(Kurniawan, 2021)","manualFormatting":"( 2021)","plainTextFormattedCitation":"(Kurniawan, 2021)","previouslyFormattedCitation":"(Kurniawan, 2021)"},"properties":{"noteIndex":0},"schema":"https://github.com/citation-style-language/schema/raw/master/csl-citation.json"}</w:instrText>
      </w:r>
      <w:r w:rsidR="00ED34A7">
        <w:fldChar w:fldCharType="separate"/>
      </w:r>
      <w:r w:rsidR="00ED34A7" w:rsidRPr="00ED34A7">
        <w:rPr>
          <w:noProof/>
        </w:rPr>
        <w:t>( 2021)</w:t>
      </w:r>
      <w:r w:rsidR="00ED34A7">
        <w:fldChar w:fldCharType="end"/>
      </w:r>
      <w:r w:rsidR="00480149">
        <w:t xml:space="preserve"> identified that companies with low or negative ROA, points to the company in ability to make profitable income from the assets that they own. It </w:t>
      </w:r>
      <w:r w:rsidR="00155D11">
        <w:t>points</w:t>
      </w:r>
      <w:r w:rsidR="00480149">
        <w:t xml:space="preserve"> to inefficiency in the utilisation of assets, and unsustainable financial performance </w:t>
      </w:r>
      <w:r w:rsidR="00395C63">
        <w:t>for the organisations listed in NSE</w:t>
      </w:r>
      <w:r w:rsidR="00BF78E6">
        <w:t xml:space="preserve">. </w:t>
      </w:r>
    </w:p>
    <w:p w14:paraId="2BD7C8A3" w14:textId="77777777" w:rsidR="00075D56" w:rsidRDefault="005E3196" w:rsidP="005E3196">
      <w:pPr>
        <w:pStyle w:val="Caption"/>
        <w:rPr>
          <w:i w:val="0"/>
          <w:iCs w:val="0"/>
        </w:rPr>
      </w:pPr>
      <w:bookmarkStart w:id="76" w:name="_Toc66721389"/>
      <w:r w:rsidRPr="002E5A40">
        <w:t xml:space="preserve">Table </w:t>
      </w:r>
      <w:r w:rsidRPr="002E5A40">
        <w:fldChar w:fldCharType="begin"/>
      </w:r>
      <w:r w:rsidRPr="002E5A40">
        <w:instrText xml:space="preserve"> SEQ Table \* ARABIC </w:instrText>
      </w:r>
      <w:r w:rsidRPr="002E5A40">
        <w:fldChar w:fldCharType="separate"/>
      </w:r>
      <w:r w:rsidR="001F1040" w:rsidRPr="002E5A40">
        <w:rPr>
          <w:noProof/>
        </w:rPr>
        <w:t>3</w:t>
      </w:r>
      <w:r w:rsidRPr="002E5A40">
        <w:fldChar w:fldCharType="end"/>
      </w:r>
      <w:r w:rsidR="000E61F0" w:rsidRPr="002E5A40">
        <w:t>.</w:t>
      </w:r>
      <w:r w:rsidR="000E61F0">
        <w:rPr>
          <w:i w:val="0"/>
          <w:iCs w:val="0"/>
        </w:rPr>
        <w:t xml:space="preserve"> </w:t>
      </w:r>
    </w:p>
    <w:p w14:paraId="70BAA999" w14:textId="6EBBBF8A" w:rsidR="00986ED8" w:rsidRDefault="005E3196" w:rsidP="00142F12">
      <w:pPr>
        <w:pStyle w:val="Caption"/>
        <w:rPr>
          <w:noProof/>
        </w:rPr>
      </w:pPr>
      <w:r w:rsidRPr="00AE0B3D">
        <w:rPr>
          <w:color w:val="auto"/>
        </w:rPr>
        <w:t>RO</w:t>
      </w:r>
      <w:r>
        <w:rPr>
          <w:color w:val="auto"/>
        </w:rPr>
        <w:t>A</w:t>
      </w:r>
      <w:r w:rsidRPr="00AE0B3D">
        <w:rPr>
          <w:color w:val="auto"/>
        </w:rPr>
        <w:t xml:space="preserve"> of Public Listed Company in NSE </w:t>
      </w:r>
      <w:r w:rsidR="00E21959" w:rsidRPr="00AE0B3D">
        <w:rPr>
          <w:color w:val="auto"/>
        </w:rPr>
        <w:t>between</w:t>
      </w:r>
      <w:r w:rsidRPr="00AE0B3D">
        <w:rPr>
          <w:color w:val="auto"/>
        </w:rPr>
        <w:t xml:space="preserve"> 2016 and 2018</w:t>
      </w:r>
      <w:bookmarkEnd w:id="76"/>
    </w:p>
    <w:tbl>
      <w:tblPr>
        <w:tblW w:w="8505" w:type="dxa"/>
        <w:jc w:val="center"/>
        <w:tblLook w:val="04A0" w:firstRow="1" w:lastRow="0" w:firstColumn="1" w:lastColumn="0" w:noHBand="0" w:noVBand="1"/>
      </w:tblPr>
      <w:tblGrid>
        <w:gridCol w:w="960"/>
        <w:gridCol w:w="998"/>
        <w:gridCol w:w="998"/>
        <w:gridCol w:w="998"/>
        <w:gridCol w:w="998"/>
        <w:gridCol w:w="3553"/>
      </w:tblGrid>
      <w:tr w:rsidR="00A87CAB" w:rsidRPr="00A87CAB" w14:paraId="2CA0BE8E" w14:textId="77777777" w:rsidTr="00BF0707">
        <w:trPr>
          <w:trHeight w:val="300"/>
          <w:jc w:val="center"/>
        </w:trPr>
        <w:tc>
          <w:tcPr>
            <w:tcW w:w="960" w:type="dxa"/>
            <w:tcBorders>
              <w:top w:val="single" w:sz="4" w:space="0" w:color="auto"/>
              <w:left w:val="nil"/>
              <w:bottom w:val="single" w:sz="4" w:space="0" w:color="auto"/>
              <w:right w:val="nil"/>
            </w:tcBorders>
            <w:shd w:val="clear" w:color="auto" w:fill="auto"/>
            <w:noWrap/>
            <w:vAlign w:val="bottom"/>
            <w:hideMark/>
          </w:tcPr>
          <w:p w14:paraId="1BEE818A" w14:textId="77777777" w:rsidR="00A87CAB" w:rsidRPr="00A87CAB" w:rsidRDefault="00A87CAB" w:rsidP="00A87CAB">
            <w:pPr>
              <w:spacing w:after="0" w:line="240" w:lineRule="auto"/>
              <w:ind w:firstLine="0"/>
              <w:jc w:val="center"/>
              <w:rPr>
                <w:rFonts w:ascii="Calibri" w:eastAsia="Times New Roman" w:hAnsi="Calibri" w:cs="Calibri"/>
                <w:b/>
                <w:bCs/>
                <w:color w:val="000000"/>
                <w:sz w:val="22"/>
                <w:lang w:val="en-US"/>
              </w:rPr>
            </w:pPr>
            <w:r w:rsidRPr="00A87CAB">
              <w:rPr>
                <w:rFonts w:ascii="Calibri" w:eastAsia="Times New Roman" w:hAnsi="Calibri" w:cs="Calibri"/>
                <w:b/>
                <w:bCs/>
                <w:color w:val="000000"/>
                <w:sz w:val="22"/>
                <w:lang w:val="en-US"/>
              </w:rPr>
              <w:t> </w:t>
            </w:r>
          </w:p>
        </w:tc>
        <w:tc>
          <w:tcPr>
            <w:tcW w:w="7545" w:type="dxa"/>
            <w:gridSpan w:val="5"/>
            <w:tcBorders>
              <w:top w:val="single" w:sz="4" w:space="0" w:color="auto"/>
              <w:left w:val="nil"/>
              <w:bottom w:val="single" w:sz="4" w:space="0" w:color="auto"/>
              <w:right w:val="nil"/>
            </w:tcBorders>
            <w:shd w:val="clear" w:color="auto" w:fill="auto"/>
            <w:noWrap/>
            <w:vAlign w:val="bottom"/>
            <w:hideMark/>
          </w:tcPr>
          <w:p w14:paraId="27EC3B04" w14:textId="4B09FC73" w:rsidR="00A87CAB" w:rsidRPr="00A87CAB" w:rsidRDefault="00A87CAB">
            <w:pPr>
              <w:spacing w:after="0" w:line="240" w:lineRule="auto"/>
              <w:ind w:firstLine="0"/>
              <w:jc w:val="center"/>
              <w:rPr>
                <w:rFonts w:ascii="Calibri" w:eastAsia="Times New Roman" w:hAnsi="Calibri" w:cs="Calibri"/>
                <w:b/>
                <w:bCs/>
                <w:color w:val="000000"/>
                <w:sz w:val="22"/>
                <w:lang w:val="en-US"/>
              </w:rPr>
            </w:pPr>
            <w:r w:rsidRPr="002E5A40">
              <w:rPr>
                <w:rFonts w:eastAsia="Times New Roman" w:cs="Times New Roman"/>
                <w:b/>
                <w:bCs/>
                <w:color w:val="000000"/>
                <w:szCs w:val="24"/>
                <w:lang w:eastAsia="en-GB"/>
              </w:rPr>
              <w:t xml:space="preserve">Comparison of </w:t>
            </w:r>
            <w:r w:rsidRPr="00A87CAB">
              <w:rPr>
                <w:rFonts w:ascii="Calibri" w:eastAsia="Times New Roman" w:hAnsi="Calibri" w:cs="Calibri"/>
                <w:b/>
                <w:bCs/>
                <w:color w:val="000000"/>
                <w:sz w:val="22"/>
                <w:lang w:val="en-US"/>
              </w:rPr>
              <w:t>ROA</w:t>
            </w:r>
          </w:p>
        </w:tc>
      </w:tr>
      <w:tr w:rsidR="00A87CAB" w:rsidRPr="00A87CAB" w14:paraId="788EFE70" w14:textId="77777777" w:rsidTr="00BF0707">
        <w:trPr>
          <w:trHeight w:val="397"/>
          <w:jc w:val="center"/>
        </w:trPr>
        <w:tc>
          <w:tcPr>
            <w:tcW w:w="960" w:type="dxa"/>
            <w:tcBorders>
              <w:top w:val="nil"/>
              <w:left w:val="nil"/>
              <w:bottom w:val="single" w:sz="4" w:space="0" w:color="auto"/>
              <w:right w:val="nil"/>
            </w:tcBorders>
            <w:shd w:val="clear" w:color="auto" w:fill="auto"/>
            <w:noWrap/>
            <w:vAlign w:val="bottom"/>
            <w:hideMark/>
          </w:tcPr>
          <w:p w14:paraId="2DBB069C" w14:textId="77777777" w:rsidR="00A87CAB" w:rsidRPr="00A87CAB" w:rsidRDefault="00A87CAB" w:rsidP="00A87CAB">
            <w:pPr>
              <w:spacing w:after="0" w:line="240" w:lineRule="auto"/>
              <w:ind w:firstLine="0"/>
              <w:jc w:val="center"/>
              <w:rPr>
                <w:rFonts w:ascii="Calibri" w:eastAsia="Times New Roman" w:hAnsi="Calibri" w:cs="Calibri"/>
                <w:b/>
                <w:bCs/>
                <w:color w:val="000000"/>
                <w:sz w:val="22"/>
                <w:lang w:val="en-US"/>
              </w:rPr>
            </w:pPr>
            <w:r w:rsidRPr="00A87CAB">
              <w:rPr>
                <w:rFonts w:ascii="Calibri" w:eastAsia="Times New Roman" w:hAnsi="Calibri" w:cs="Calibri"/>
                <w:b/>
                <w:bCs/>
                <w:color w:val="000000"/>
                <w:sz w:val="22"/>
                <w:lang w:val="en-US"/>
              </w:rPr>
              <w:t> </w:t>
            </w:r>
          </w:p>
        </w:tc>
        <w:tc>
          <w:tcPr>
            <w:tcW w:w="998" w:type="dxa"/>
            <w:tcBorders>
              <w:top w:val="nil"/>
              <w:left w:val="nil"/>
              <w:bottom w:val="single" w:sz="4" w:space="0" w:color="auto"/>
              <w:right w:val="nil"/>
            </w:tcBorders>
            <w:shd w:val="clear" w:color="auto" w:fill="auto"/>
            <w:noWrap/>
            <w:vAlign w:val="bottom"/>
            <w:hideMark/>
          </w:tcPr>
          <w:p w14:paraId="7AF94AE9" w14:textId="77777777" w:rsidR="00A87CAB" w:rsidRPr="00A87CAB" w:rsidRDefault="00A87CAB" w:rsidP="00A87CAB">
            <w:pPr>
              <w:spacing w:after="0" w:line="240" w:lineRule="auto"/>
              <w:ind w:firstLine="0"/>
              <w:jc w:val="center"/>
              <w:rPr>
                <w:rFonts w:ascii="Calibri" w:eastAsia="Times New Roman" w:hAnsi="Calibri" w:cs="Calibri"/>
                <w:b/>
                <w:bCs/>
                <w:color w:val="000000"/>
                <w:sz w:val="22"/>
                <w:lang w:val="en-US"/>
              </w:rPr>
            </w:pPr>
            <w:r w:rsidRPr="00A87CAB">
              <w:rPr>
                <w:rFonts w:ascii="Calibri" w:eastAsia="Times New Roman" w:hAnsi="Calibri" w:cs="Calibri"/>
                <w:b/>
                <w:bCs/>
                <w:color w:val="000000"/>
                <w:sz w:val="22"/>
                <w:lang w:val="en-US"/>
              </w:rPr>
              <w:t>2016</w:t>
            </w:r>
          </w:p>
        </w:tc>
        <w:tc>
          <w:tcPr>
            <w:tcW w:w="998" w:type="dxa"/>
            <w:tcBorders>
              <w:top w:val="nil"/>
              <w:left w:val="nil"/>
              <w:bottom w:val="single" w:sz="4" w:space="0" w:color="auto"/>
              <w:right w:val="nil"/>
            </w:tcBorders>
            <w:shd w:val="clear" w:color="auto" w:fill="auto"/>
            <w:noWrap/>
            <w:vAlign w:val="bottom"/>
            <w:hideMark/>
          </w:tcPr>
          <w:p w14:paraId="48BBCE58" w14:textId="77777777" w:rsidR="00A87CAB" w:rsidRPr="00A87CAB" w:rsidRDefault="00A87CAB" w:rsidP="00A87CAB">
            <w:pPr>
              <w:spacing w:after="0" w:line="240" w:lineRule="auto"/>
              <w:ind w:firstLine="0"/>
              <w:jc w:val="center"/>
              <w:rPr>
                <w:rFonts w:ascii="Calibri" w:eastAsia="Times New Roman" w:hAnsi="Calibri" w:cs="Calibri"/>
                <w:b/>
                <w:bCs/>
                <w:color w:val="000000"/>
                <w:sz w:val="22"/>
                <w:lang w:val="en-US"/>
              </w:rPr>
            </w:pPr>
            <w:r w:rsidRPr="00A87CAB">
              <w:rPr>
                <w:rFonts w:ascii="Calibri" w:eastAsia="Times New Roman" w:hAnsi="Calibri" w:cs="Calibri"/>
                <w:b/>
                <w:bCs/>
                <w:color w:val="000000"/>
                <w:sz w:val="22"/>
                <w:lang w:val="en-US"/>
              </w:rPr>
              <w:t>2017</w:t>
            </w:r>
          </w:p>
        </w:tc>
        <w:tc>
          <w:tcPr>
            <w:tcW w:w="998" w:type="dxa"/>
            <w:tcBorders>
              <w:top w:val="nil"/>
              <w:left w:val="nil"/>
              <w:bottom w:val="single" w:sz="4" w:space="0" w:color="auto"/>
              <w:right w:val="nil"/>
            </w:tcBorders>
            <w:shd w:val="clear" w:color="auto" w:fill="auto"/>
            <w:noWrap/>
            <w:vAlign w:val="bottom"/>
            <w:hideMark/>
          </w:tcPr>
          <w:p w14:paraId="67E7EFFD" w14:textId="77777777" w:rsidR="00A87CAB" w:rsidRPr="00A87CAB" w:rsidRDefault="00A87CAB" w:rsidP="00A87CAB">
            <w:pPr>
              <w:spacing w:after="0" w:line="240" w:lineRule="auto"/>
              <w:ind w:firstLine="0"/>
              <w:jc w:val="center"/>
              <w:rPr>
                <w:rFonts w:ascii="Calibri" w:eastAsia="Times New Roman" w:hAnsi="Calibri" w:cs="Calibri"/>
                <w:b/>
                <w:bCs/>
                <w:color w:val="000000"/>
                <w:sz w:val="22"/>
                <w:lang w:val="en-US"/>
              </w:rPr>
            </w:pPr>
            <w:r w:rsidRPr="00A87CAB">
              <w:rPr>
                <w:rFonts w:ascii="Calibri" w:eastAsia="Times New Roman" w:hAnsi="Calibri" w:cs="Calibri"/>
                <w:b/>
                <w:bCs/>
                <w:color w:val="000000"/>
                <w:sz w:val="22"/>
                <w:lang w:val="en-US"/>
              </w:rPr>
              <w:t>2018</w:t>
            </w:r>
          </w:p>
        </w:tc>
        <w:tc>
          <w:tcPr>
            <w:tcW w:w="998" w:type="dxa"/>
            <w:tcBorders>
              <w:top w:val="nil"/>
              <w:left w:val="nil"/>
              <w:bottom w:val="single" w:sz="4" w:space="0" w:color="auto"/>
              <w:right w:val="nil"/>
            </w:tcBorders>
            <w:shd w:val="clear" w:color="auto" w:fill="auto"/>
            <w:noWrap/>
            <w:vAlign w:val="bottom"/>
            <w:hideMark/>
          </w:tcPr>
          <w:p w14:paraId="47EEBDF0" w14:textId="77777777" w:rsidR="00A87CAB" w:rsidRPr="00A87CAB" w:rsidRDefault="00A87CAB" w:rsidP="00A87CAB">
            <w:pPr>
              <w:spacing w:after="0" w:line="240" w:lineRule="auto"/>
              <w:ind w:firstLine="0"/>
              <w:jc w:val="center"/>
              <w:rPr>
                <w:rFonts w:ascii="Calibri" w:eastAsia="Times New Roman" w:hAnsi="Calibri" w:cs="Calibri"/>
                <w:b/>
                <w:bCs/>
                <w:color w:val="000000"/>
                <w:sz w:val="22"/>
                <w:lang w:val="en-US"/>
              </w:rPr>
            </w:pPr>
            <w:r w:rsidRPr="00A87CAB">
              <w:rPr>
                <w:rFonts w:ascii="Calibri" w:eastAsia="Times New Roman" w:hAnsi="Calibri" w:cs="Calibri"/>
                <w:b/>
                <w:bCs/>
                <w:color w:val="000000"/>
                <w:sz w:val="22"/>
                <w:lang w:val="en-US"/>
              </w:rPr>
              <w:t>Mean</w:t>
            </w:r>
          </w:p>
        </w:tc>
        <w:tc>
          <w:tcPr>
            <w:tcW w:w="3553" w:type="dxa"/>
            <w:tcBorders>
              <w:top w:val="nil"/>
              <w:left w:val="nil"/>
              <w:bottom w:val="single" w:sz="4" w:space="0" w:color="auto"/>
              <w:right w:val="nil"/>
            </w:tcBorders>
            <w:shd w:val="clear" w:color="auto" w:fill="auto"/>
            <w:vAlign w:val="bottom"/>
            <w:hideMark/>
          </w:tcPr>
          <w:p w14:paraId="2CF971C9" w14:textId="77777777" w:rsidR="00A87CAB" w:rsidRPr="00A87CAB" w:rsidRDefault="00A87CAB" w:rsidP="00A87CAB">
            <w:pPr>
              <w:spacing w:after="0" w:line="240" w:lineRule="auto"/>
              <w:ind w:firstLine="0"/>
              <w:jc w:val="center"/>
              <w:rPr>
                <w:rFonts w:ascii="Calibri" w:eastAsia="Times New Roman" w:hAnsi="Calibri" w:cs="Calibri"/>
                <w:b/>
                <w:bCs/>
                <w:color w:val="000000"/>
                <w:sz w:val="22"/>
                <w:lang w:val="en-US"/>
              </w:rPr>
            </w:pPr>
            <w:r w:rsidRPr="00A87CAB">
              <w:rPr>
                <w:rFonts w:ascii="Calibri" w:eastAsia="Times New Roman" w:hAnsi="Calibri" w:cs="Calibri"/>
                <w:b/>
                <w:bCs/>
                <w:color w:val="000000"/>
                <w:sz w:val="22"/>
                <w:lang w:val="en-US"/>
              </w:rPr>
              <w:t>Standard deviation</w:t>
            </w:r>
          </w:p>
        </w:tc>
      </w:tr>
      <w:tr w:rsidR="00A87CAB" w:rsidRPr="00A87CAB" w14:paraId="4BD0EFF9"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20C40766"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C1</w:t>
            </w:r>
          </w:p>
        </w:tc>
        <w:tc>
          <w:tcPr>
            <w:tcW w:w="998" w:type="dxa"/>
            <w:tcBorders>
              <w:top w:val="nil"/>
              <w:left w:val="nil"/>
              <w:bottom w:val="nil"/>
              <w:right w:val="nil"/>
            </w:tcBorders>
            <w:shd w:val="clear" w:color="auto" w:fill="auto"/>
            <w:noWrap/>
            <w:vAlign w:val="center"/>
            <w:hideMark/>
          </w:tcPr>
          <w:p w14:paraId="1B5C9F83"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-19.815</w:t>
            </w:r>
          </w:p>
        </w:tc>
        <w:tc>
          <w:tcPr>
            <w:tcW w:w="998" w:type="dxa"/>
            <w:tcBorders>
              <w:top w:val="nil"/>
              <w:left w:val="nil"/>
              <w:bottom w:val="nil"/>
              <w:right w:val="nil"/>
            </w:tcBorders>
            <w:shd w:val="clear" w:color="auto" w:fill="auto"/>
            <w:noWrap/>
            <w:vAlign w:val="center"/>
            <w:hideMark/>
          </w:tcPr>
          <w:p w14:paraId="4B6014B2"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0.439</w:t>
            </w:r>
          </w:p>
        </w:tc>
        <w:tc>
          <w:tcPr>
            <w:tcW w:w="998" w:type="dxa"/>
            <w:tcBorders>
              <w:top w:val="nil"/>
              <w:left w:val="nil"/>
              <w:bottom w:val="nil"/>
              <w:right w:val="nil"/>
            </w:tcBorders>
            <w:shd w:val="clear" w:color="auto" w:fill="auto"/>
            <w:noWrap/>
            <w:vAlign w:val="center"/>
            <w:hideMark/>
          </w:tcPr>
          <w:p w14:paraId="4006BBAB"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-20.454</w:t>
            </w:r>
          </w:p>
        </w:tc>
        <w:tc>
          <w:tcPr>
            <w:tcW w:w="998" w:type="dxa"/>
            <w:tcBorders>
              <w:top w:val="nil"/>
              <w:left w:val="nil"/>
              <w:bottom w:val="nil"/>
              <w:right w:val="nil"/>
            </w:tcBorders>
            <w:shd w:val="clear" w:color="auto" w:fill="auto"/>
            <w:noWrap/>
            <w:vAlign w:val="center"/>
            <w:hideMark/>
          </w:tcPr>
          <w:p w14:paraId="5D5A6224"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-13.277</w:t>
            </w:r>
          </w:p>
        </w:tc>
        <w:tc>
          <w:tcPr>
            <w:tcW w:w="3553" w:type="dxa"/>
            <w:tcBorders>
              <w:top w:val="nil"/>
              <w:left w:val="nil"/>
              <w:bottom w:val="nil"/>
              <w:right w:val="nil"/>
            </w:tcBorders>
            <w:shd w:val="clear" w:color="auto" w:fill="auto"/>
            <w:noWrap/>
            <w:vAlign w:val="center"/>
            <w:hideMark/>
          </w:tcPr>
          <w:p w14:paraId="6F73E2CE"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11.882</w:t>
            </w:r>
          </w:p>
        </w:tc>
      </w:tr>
      <w:tr w:rsidR="00A87CAB" w:rsidRPr="00A87CAB" w14:paraId="29AF75D7"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2992F61B"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C2</w:t>
            </w:r>
          </w:p>
        </w:tc>
        <w:tc>
          <w:tcPr>
            <w:tcW w:w="998" w:type="dxa"/>
            <w:tcBorders>
              <w:top w:val="nil"/>
              <w:left w:val="nil"/>
              <w:bottom w:val="nil"/>
              <w:right w:val="nil"/>
            </w:tcBorders>
            <w:shd w:val="clear" w:color="auto" w:fill="auto"/>
            <w:noWrap/>
            <w:vAlign w:val="center"/>
            <w:hideMark/>
          </w:tcPr>
          <w:p w14:paraId="05F82AB3"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23.937</w:t>
            </w:r>
          </w:p>
        </w:tc>
        <w:tc>
          <w:tcPr>
            <w:tcW w:w="998" w:type="dxa"/>
            <w:tcBorders>
              <w:top w:val="nil"/>
              <w:left w:val="nil"/>
              <w:bottom w:val="nil"/>
              <w:right w:val="nil"/>
            </w:tcBorders>
            <w:shd w:val="clear" w:color="auto" w:fill="auto"/>
            <w:noWrap/>
            <w:vAlign w:val="center"/>
            <w:hideMark/>
          </w:tcPr>
          <w:p w14:paraId="1C8AD40B"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29.961</w:t>
            </w:r>
          </w:p>
        </w:tc>
        <w:tc>
          <w:tcPr>
            <w:tcW w:w="998" w:type="dxa"/>
            <w:tcBorders>
              <w:top w:val="nil"/>
              <w:left w:val="nil"/>
              <w:bottom w:val="nil"/>
              <w:right w:val="nil"/>
            </w:tcBorders>
            <w:shd w:val="clear" w:color="auto" w:fill="auto"/>
            <w:noWrap/>
            <w:vAlign w:val="center"/>
            <w:hideMark/>
          </w:tcPr>
          <w:p w14:paraId="14F57A9F"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39.085</w:t>
            </w:r>
          </w:p>
        </w:tc>
        <w:tc>
          <w:tcPr>
            <w:tcW w:w="998" w:type="dxa"/>
            <w:tcBorders>
              <w:top w:val="nil"/>
              <w:left w:val="nil"/>
              <w:bottom w:val="nil"/>
              <w:right w:val="nil"/>
            </w:tcBorders>
            <w:shd w:val="clear" w:color="auto" w:fill="auto"/>
            <w:noWrap/>
            <w:vAlign w:val="center"/>
            <w:hideMark/>
          </w:tcPr>
          <w:p w14:paraId="286DEA53"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30.994</w:t>
            </w:r>
          </w:p>
        </w:tc>
        <w:tc>
          <w:tcPr>
            <w:tcW w:w="3553" w:type="dxa"/>
            <w:tcBorders>
              <w:top w:val="nil"/>
              <w:left w:val="nil"/>
              <w:bottom w:val="nil"/>
              <w:right w:val="nil"/>
            </w:tcBorders>
            <w:shd w:val="clear" w:color="auto" w:fill="auto"/>
            <w:noWrap/>
            <w:vAlign w:val="center"/>
            <w:hideMark/>
          </w:tcPr>
          <w:p w14:paraId="1BC32D59"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7.626</w:t>
            </w:r>
          </w:p>
        </w:tc>
      </w:tr>
      <w:tr w:rsidR="00A87CAB" w:rsidRPr="00A87CAB" w14:paraId="6CDEBBDA"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4B489006"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C3</w:t>
            </w:r>
          </w:p>
        </w:tc>
        <w:tc>
          <w:tcPr>
            <w:tcW w:w="998" w:type="dxa"/>
            <w:tcBorders>
              <w:top w:val="nil"/>
              <w:left w:val="nil"/>
              <w:bottom w:val="nil"/>
              <w:right w:val="nil"/>
            </w:tcBorders>
            <w:shd w:val="clear" w:color="auto" w:fill="auto"/>
            <w:noWrap/>
            <w:vAlign w:val="center"/>
            <w:hideMark/>
          </w:tcPr>
          <w:p w14:paraId="39CA04A1"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3.505</w:t>
            </w:r>
          </w:p>
        </w:tc>
        <w:tc>
          <w:tcPr>
            <w:tcW w:w="998" w:type="dxa"/>
            <w:tcBorders>
              <w:top w:val="nil"/>
              <w:left w:val="nil"/>
              <w:bottom w:val="nil"/>
              <w:right w:val="nil"/>
            </w:tcBorders>
            <w:shd w:val="clear" w:color="auto" w:fill="auto"/>
            <w:noWrap/>
            <w:vAlign w:val="center"/>
            <w:hideMark/>
          </w:tcPr>
          <w:p w14:paraId="16207526"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3.607</w:t>
            </w:r>
          </w:p>
        </w:tc>
        <w:tc>
          <w:tcPr>
            <w:tcW w:w="998" w:type="dxa"/>
            <w:tcBorders>
              <w:top w:val="nil"/>
              <w:left w:val="nil"/>
              <w:bottom w:val="nil"/>
              <w:right w:val="nil"/>
            </w:tcBorders>
            <w:shd w:val="clear" w:color="auto" w:fill="auto"/>
            <w:noWrap/>
            <w:vAlign w:val="center"/>
            <w:hideMark/>
          </w:tcPr>
          <w:p w14:paraId="763AF26A"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3.457</w:t>
            </w:r>
          </w:p>
        </w:tc>
        <w:tc>
          <w:tcPr>
            <w:tcW w:w="998" w:type="dxa"/>
            <w:tcBorders>
              <w:top w:val="nil"/>
              <w:left w:val="nil"/>
              <w:bottom w:val="nil"/>
              <w:right w:val="nil"/>
            </w:tcBorders>
            <w:shd w:val="clear" w:color="auto" w:fill="auto"/>
            <w:noWrap/>
            <w:vAlign w:val="center"/>
            <w:hideMark/>
          </w:tcPr>
          <w:p w14:paraId="4E72D4E0"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3.523</w:t>
            </w:r>
          </w:p>
        </w:tc>
        <w:tc>
          <w:tcPr>
            <w:tcW w:w="3553" w:type="dxa"/>
            <w:tcBorders>
              <w:top w:val="nil"/>
              <w:left w:val="nil"/>
              <w:bottom w:val="nil"/>
              <w:right w:val="nil"/>
            </w:tcBorders>
            <w:shd w:val="clear" w:color="auto" w:fill="auto"/>
            <w:noWrap/>
            <w:vAlign w:val="center"/>
            <w:hideMark/>
          </w:tcPr>
          <w:p w14:paraId="265D85B2"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0.077</w:t>
            </w:r>
          </w:p>
        </w:tc>
      </w:tr>
      <w:tr w:rsidR="00A87CAB" w:rsidRPr="00A87CAB" w14:paraId="7B4D1628"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37D99142"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C4</w:t>
            </w:r>
          </w:p>
        </w:tc>
        <w:tc>
          <w:tcPr>
            <w:tcW w:w="998" w:type="dxa"/>
            <w:tcBorders>
              <w:top w:val="nil"/>
              <w:left w:val="nil"/>
              <w:bottom w:val="nil"/>
              <w:right w:val="nil"/>
            </w:tcBorders>
            <w:shd w:val="clear" w:color="auto" w:fill="auto"/>
            <w:noWrap/>
            <w:vAlign w:val="center"/>
            <w:hideMark/>
          </w:tcPr>
          <w:p w14:paraId="30A65C95"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1.259</w:t>
            </w:r>
          </w:p>
        </w:tc>
        <w:tc>
          <w:tcPr>
            <w:tcW w:w="998" w:type="dxa"/>
            <w:tcBorders>
              <w:top w:val="nil"/>
              <w:left w:val="nil"/>
              <w:bottom w:val="nil"/>
              <w:right w:val="nil"/>
            </w:tcBorders>
            <w:shd w:val="clear" w:color="auto" w:fill="auto"/>
            <w:noWrap/>
            <w:vAlign w:val="center"/>
            <w:hideMark/>
          </w:tcPr>
          <w:p w14:paraId="793A7E2B"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0.187</w:t>
            </w:r>
          </w:p>
        </w:tc>
        <w:tc>
          <w:tcPr>
            <w:tcW w:w="998" w:type="dxa"/>
            <w:tcBorders>
              <w:top w:val="nil"/>
              <w:left w:val="nil"/>
              <w:bottom w:val="nil"/>
              <w:right w:val="nil"/>
            </w:tcBorders>
            <w:shd w:val="clear" w:color="auto" w:fill="auto"/>
            <w:noWrap/>
            <w:vAlign w:val="center"/>
            <w:hideMark/>
          </w:tcPr>
          <w:p w14:paraId="540720BF"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-0.988</w:t>
            </w:r>
          </w:p>
        </w:tc>
        <w:tc>
          <w:tcPr>
            <w:tcW w:w="998" w:type="dxa"/>
            <w:tcBorders>
              <w:top w:val="nil"/>
              <w:left w:val="nil"/>
              <w:bottom w:val="nil"/>
              <w:right w:val="nil"/>
            </w:tcBorders>
            <w:shd w:val="clear" w:color="auto" w:fill="auto"/>
            <w:noWrap/>
            <w:vAlign w:val="center"/>
            <w:hideMark/>
          </w:tcPr>
          <w:p w14:paraId="3080133C"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0.153</w:t>
            </w:r>
          </w:p>
        </w:tc>
        <w:tc>
          <w:tcPr>
            <w:tcW w:w="3553" w:type="dxa"/>
            <w:tcBorders>
              <w:top w:val="nil"/>
              <w:left w:val="nil"/>
              <w:bottom w:val="nil"/>
              <w:right w:val="nil"/>
            </w:tcBorders>
            <w:shd w:val="clear" w:color="auto" w:fill="auto"/>
            <w:noWrap/>
            <w:vAlign w:val="center"/>
            <w:hideMark/>
          </w:tcPr>
          <w:p w14:paraId="3C6EA217"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1.124</w:t>
            </w:r>
          </w:p>
        </w:tc>
      </w:tr>
      <w:tr w:rsidR="00A87CAB" w:rsidRPr="00A87CAB" w14:paraId="21F32FF7"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5757F983"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C5</w:t>
            </w:r>
          </w:p>
        </w:tc>
        <w:tc>
          <w:tcPr>
            <w:tcW w:w="998" w:type="dxa"/>
            <w:tcBorders>
              <w:top w:val="nil"/>
              <w:left w:val="nil"/>
              <w:bottom w:val="nil"/>
              <w:right w:val="nil"/>
            </w:tcBorders>
            <w:shd w:val="clear" w:color="auto" w:fill="auto"/>
            <w:noWrap/>
            <w:vAlign w:val="center"/>
            <w:hideMark/>
          </w:tcPr>
          <w:p w14:paraId="650BEF87"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4.530</w:t>
            </w:r>
          </w:p>
        </w:tc>
        <w:tc>
          <w:tcPr>
            <w:tcW w:w="998" w:type="dxa"/>
            <w:tcBorders>
              <w:top w:val="nil"/>
              <w:left w:val="nil"/>
              <w:bottom w:val="nil"/>
              <w:right w:val="nil"/>
            </w:tcBorders>
            <w:shd w:val="clear" w:color="auto" w:fill="auto"/>
            <w:noWrap/>
            <w:vAlign w:val="center"/>
            <w:hideMark/>
          </w:tcPr>
          <w:p w14:paraId="15F0FF30"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2.572</w:t>
            </w:r>
          </w:p>
        </w:tc>
        <w:tc>
          <w:tcPr>
            <w:tcW w:w="998" w:type="dxa"/>
            <w:tcBorders>
              <w:top w:val="nil"/>
              <w:left w:val="nil"/>
              <w:bottom w:val="nil"/>
              <w:right w:val="nil"/>
            </w:tcBorders>
            <w:shd w:val="clear" w:color="auto" w:fill="auto"/>
            <w:noWrap/>
            <w:vAlign w:val="center"/>
            <w:hideMark/>
          </w:tcPr>
          <w:p w14:paraId="597A928D"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2.265</w:t>
            </w:r>
          </w:p>
        </w:tc>
        <w:tc>
          <w:tcPr>
            <w:tcW w:w="998" w:type="dxa"/>
            <w:tcBorders>
              <w:top w:val="nil"/>
              <w:left w:val="nil"/>
              <w:bottom w:val="nil"/>
              <w:right w:val="nil"/>
            </w:tcBorders>
            <w:shd w:val="clear" w:color="auto" w:fill="auto"/>
            <w:noWrap/>
            <w:vAlign w:val="center"/>
            <w:hideMark/>
          </w:tcPr>
          <w:p w14:paraId="4E551B51"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3.122</w:t>
            </w:r>
          </w:p>
        </w:tc>
        <w:tc>
          <w:tcPr>
            <w:tcW w:w="3553" w:type="dxa"/>
            <w:tcBorders>
              <w:top w:val="nil"/>
              <w:left w:val="nil"/>
              <w:bottom w:val="nil"/>
              <w:right w:val="nil"/>
            </w:tcBorders>
            <w:shd w:val="clear" w:color="auto" w:fill="auto"/>
            <w:noWrap/>
            <w:vAlign w:val="center"/>
            <w:hideMark/>
          </w:tcPr>
          <w:p w14:paraId="3205C213"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1.229</w:t>
            </w:r>
          </w:p>
        </w:tc>
      </w:tr>
      <w:tr w:rsidR="00A87CAB" w:rsidRPr="00A87CAB" w14:paraId="165386B0"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0983E123"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C6</w:t>
            </w:r>
          </w:p>
        </w:tc>
        <w:tc>
          <w:tcPr>
            <w:tcW w:w="998" w:type="dxa"/>
            <w:tcBorders>
              <w:top w:val="nil"/>
              <w:left w:val="nil"/>
              <w:bottom w:val="nil"/>
              <w:right w:val="nil"/>
            </w:tcBorders>
            <w:shd w:val="clear" w:color="auto" w:fill="auto"/>
            <w:noWrap/>
            <w:vAlign w:val="center"/>
            <w:hideMark/>
          </w:tcPr>
          <w:p w14:paraId="2360BD5B"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0.916</w:t>
            </w:r>
          </w:p>
        </w:tc>
        <w:tc>
          <w:tcPr>
            <w:tcW w:w="998" w:type="dxa"/>
            <w:tcBorders>
              <w:top w:val="nil"/>
              <w:left w:val="nil"/>
              <w:bottom w:val="nil"/>
              <w:right w:val="nil"/>
            </w:tcBorders>
            <w:shd w:val="clear" w:color="auto" w:fill="auto"/>
            <w:noWrap/>
            <w:vAlign w:val="center"/>
            <w:hideMark/>
          </w:tcPr>
          <w:p w14:paraId="514D0408"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0.862</w:t>
            </w:r>
          </w:p>
        </w:tc>
        <w:tc>
          <w:tcPr>
            <w:tcW w:w="998" w:type="dxa"/>
            <w:tcBorders>
              <w:top w:val="nil"/>
              <w:left w:val="nil"/>
              <w:bottom w:val="nil"/>
              <w:right w:val="nil"/>
            </w:tcBorders>
            <w:shd w:val="clear" w:color="auto" w:fill="auto"/>
            <w:noWrap/>
            <w:vAlign w:val="center"/>
            <w:hideMark/>
          </w:tcPr>
          <w:p w14:paraId="12A074AF"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2.219</w:t>
            </w:r>
          </w:p>
        </w:tc>
        <w:tc>
          <w:tcPr>
            <w:tcW w:w="998" w:type="dxa"/>
            <w:tcBorders>
              <w:top w:val="nil"/>
              <w:left w:val="nil"/>
              <w:bottom w:val="nil"/>
              <w:right w:val="nil"/>
            </w:tcBorders>
            <w:shd w:val="clear" w:color="auto" w:fill="auto"/>
            <w:noWrap/>
            <w:vAlign w:val="center"/>
            <w:hideMark/>
          </w:tcPr>
          <w:p w14:paraId="30A925E2"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1.332</w:t>
            </w:r>
          </w:p>
        </w:tc>
        <w:tc>
          <w:tcPr>
            <w:tcW w:w="3553" w:type="dxa"/>
            <w:tcBorders>
              <w:top w:val="nil"/>
              <w:left w:val="nil"/>
              <w:bottom w:val="nil"/>
              <w:right w:val="nil"/>
            </w:tcBorders>
            <w:shd w:val="clear" w:color="auto" w:fill="auto"/>
            <w:noWrap/>
            <w:vAlign w:val="center"/>
            <w:hideMark/>
          </w:tcPr>
          <w:p w14:paraId="641F0D71"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0.768</w:t>
            </w:r>
          </w:p>
        </w:tc>
      </w:tr>
      <w:tr w:rsidR="00A87CAB" w:rsidRPr="00A87CAB" w14:paraId="2DCA6C30"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1D62D13A"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C7</w:t>
            </w:r>
          </w:p>
        </w:tc>
        <w:tc>
          <w:tcPr>
            <w:tcW w:w="998" w:type="dxa"/>
            <w:tcBorders>
              <w:top w:val="nil"/>
              <w:left w:val="nil"/>
              <w:bottom w:val="nil"/>
              <w:right w:val="nil"/>
            </w:tcBorders>
            <w:shd w:val="clear" w:color="auto" w:fill="auto"/>
            <w:noWrap/>
            <w:vAlign w:val="center"/>
            <w:hideMark/>
          </w:tcPr>
          <w:p w14:paraId="730155E4"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19.372</w:t>
            </w:r>
          </w:p>
        </w:tc>
        <w:tc>
          <w:tcPr>
            <w:tcW w:w="998" w:type="dxa"/>
            <w:tcBorders>
              <w:top w:val="nil"/>
              <w:left w:val="nil"/>
              <w:bottom w:val="nil"/>
              <w:right w:val="nil"/>
            </w:tcBorders>
            <w:shd w:val="clear" w:color="auto" w:fill="auto"/>
            <w:noWrap/>
            <w:vAlign w:val="center"/>
            <w:hideMark/>
          </w:tcPr>
          <w:p w14:paraId="1548F209"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16.001</w:t>
            </w:r>
          </w:p>
        </w:tc>
        <w:tc>
          <w:tcPr>
            <w:tcW w:w="998" w:type="dxa"/>
            <w:tcBorders>
              <w:top w:val="nil"/>
              <w:left w:val="nil"/>
              <w:bottom w:val="nil"/>
              <w:right w:val="nil"/>
            </w:tcBorders>
            <w:shd w:val="clear" w:color="auto" w:fill="auto"/>
            <w:noWrap/>
            <w:vAlign w:val="center"/>
            <w:hideMark/>
          </w:tcPr>
          <w:p w14:paraId="2A79ED75"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13.363</w:t>
            </w:r>
          </w:p>
        </w:tc>
        <w:tc>
          <w:tcPr>
            <w:tcW w:w="998" w:type="dxa"/>
            <w:tcBorders>
              <w:top w:val="nil"/>
              <w:left w:val="nil"/>
              <w:bottom w:val="nil"/>
              <w:right w:val="nil"/>
            </w:tcBorders>
            <w:shd w:val="clear" w:color="auto" w:fill="auto"/>
            <w:noWrap/>
            <w:vAlign w:val="center"/>
            <w:hideMark/>
          </w:tcPr>
          <w:p w14:paraId="22975F19"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16.245</w:t>
            </w:r>
          </w:p>
        </w:tc>
        <w:tc>
          <w:tcPr>
            <w:tcW w:w="3553" w:type="dxa"/>
            <w:tcBorders>
              <w:top w:val="nil"/>
              <w:left w:val="nil"/>
              <w:bottom w:val="nil"/>
              <w:right w:val="nil"/>
            </w:tcBorders>
            <w:shd w:val="clear" w:color="auto" w:fill="auto"/>
            <w:noWrap/>
            <w:vAlign w:val="center"/>
            <w:hideMark/>
          </w:tcPr>
          <w:p w14:paraId="24280166"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3.012</w:t>
            </w:r>
          </w:p>
        </w:tc>
      </w:tr>
      <w:tr w:rsidR="00A87CAB" w:rsidRPr="00A87CAB" w14:paraId="1B69AF6B"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49A547E0"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C8</w:t>
            </w:r>
          </w:p>
        </w:tc>
        <w:tc>
          <w:tcPr>
            <w:tcW w:w="998" w:type="dxa"/>
            <w:tcBorders>
              <w:top w:val="nil"/>
              <w:left w:val="nil"/>
              <w:bottom w:val="nil"/>
              <w:right w:val="nil"/>
            </w:tcBorders>
            <w:shd w:val="clear" w:color="auto" w:fill="auto"/>
            <w:noWrap/>
            <w:vAlign w:val="center"/>
            <w:hideMark/>
          </w:tcPr>
          <w:p w14:paraId="64C33F6E"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5.574</w:t>
            </w:r>
          </w:p>
        </w:tc>
        <w:tc>
          <w:tcPr>
            <w:tcW w:w="998" w:type="dxa"/>
            <w:tcBorders>
              <w:top w:val="nil"/>
              <w:left w:val="nil"/>
              <w:bottom w:val="nil"/>
              <w:right w:val="nil"/>
            </w:tcBorders>
            <w:shd w:val="clear" w:color="auto" w:fill="auto"/>
            <w:noWrap/>
            <w:vAlign w:val="center"/>
            <w:hideMark/>
          </w:tcPr>
          <w:p w14:paraId="31653DBF"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7.203</w:t>
            </w:r>
          </w:p>
        </w:tc>
        <w:tc>
          <w:tcPr>
            <w:tcW w:w="998" w:type="dxa"/>
            <w:tcBorders>
              <w:top w:val="nil"/>
              <w:left w:val="nil"/>
              <w:bottom w:val="nil"/>
              <w:right w:val="nil"/>
            </w:tcBorders>
            <w:shd w:val="clear" w:color="auto" w:fill="auto"/>
            <w:noWrap/>
            <w:vAlign w:val="center"/>
            <w:hideMark/>
          </w:tcPr>
          <w:p w14:paraId="13FE999D"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7.626</w:t>
            </w:r>
          </w:p>
        </w:tc>
        <w:tc>
          <w:tcPr>
            <w:tcW w:w="998" w:type="dxa"/>
            <w:tcBorders>
              <w:top w:val="nil"/>
              <w:left w:val="nil"/>
              <w:bottom w:val="nil"/>
              <w:right w:val="nil"/>
            </w:tcBorders>
            <w:shd w:val="clear" w:color="auto" w:fill="auto"/>
            <w:noWrap/>
            <w:vAlign w:val="center"/>
            <w:hideMark/>
          </w:tcPr>
          <w:p w14:paraId="2957CB9E"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6.801</w:t>
            </w:r>
          </w:p>
        </w:tc>
        <w:tc>
          <w:tcPr>
            <w:tcW w:w="3553" w:type="dxa"/>
            <w:tcBorders>
              <w:top w:val="nil"/>
              <w:left w:val="nil"/>
              <w:bottom w:val="nil"/>
              <w:right w:val="nil"/>
            </w:tcBorders>
            <w:shd w:val="clear" w:color="auto" w:fill="auto"/>
            <w:noWrap/>
            <w:vAlign w:val="center"/>
            <w:hideMark/>
          </w:tcPr>
          <w:p w14:paraId="282B2CFD"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1.083</w:t>
            </w:r>
          </w:p>
        </w:tc>
      </w:tr>
      <w:tr w:rsidR="00A87CAB" w:rsidRPr="00A87CAB" w14:paraId="706FE6EB"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407B569D"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C9</w:t>
            </w:r>
          </w:p>
        </w:tc>
        <w:tc>
          <w:tcPr>
            <w:tcW w:w="998" w:type="dxa"/>
            <w:tcBorders>
              <w:top w:val="nil"/>
              <w:left w:val="nil"/>
              <w:bottom w:val="nil"/>
              <w:right w:val="nil"/>
            </w:tcBorders>
            <w:shd w:val="clear" w:color="auto" w:fill="auto"/>
            <w:noWrap/>
            <w:vAlign w:val="center"/>
            <w:hideMark/>
          </w:tcPr>
          <w:p w14:paraId="56B6AE75"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14.432</w:t>
            </w:r>
          </w:p>
        </w:tc>
        <w:tc>
          <w:tcPr>
            <w:tcW w:w="998" w:type="dxa"/>
            <w:tcBorders>
              <w:top w:val="nil"/>
              <w:left w:val="nil"/>
              <w:bottom w:val="nil"/>
              <w:right w:val="nil"/>
            </w:tcBorders>
            <w:shd w:val="clear" w:color="auto" w:fill="auto"/>
            <w:noWrap/>
            <w:vAlign w:val="center"/>
            <w:hideMark/>
          </w:tcPr>
          <w:p w14:paraId="394FAE26"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4.180</w:t>
            </w:r>
          </w:p>
        </w:tc>
        <w:tc>
          <w:tcPr>
            <w:tcW w:w="998" w:type="dxa"/>
            <w:tcBorders>
              <w:top w:val="nil"/>
              <w:left w:val="nil"/>
              <w:bottom w:val="nil"/>
              <w:right w:val="nil"/>
            </w:tcBorders>
            <w:shd w:val="clear" w:color="auto" w:fill="auto"/>
            <w:noWrap/>
            <w:vAlign w:val="center"/>
            <w:hideMark/>
          </w:tcPr>
          <w:p w14:paraId="40D8B402"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1.219</w:t>
            </w:r>
          </w:p>
        </w:tc>
        <w:tc>
          <w:tcPr>
            <w:tcW w:w="998" w:type="dxa"/>
            <w:tcBorders>
              <w:top w:val="nil"/>
              <w:left w:val="nil"/>
              <w:bottom w:val="nil"/>
              <w:right w:val="nil"/>
            </w:tcBorders>
            <w:shd w:val="clear" w:color="auto" w:fill="auto"/>
            <w:noWrap/>
            <w:vAlign w:val="center"/>
            <w:hideMark/>
          </w:tcPr>
          <w:p w14:paraId="547E8026"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6.610</w:t>
            </w:r>
          </w:p>
        </w:tc>
        <w:tc>
          <w:tcPr>
            <w:tcW w:w="3553" w:type="dxa"/>
            <w:tcBorders>
              <w:top w:val="nil"/>
              <w:left w:val="nil"/>
              <w:bottom w:val="nil"/>
              <w:right w:val="nil"/>
            </w:tcBorders>
            <w:shd w:val="clear" w:color="auto" w:fill="auto"/>
            <w:noWrap/>
            <w:vAlign w:val="center"/>
            <w:hideMark/>
          </w:tcPr>
          <w:p w14:paraId="14072054"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6.934</w:t>
            </w:r>
          </w:p>
        </w:tc>
      </w:tr>
      <w:tr w:rsidR="00A87CAB" w:rsidRPr="00A87CAB" w14:paraId="0C37524E"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0FFAAC40"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C10</w:t>
            </w:r>
          </w:p>
        </w:tc>
        <w:tc>
          <w:tcPr>
            <w:tcW w:w="998" w:type="dxa"/>
            <w:tcBorders>
              <w:top w:val="nil"/>
              <w:left w:val="nil"/>
              <w:bottom w:val="nil"/>
              <w:right w:val="nil"/>
            </w:tcBorders>
            <w:shd w:val="clear" w:color="auto" w:fill="auto"/>
            <w:noWrap/>
            <w:vAlign w:val="center"/>
            <w:hideMark/>
          </w:tcPr>
          <w:p w14:paraId="1EAED5DD"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2.485</w:t>
            </w:r>
          </w:p>
        </w:tc>
        <w:tc>
          <w:tcPr>
            <w:tcW w:w="998" w:type="dxa"/>
            <w:tcBorders>
              <w:top w:val="nil"/>
              <w:left w:val="nil"/>
              <w:bottom w:val="nil"/>
              <w:right w:val="nil"/>
            </w:tcBorders>
            <w:shd w:val="clear" w:color="auto" w:fill="auto"/>
            <w:noWrap/>
            <w:vAlign w:val="center"/>
            <w:hideMark/>
          </w:tcPr>
          <w:p w14:paraId="344F451F"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2.194</w:t>
            </w:r>
          </w:p>
        </w:tc>
        <w:tc>
          <w:tcPr>
            <w:tcW w:w="998" w:type="dxa"/>
            <w:tcBorders>
              <w:top w:val="nil"/>
              <w:left w:val="nil"/>
              <w:bottom w:val="nil"/>
              <w:right w:val="nil"/>
            </w:tcBorders>
            <w:shd w:val="clear" w:color="auto" w:fill="auto"/>
            <w:noWrap/>
            <w:vAlign w:val="center"/>
            <w:hideMark/>
          </w:tcPr>
          <w:p w14:paraId="601B74D3"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0.570</w:t>
            </w:r>
          </w:p>
        </w:tc>
        <w:tc>
          <w:tcPr>
            <w:tcW w:w="998" w:type="dxa"/>
            <w:tcBorders>
              <w:top w:val="nil"/>
              <w:left w:val="nil"/>
              <w:bottom w:val="nil"/>
              <w:right w:val="nil"/>
            </w:tcBorders>
            <w:shd w:val="clear" w:color="auto" w:fill="auto"/>
            <w:noWrap/>
            <w:vAlign w:val="center"/>
            <w:hideMark/>
          </w:tcPr>
          <w:p w14:paraId="185DB632"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1.750</w:t>
            </w:r>
          </w:p>
        </w:tc>
        <w:tc>
          <w:tcPr>
            <w:tcW w:w="3553" w:type="dxa"/>
            <w:tcBorders>
              <w:top w:val="nil"/>
              <w:left w:val="nil"/>
              <w:bottom w:val="nil"/>
              <w:right w:val="nil"/>
            </w:tcBorders>
            <w:shd w:val="clear" w:color="auto" w:fill="auto"/>
            <w:noWrap/>
            <w:vAlign w:val="center"/>
            <w:hideMark/>
          </w:tcPr>
          <w:p w14:paraId="5E235316"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1.032</w:t>
            </w:r>
          </w:p>
        </w:tc>
      </w:tr>
      <w:tr w:rsidR="00A87CAB" w:rsidRPr="00A87CAB" w14:paraId="5A278544"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415D2F9C"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C11</w:t>
            </w:r>
          </w:p>
        </w:tc>
        <w:tc>
          <w:tcPr>
            <w:tcW w:w="998" w:type="dxa"/>
            <w:tcBorders>
              <w:top w:val="nil"/>
              <w:left w:val="nil"/>
              <w:bottom w:val="nil"/>
              <w:right w:val="nil"/>
            </w:tcBorders>
            <w:shd w:val="clear" w:color="auto" w:fill="auto"/>
            <w:noWrap/>
            <w:vAlign w:val="center"/>
            <w:hideMark/>
          </w:tcPr>
          <w:p w14:paraId="2EF85322"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0.181</w:t>
            </w:r>
          </w:p>
        </w:tc>
        <w:tc>
          <w:tcPr>
            <w:tcW w:w="998" w:type="dxa"/>
            <w:tcBorders>
              <w:top w:val="nil"/>
              <w:left w:val="nil"/>
              <w:bottom w:val="nil"/>
              <w:right w:val="nil"/>
            </w:tcBorders>
            <w:shd w:val="clear" w:color="auto" w:fill="auto"/>
            <w:noWrap/>
            <w:vAlign w:val="center"/>
            <w:hideMark/>
          </w:tcPr>
          <w:p w14:paraId="079A0291"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0.492</w:t>
            </w:r>
          </w:p>
        </w:tc>
        <w:tc>
          <w:tcPr>
            <w:tcW w:w="998" w:type="dxa"/>
            <w:tcBorders>
              <w:top w:val="nil"/>
              <w:left w:val="nil"/>
              <w:bottom w:val="nil"/>
              <w:right w:val="nil"/>
            </w:tcBorders>
            <w:shd w:val="clear" w:color="auto" w:fill="auto"/>
            <w:noWrap/>
            <w:vAlign w:val="center"/>
            <w:hideMark/>
          </w:tcPr>
          <w:p w14:paraId="3A612588"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3.079</w:t>
            </w:r>
          </w:p>
        </w:tc>
        <w:tc>
          <w:tcPr>
            <w:tcW w:w="998" w:type="dxa"/>
            <w:tcBorders>
              <w:top w:val="nil"/>
              <w:left w:val="nil"/>
              <w:bottom w:val="nil"/>
              <w:right w:val="nil"/>
            </w:tcBorders>
            <w:shd w:val="clear" w:color="auto" w:fill="auto"/>
            <w:noWrap/>
            <w:vAlign w:val="center"/>
            <w:hideMark/>
          </w:tcPr>
          <w:p w14:paraId="3BE9965E"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1.251</w:t>
            </w:r>
          </w:p>
        </w:tc>
        <w:tc>
          <w:tcPr>
            <w:tcW w:w="3553" w:type="dxa"/>
            <w:tcBorders>
              <w:top w:val="nil"/>
              <w:left w:val="nil"/>
              <w:bottom w:val="nil"/>
              <w:right w:val="nil"/>
            </w:tcBorders>
            <w:shd w:val="clear" w:color="auto" w:fill="auto"/>
            <w:noWrap/>
            <w:vAlign w:val="center"/>
            <w:hideMark/>
          </w:tcPr>
          <w:p w14:paraId="0B3A6453"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1.591</w:t>
            </w:r>
          </w:p>
        </w:tc>
      </w:tr>
      <w:tr w:rsidR="00A87CAB" w:rsidRPr="00A87CAB" w14:paraId="52030682"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393055A0"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C12</w:t>
            </w:r>
          </w:p>
        </w:tc>
        <w:tc>
          <w:tcPr>
            <w:tcW w:w="998" w:type="dxa"/>
            <w:tcBorders>
              <w:top w:val="nil"/>
              <w:left w:val="nil"/>
              <w:bottom w:val="nil"/>
              <w:right w:val="nil"/>
            </w:tcBorders>
            <w:shd w:val="clear" w:color="auto" w:fill="auto"/>
            <w:noWrap/>
            <w:vAlign w:val="center"/>
            <w:hideMark/>
          </w:tcPr>
          <w:p w14:paraId="0E519F63"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3.414</w:t>
            </w:r>
          </w:p>
        </w:tc>
        <w:tc>
          <w:tcPr>
            <w:tcW w:w="998" w:type="dxa"/>
            <w:tcBorders>
              <w:top w:val="nil"/>
              <w:left w:val="nil"/>
              <w:bottom w:val="nil"/>
              <w:right w:val="nil"/>
            </w:tcBorders>
            <w:shd w:val="clear" w:color="auto" w:fill="auto"/>
            <w:noWrap/>
            <w:vAlign w:val="center"/>
            <w:hideMark/>
          </w:tcPr>
          <w:p w14:paraId="6C5C5EA5"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3.474</w:t>
            </w:r>
          </w:p>
        </w:tc>
        <w:tc>
          <w:tcPr>
            <w:tcW w:w="998" w:type="dxa"/>
            <w:tcBorders>
              <w:top w:val="nil"/>
              <w:left w:val="nil"/>
              <w:bottom w:val="nil"/>
              <w:right w:val="nil"/>
            </w:tcBorders>
            <w:shd w:val="clear" w:color="auto" w:fill="auto"/>
            <w:noWrap/>
            <w:vAlign w:val="center"/>
            <w:hideMark/>
          </w:tcPr>
          <w:p w14:paraId="2EA7DD4C"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4.244</w:t>
            </w:r>
          </w:p>
        </w:tc>
        <w:tc>
          <w:tcPr>
            <w:tcW w:w="998" w:type="dxa"/>
            <w:tcBorders>
              <w:top w:val="nil"/>
              <w:left w:val="nil"/>
              <w:bottom w:val="nil"/>
              <w:right w:val="nil"/>
            </w:tcBorders>
            <w:shd w:val="clear" w:color="auto" w:fill="auto"/>
            <w:noWrap/>
            <w:vAlign w:val="center"/>
            <w:hideMark/>
          </w:tcPr>
          <w:p w14:paraId="78E18219"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3.710</w:t>
            </w:r>
          </w:p>
        </w:tc>
        <w:tc>
          <w:tcPr>
            <w:tcW w:w="3553" w:type="dxa"/>
            <w:tcBorders>
              <w:top w:val="nil"/>
              <w:left w:val="nil"/>
              <w:bottom w:val="nil"/>
              <w:right w:val="nil"/>
            </w:tcBorders>
            <w:shd w:val="clear" w:color="auto" w:fill="auto"/>
            <w:noWrap/>
            <w:vAlign w:val="center"/>
            <w:hideMark/>
          </w:tcPr>
          <w:p w14:paraId="7E4902F2"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0.463</w:t>
            </w:r>
          </w:p>
        </w:tc>
      </w:tr>
      <w:tr w:rsidR="00A87CAB" w:rsidRPr="00A87CAB" w14:paraId="31427BA0"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591D8829"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C13</w:t>
            </w:r>
          </w:p>
        </w:tc>
        <w:tc>
          <w:tcPr>
            <w:tcW w:w="998" w:type="dxa"/>
            <w:tcBorders>
              <w:top w:val="nil"/>
              <w:left w:val="nil"/>
              <w:bottom w:val="nil"/>
              <w:right w:val="nil"/>
            </w:tcBorders>
            <w:shd w:val="clear" w:color="auto" w:fill="auto"/>
            <w:noWrap/>
            <w:vAlign w:val="center"/>
            <w:hideMark/>
          </w:tcPr>
          <w:p w14:paraId="5CFD6C0D"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4.507</w:t>
            </w:r>
          </w:p>
        </w:tc>
        <w:tc>
          <w:tcPr>
            <w:tcW w:w="998" w:type="dxa"/>
            <w:tcBorders>
              <w:top w:val="nil"/>
              <w:left w:val="nil"/>
              <w:bottom w:val="nil"/>
              <w:right w:val="nil"/>
            </w:tcBorders>
            <w:shd w:val="clear" w:color="auto" w:fill="auto"/>
            <w:noWrap/>
            <w:vAlign w:val="center"/>
            <w:hideMark/>
          </w:tcPr>
          <w:p w14:paraId="012722CA"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-4.728</w:t>
            </w:r>
          </w:p>
        </w:tc>
        <w:tc>
          <w:tcPr>
            <w:tcW w:w="998" w:type="dxa"/>
            <w:tcBorders>
              <w:top w:val="nil"/>
              <w:left w:val="nil"/>
              <w:bottom w:val="nil"/>
              <w:right w:val="nil"/>
            </w:tcBorders>
            <w:shd w:val="clear" w:color="auto" w:fill="auto"/>
            <w:noWrap/>
            <w:vAlign w:val="center"/>
            <w:hideMark/>
          </w:tcPr>
          <w:p w14:paraId="556E60B8"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5.588</w:t>
            </w:r>
          </w:p>
        </w:tc>
        <w:tc>
          <w:tcPr>
            <w:tcW w:w="998" w:type="dxa"/>
            <w:tcBorders>
              <w:top w:val="nil"/>
              <w:left w:val="nil"/>
              <w:bottom w:val="nil"/>
              <w:right w:val="nil"/>
            </w:tcBorders>
            <w:shd w:val="clear" w:color="auto" w:fill="auto"/>
            <w:noWrap/>
            <w:vAlign w:val="center"/>
            <w:hideMark/>
          </w:tcPr>
          <w:p w14:paraId="06815BAC"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1.789</w:t>
            </w:r>
          </w:p>
        </w:tc>
        <w:tc>
          <w:tcPr>
            <w:tcW w:w="3553" w:type="dxa"/>
            <w:tcBorders>
              <w:top w:val="nil"/>
              <w:left w:val="nil"/>
              <w:bottom w:val="nil"/>
              <w:right w:val="nil"/>
            </w:tcBorders>
            <w:shd w:val="clear" w:color="auto" w:fill="auto"/>
            <w:noWrap/>
            <w:vAlign w:val="center"/>
            <w:hideMark/>
          </w:tcPr>
          <w:p w14:paraId="2BA698D9"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5.669</w:t>
            </w:r>
          </w:p>
        </w:tc>
      </w:tr>
      <w:tr w:rsidR="00A87CAB" w:rsidRPr="00A87CAB" w14:paraId="6B5D7E5E"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5E8D64D7"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C14</w:t>
            </w:r>
          </w:p>
        </w:tc>
        <w:tc>
          <w:tcPr>
            <w:tcW w:w="998" w:type="dxa"/>
            <w:tcBorders>
              <w:top w:val="nil"/>
              <w:left w:val="nil"/>
              <w:bottom w:val="nil"/>
              <w:right w:val="nil"/>
            </w:tcBorders>
            <w:shd w:val="clear" w:color="auto" w:fill="auto"/>
            <w:noWrap/>
            <w:vAlign w:val="center"/>
            <w:hideMark/>
          </w:tcPr>
          <w:p w14:paraId="71628363"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3.471</w:t>
            </w:r>
          </w:p>
        </w:tc>
        <w:tc>
          <w:tcPr>
            <w:tcW w:w="998" w:type="dxa"/>
            <w:tcBorders>
              <w:top w:val="nil"/>
              <w:left w:val="nil"/>
              <w:bottom w:val="nil"/>
              <w:right w:val="nil"/>
            </w:tcBorders>
            <w:shd w:val="clear" w:color="auto" w:fill="auto"/>
            <w:noWrap/>
            <w:vAlign w:val="center"/>
            <w:hideMark/>
          </w:tcPr>
          <w:p w14:paraId="6B5773C2"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2.288</w:t>
            </w:r>
          </w:p>
        </w:tc>
        <w:tc>
          <w:tcPr>
            <w:tcW w:w="998" w:type="dxa"/>
            <w:tcBorders>
              <w:top w:val="nil"/>
              <w:left w:val="nil"/>
              <w:bottom w:val="nil"/>
              <w:right w:val="nil"/>
            </w:tcBorders>
            <w:shd w:val="clear" w:color="auto" w:fill="auto"/>
            <w:noWrap/>
            <w:vAlign w:val="center"/>
            <w:hideMark/>
          </w:tcPr>
          <w:p w14:paraId="1500D0FD"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2.766</w:t>
            </w:r>
          </w:p>
        </w:tc>
        <w:tc>
          <w:tcPr>
            <w:tcW w:w="998" w:type="dxa"/>
            <w:tcBorders>
              <w:top w:val="nil"/>
              <w:left w:val="nil"/>
              <w:bottom w:val="nil"/>
              <w:right w:val="nil"/>
            </w:tcBorders>
            <w:shd w:val="clear" w:color="auto" w:fill="auto"/>
            <w:noWrap/>
            <w:vAlign w:val="center"/>
            <w:hideMark/>
          </w:tcPr>
          <w:p w14:paraId="5B5E48F5"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2.842</w:t>
            </w:r>
          </w:p>
        </w:tc>
        <w:tc>
          <w:tcPr>
            <w:tcW w:w="3553" w:type="dxa"/>
            <w:tcBorders>
              <w:top w:val="nil"/>
              <w:left w:val="nil"/>
              <w:bottom w:val="nil"/>
              <w:right w:val="nil"/>
            </w:tcBorders>
            <w:shd w:val="clear" w:color="auto" w:fill="auto"/>
            <w:noWrap/>
            <w:vAlign w:val="center"/>
            <w:hideMark/>
          </w:tcPr>
          <w:p w14:paraId="4B21D10B"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0.595</w:t>
            </w:r>
          </w:p>
        </w:tc>
      </w:tr>
      <w:tr w:rsidR="00A87CAB" w:rsidRPr="00A87CAB" w14:paraId="51252357"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7CC5C126"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C15</w:t>
            </w:r>
          </w:p>
        </w:tc>
        <w:tc>
          <w:tcPr>
            <w:tcW w:w="998" w:type="dxa"/>
            <w:tcBorders>
              <w:top w:val="nil"/>
              <w:left w:val="nil"/>
              <w:bottom w:val="nil"/>
              <w:right w:val="nil"/>
            </w:tcBorders>
            <w:shd w:val="clear" w:color="auto" w:fill="auto"/>
            <w:noWrap/>
            <w:vAlign w:val="center"/>
            <w:hideMark/>
          </w:tcPr>
          <w:p w14:paraId="498FC950"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2.555</w:t>
            </w:r>
          </w:p>
        </w:tc>
        <w:tc>
          <w:tcPr>
            <w:tcW w:w="998" w:type="dxa"/>
            <w:tcBorders>
              <w:top w:val="nil"/>
              <w:left w:val="nil"/>
              <w:bottom w:val="nil"/>
              <w:right w:val="nil"/>
            </w:tcBorders>
            <w:shd w:val="clear" w:color="auto" w:fill="auto"/>
            <w:noWrap/>
            <w:vAlign w:val="center"/>
            <w:hideMark/>
          </w:tcPr>
          <w:p w14:paraId="2C2ADB4E"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2.010</w:t>
            </w:r>
          </w:p>
        </w:tc>
        <w:tc>
          <w:tcPr>
            <w:tcW w:w="998" w:type="dxa"/>
            <w:tcBorders>
              <w:top w:val="nil"/>
              <w:left w:val="nil"/>
              <w:bottom w:val="nil"/>
              <w:right w:val="nil"/>
            </w:tcBorders>
            <w:shd w:val="clear" w:color="auto" w:fill="auto"/>
            <w:noWrap/>
            <w:vAlign w:val="center"/>
            <w:hideMark/>
          </w:tcPr>
          <w:p w14:paraId="032BFFA1"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2.029</w:t>
            </w:r>
          </w:p>
        </w:tc>
        <w:tc>
          <w:tcPr>
            <w:tcW w:w="998" w:type="dxa"/>
            <w:tcBorders>
              <w:top w:val="nil"/>
              <w:left w:val="nil"/>
              <w:bottom w:val="nil"/>
              <w:right w:val="nil"/>
            </w:tcBorders>
            <w:shd w:val="clear" w:color="auto" w:fill="auto"/>
            <w:noWrap/>
            <w:vAlign w:val="center"/>
            <w:hideMark/>
          </w:tcPr>
          <w:p w14:paraId="49FA711F"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2.198</w:t>
            </w:r>
          </w:p>
        </w:tc>
        <w:tc>
          <w:tcPr>
            <w:tcW w:w="3553" w:type="dxa"/>
            <w:tcBorders>
              <w:top w:val="nil"/>
              <w:left w:val="nil"/>
              <w:bottom w:val="nil"/>
              <w:right w:val="nil"/>
            </w:tcBorders>
            <w:shd w:val="clear" w:color="auto" w:fill="auto"/>
            <w:noWrap/>
            <w:vAlign w:val="center"/>
            <w:hideMark/>
          </w:tcPr>
          <w:p w14:paraId="27D27D7E"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0.310</w:t>
            </w:r>
          </w:p>
        </w:tc>
      </w:tr>
      <w:tr w:rsidR="00A87CAB" w:rsidRPr="00A87CAB" w14:paraId="6FC10576"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18C98EE9"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C16</w:t>
            </w:r>
          </w:p>
        </w:tc>
        <w:tc>
          <w:tcPr>
            <w:tcW w:w="998" w:type="dxa"/>
            <w:tcBorders>
              <w:top w:val="nil"/>
              <w:left w:val="nil"/>
              <w:bottom w:val="nil"/>
              <w:right w:val="nil"/>
            </w:tcBorders>
            <w:shd w:val="clear" w:color="auto" w:fill="auto"/>
            <w:noWrap/>
            <w:vAlign w:val="center"/>
            <w:hideMark/>
          </w:tcPr>
          <w:p w14:paraId="077C2D02"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1.789</w:t>
            </w:r>
          </w:p>
        </w:tc>
        <w:tc>
          <w:tcPr>
            <w:tcW w:w="998" w:type="dxa"/>
            <w:tcBorders>
              <w:top w:val="nil"/>
              <w:left w:val="nil"/>
              <w:bottom w:val="nil"/>
              <w:right w:val="nil"/>
            </w:tcBorders>
            <w:shd w:val="clear" w:color="auto" w:fill="auto"/>
            <w:noWrap/>
            <w:vAlign w:val="center"/>
            <w:hideMark/>
          </w:tcPr>
          <w:p w14:paraId="41D74738"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1.807</w:t>
            </w:r>
          </w:p>
        </w:tc>
        <w:tc>
          <w:tcPr>
            <w:tcW w:w="998" w:type="dxa"/>
            <w:tcBorders>
              <w:top w:val="nil"/>
              <w:left w:val="nil"/>
              <w:bottom w:val="nil"/>
              <w:right w:val="nil"/>
            </w:tcBorders>
            <w:shd w:val="clear" w:color="auto" w:fill="auto"/>
            <w:noWrap/>
            <w:vAlign w:val="center"/>
            <w:hideMark/>
          </w:tcPr>
          <w:p w14:paraId="7AD41099"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1.502</w:t>
            </w:r>
          </w:p>
        </w:tc>
        <w:tc>
          <w:tcPr>
            <w:tcW w:w="998" w:type="dxa"/>
            <w:tcBorders>
              <w:top w:val="nil"/>
              <w:left w:val="nil"/>
              <w:bottom w:val="nil"/>
              <w:right w:val="nil"/>
            </w:tcBorders>
            <w:shd w:val="clear" w:color="auto" w:fill="auto"/>
            <w:noWrap/>
            <w:vAlign w:val="center"/>
            <w:hideMark/>
          </w:tcPr>
          <w:p w14:paraId="348DB4F2"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1.699</w:t>
            </w:r>
          </w:p>
        </w:tc>
        <w:tc>
          <w:tcPr>
            <w:tcW w:w="3553" w:type="dxa"/>
            <w:tcBorders>
              <w:top w:val="nil"/>
              <w:left w:val="nil"/>
              <w:bottom w:val="nil"/>
              <w:right w:val="nil"/>
            </w:tcBorders>
            <w:shd w:val="clear" w:color="auto" w:fill="auto"/>
            <w:noWrap/>
            <w:vAlign w:val="center"/>
            <w:hideMark/>
          </w:tcPr>
          <w:p w14:paraId="3B636907"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0.171</w:t>
            </w:r>
          </w:p>
        </w:tc>
      </w:tr>
      <w:tr w:rsidR="00A87CAB" w:rsidRPr="00A87CAB" w14:paraId="1F71E0D6"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5AFB6A7D"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C17</w:t>
            </w:r>
          </w:p>
        </w:tc>
        <w:tc>
          <w:tcPr>
            <w:tcW w:w="998" w:type="dxa"/>
            <w:tcBorders>
              <w:top w:val="nil"/>
              <w:left w:val="nil"/>
              <w:bottom w:val="nil"/>
              <w:right w:val="nil"/>
            </w:tcBorders>
            <w:shd w:val="clear" w:color="auto" w:fill="auto"/>
            <w:noWrap/>
            <w:vAlign w:val="center"/>
            <w:hideMark/>
          </w:tcPr>
          <w:p w14:paraId="7A312987"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3.313</w:t>
            </w:r>
          </w:p>
        </w:tc>
        <w:tc>
          <w:tcPr>
            <w:tcW w:w="998" w:type="dxa"/>
            <w:tcBorders>
              <w:top w:val="nil"/>
              <w:left w:val="nil"/>
              <w:bottom w:val="nil"/>
              <w:right w:val="nil"/>
            </w:tcBorders>
            <w:shd w:val="clear" w:color="auto" w:fill="auto"/>
            <w:noWrap/>
            <w:vAlign w:val="center"/>
            <w:hideMark/>
          </w:tcPr>
          <w:p w14:paraId="4B13245E"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3.047</w:t>
            </w:r>
          </w:p>
        </w:tc>
        <w:tc>
          <w:tcPr>
            <w:tcW w:w="998" w:type="dxa"/>
            <w:tcBorders>
              <w:top w:val="nil"/>
              <w:left w:val="nil"/>
              <w:bottom w:val="nil"/>
              <w:right w:val="nil"/>
            </w:tcBorders>
            <w:shd w:val="clear" w:color="auto" w:fill="auto"/>
            <w:noWrap/>
            <w:vAlign w:val="center"/>
            <w:hideMark/>
          </w:tcPr>
          <w:p w14:paraId="3866FB99"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3.359</w:t>
            </w:r>
          </w:p>
        </w:tc>
        <w:tc>
          <w:tcPr>
            <w:tcW w:w="998" w:type="dxa"/>
            <w:tcBorders>
              <w:top w:val="nil"/>
              <w:left w:val="nil"/>
              <w:bottom w:val="nil"/>
              <w:right w:val="nil"/>
            </w:tcBorders>
            <w:shd w:val="clear" w:color="auto" w:fill="auto"/>
            <w:noWrap/>
            <w:vAlign w:val="center"/>
            <w:hideMark/>
          </w:tcPr>
          <w:p w14:paraId="61CEE111"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3.240</w:t>
            </w:r>
          </w:p>
        </w:tc>
        <w:tc>
          <w:tcPr>
            <w:tcW w:w="3553" w:type="dxa"/>
            <w:tcBorders>
              <w:top w:val="nil"/>
              <w:left w:val="nil"/>
              <w:bottom w:val="nil"/>
              <w:right w:val="nil"/>
            </w:tcBorders>
            <w:shd w:val="clear" w:color="auto" w:fill="auto"/>
            <w:noWrap/>
            <w:vAlign w:val="center"/>
            <w:hideMark/>
          </w:tcPr>
          <w:p w14:paraId="589D23C3"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0.169</w:t>
            </w:r>
          </w:p>
        </w:tc>
      </w:tr>
      <w:tr w:rsidR="00A87CAB" w:rsidRPr="00A87CAB" w14:paraId="2620CF17"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6ECB21EB"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C18</w:t>
            </w:r>
          </w:p>
        </w:tc>
        <w:tc>
          <w:tcPr>
            <w:tcW w:w="998" w:type="dxa"/>
            <w:tcBorders>
              <w:top w:val="nil"/>
              <w:left w:val="nil"/>
              <w:bottom w:val="nil"/>
              <w:right w:val="nil"/>
            </w:tcBorders>
            <w:shd w:val="clear" w:color="auto" w:fill="auto"/>
            <w:noWrap/>
            <w:vAlign w:val="center"/>
            <w:hideMark/>
          </w:tcPr>
          <w:p w14:paraId="01E12CB6"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1.839</w:t>
            </w:r>
          </w:p>
        </w:tc>
        <w:tc>
          <w:tcPr>
            <w:tcW w:w="998" w:type="dxa"/>
            <w:tcBorders>
              <w:top w:val="nil"/>
              <w:left w:val="nil"/>
              <w:bottom w:val="nil"/>
              <w:right w:val="nil"/>
            </w:tcBorders>
            <w:shd w:val="clear" w:color="auto" w:fill="auto"/>
            <w:noWrap/>
            <w:vAlign w:val="center"/>
            <w:hideMark/>
          </w:tcPr>
          <w:p w14:paraId="367CEACE"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2.391</w:t>
            </w:r>
          </w:p>
        </w:tc>
        <w:tc>
          <w:tcPr>
            <w:tcW w:w="998" w:type="dxa"/>
            <w:tcBorders>
              <w:top w:val="nil"/>
              <w:left w:val="nil"/>
              <w:bottom w:val="nil"/>
              <w:right w:val="nil"/>
            </w:tcBorders>
            <w:shd w:val="clear" w:color="auto" w:fill="auto"/>
            <w:noWrap/>
            <w:vAlign w:val="center"/>
            <w:hideMark/>
          </w:tcPr>
          <w:p w14:paraId="7148AC83"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2.080</w:t>
            </w:r>
          </w:p>
        </w:tc>
        <w:tc>
          <w:tcPr>
            <w:tcW w:w="998" w:type="dxa"/>
            <w:tcBorders>
              <w:top w:val="nil"/>
              <w:left w:val="nil"/>
              <w:bottom w:val="nil"/>
              <w:right w:val="nil"/>
            </w:tcBorders>
            <w:shd w:val="clear" w:color="auto" w:fill="auto"/>
            <w:noWrap/>
            <w:vAlign w:val="center"/>
            <w:hideMark/>
          </w:tcPr>
          <w:p w14:paraId="0C0F1FF8"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2.103</w:t>
            </w:r>
          </w:p>
        </w:tc>
        <w:tc>
          <w:tcPr>
            <w:tcW w:w="3553" w:type="dxa"/>
            <w:tcBorders>
              <w:top w:val="nil"/>
              <w:left w:val="nil"/>
              <w:bottom w:val="nil"/>
              <w:right w:val="nil"/>
            </w:tcBorders>
            <w:shd w:val="clear" w:color="auto" w:fill="auto"/>
            <w:noWrap/>
            <w:vAlign w:val="center"/>
            <w:hideMark/>
          </w:tcPr>
          <w:p w14:paraId="3B4A22AB"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0.277</w:t>
            </w:r>
          </w:p>
        </w:tc>
      </w:tr>
      <w:tr w:rsidR="00A87CAB" w:rsidRPr="00A87CAB" w14:paraId="715BE2C9"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53B57E72"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C19</w:t>
            </w:r>
          </w:p>
        </w:tc>
        <w:tc>
          <w:tcPr>
            <w:tcW w:w="998" w:type="dxa"/>
            <w:tcBorders>
              <w:top w:val="nil"/>
              <w:left w:val="nil"/>
              <w:bottom w:val="nil"/>
              <w:right w:val="nil"/>
            </w:tcBorders>
            <w:shd w:val="clear" w:color="auto" w:fill="auto"/>
            <w:noWrap/>
            <w:vAlign w:val="center"/>
            <w:hideMark/>
          </w:tcPr>
          <w:p w14:paraId="74C0B420"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2.965</w:t>
            </w:r>
          </w:p>
        </w:tc>
        <w:tc>
          <w:tcPr>
            <w:tcW w:w="998" w:type="dxa"/>
            <w:tcBorders>
              <w:top w:val="nil"/>
              <w:left w:val="nil"/>
              <w:bottom w:val="nil"/>
              <w:right w:val="nil"/>
            </w:tcBorders>
            <w:shd w:val="clear" w:color="auto" w:fill="auto"/>
            <w:noWrap/>
            <w:vAlign w:val="center"/>
            <w:hideMark/>
          </w:tcPr>
          <w:p w14:paraId="1FCB323A"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0.533</w:t>
            </w:r>
          </w:p>
        </w:tc>
        <w:tc>
          <w:tcPr>
            <w:tcW w:w="998" w:type="dxa"/>
            <w:tcBorders>
              <w:top w:val="nil"/>
              <w:left w:val="nil"/>
              <w:bottom w:val="nil"/>
              <w:right w:val="nil"/>
            </w:tcBorders>
            <w:shd w:val="clear" w:color="auto" w:fill="auto"/>
            <w:noWrap/>
            <w:vAlign w:val="center"/>
            <w:hideMark/>
          </w:tcPr>
          <w:p w14:paraId="5152A5A0"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-2.132</w:t>
            </w:r>
          </w:p>
        </w:tc>
        <w:tc>
          <w:tcPr>
            <w:tcW w:w="998" w:type="dxa"/>
            <w:tcBorders>
              <w:top w:val="nil"/>
              <w:left w:val="nil"/>
              <w:bottom w:val="nil"/>
              <w:right w:val="nil"/>
            </w:tcBorders>
            <w:shd w:val="clear" w:color="auto" w:fill="auto"/>
            <w:noWrap/>
            <w:vAlign w:val="center"/>
            <w:hideMark/>
          </w:tcPr>
          <w:p w14:paraId="6AA8BAB2"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0.455</w:t>
            </w:r>
          </w:p>
        </w:tc>
        <w:tc>
          <w:tcPr>
            <w:tcW w:w="3553" w:type="dxa"/>
            <w:tcBorders>
              <w:top w:val="nil"/>
              <w:left w:val="nil"/>
              <w:bottom w:val="nil"/>
              <w:right w:val="nil"/>
            </w:tcBorders>
            <w:shd w:val="clear" w:color="auto" w:fill="auto"/>
            <w:noWrap/>
            <w:vAlign w:val="center"/>
            <w:hideMark/>
          </w:tcPr>
          <w:p w14:paraId="660F3B1E"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2.550</w:t>
            </w:r>
          </w:p>
        </w:tc>
      </w:tr>
      <w:tr w:rsidR="00A87CAB" w:rsidRPr="00A87CAB" w14:paraId="44BFB65F"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6D1820A5"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C20</w:t>
            </w:r>
          </w:p>
        </w:tc>
        <w:tc>
          <w:tcPr>
            <w:tcW w:w="998" w:type="dxa"/>
            <w:tcBorders>
              <w:top w:val="nil"/>
              <w:left w:val="nil"/>
              <w:bottom w:val="nil"/>
              <w:right w:val="nil"/>
            </w:tcBorders>
            <w:shd w:val="clear" w:color="auto" w:fill="auto"/>
            <w:noWrap/>
            <w:vAlign w:val="center"/>
            <w:hideMark/>
          </w:tcPr>
          <w:p w14:paraId="51A93BDF"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2.356</w:t>
            </w:r>
          </w:p>
        </w:tc>
        <w:tc>
          <w:tcPr>
            <w:tcW w:w="998" w:type="dxa"/>
            <w:tcBorders>
              <w:top w:val="nil"/>
              <w:left w:val="nil"/>
              <w:bottom w:val="nil"/>
              <w:right w:val="nil"/>
            </w:tcBorders>
            <w:shd w:val="clear" w:color="auto" w:fill="auto"/>
            <w:noWrap/>
            <w:vAlign w:val="center"/>
            <w:hideMark/>
          </w:tcPr>
          <w:p w14:paraId="646AC36F"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1.906</w:t>
            </w:r>
          </w:p>
        </w:tc>
        <w:tc>
          <w:tcPr>
            <w:tcW w:w="998" w:type="dxa"/>
            <w:tcBorders>
              <w:top w:val="nil"/>
              <w:left w:val="nil"/>
              <w:bottom w:val="nil"/>
              <w:right w:val="nil"/>
            </w:tcBorders>
            <w:shd w:val="clear" w:color="auto" w:fill="auto"/>
            <w:noWrap/>
            <w:vAlign w:val="center"/>
            <w:hideMark/>
          </w:tcPr>
          <w:p w14:paraId="6ED868F7"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1.875</w:t>
            </w:r>
          </w:p>
        </w:tc>
        <w:tc>
          <w:tcPr>
            <w:tcW w:w="998" w:type="dxa"/>
            <w:tcBorders>
              <w:top w:val="nil"/>
              <w:left w:val="nil"/>
              <w:bottom w:val="nil"/>
              <w:right w:val="nil"/>
            </w:tcBorders>
            <w:shd w:val="clear" w:color="auto" w:fill="auto"/>
            <w:noWrap/>
            <w:vAlign w:val="center"/>
            <w:hideMark/>
          </w:tcPr>
          <w:p w14:paraId="7F3FBE4B"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2.046</w:t>
            </w:r>
          </w:p>
        </w:tc>
        <w:tc>
          <w:tcPr>
            <w:tcW w:w="3553" w:type="dxa"/>
            <w:tcBorders>
              <w:top w:val="nil"/>
              <w:left w:val="nil"/>
              <w:bottom w:val="nil"/>
              <w:right w:val="nil"/>
            </w:tcBorders>
            <w:shd w:val="clear" w:color="auto" w:fill="auto"/>
            <w:noWrap/>
            <w:vAlign w:val="center"/>
            <w:hideMark/>
          </w:tcPr>
          <w:p w14:paraId="4B74391C"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0.269</w:t>
            </w:r>
          </w:p>
        </w:tc>
      </w:tr>
      <w:tr w:rsidR="00CD23CC" w:rsidRPr="00A87CAB" w14:paraId="04090493"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09C43421" w14:textId="77777777" w:rsidR="00CD23CC" w:rsidRPr="00A87CAB" w:rsidRDefault="00CD23CC" w:rsidP="00CD23CC">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C21</w:t>
            </w:r>
          </w:p>
        </w:tc>
        <w:tc>
          <w:tcPr>
            <w:tcW w:w="998" w:type="dxa"/>
            <w:tcBorders>
              <w:top w:val="nil"/>
              <w:left w:val="nil"/>
              <w:bottom w:val="nil"/>
              <w:right w:val="nil"/>
            </w:tcBorders>
            <w:shd w:val="clear" w:color="auto" w:fill="auto"/>
            <w:noWrap/>
            <w:vAlign w:val="center"/>
            <w:hideMark/>
          </w:tcPr>
          <w:p w14:paraId="471092C1" w14:textId="1DB87ECC" w:rsidR="00CD23CC" w:rsidRPr="00A87CAB" w:rsidRDefault="00CD23CC" w:rsidP="00CD23CC">
            <w:pPr>
              <w:spacing w:after="0" w:line="240" w:lineRule="auto"/>
              <w:ind w:firstLine="0"/>
              <w:jc w:val="center"/>
              <w:rPr>
                <w:rFonts w:ascii="Calibri" w:eastAsia="Times New Roman" w:hAnsi="Calibri" w:cs="Calibri"/>
                <w:color w:val="000000"/>
                <w:sz w:val="22"/>
                <w:lang w:val="en-US"/>
              </w:rPr>
            </w:pPr>
            <w:r>
              <w:rPr>
                <w:rFonts w:ascii="Calibri" w:hAnsi="Calibri" w:cs="Calibri"/>
                <w:color w:val="000000"/>
                <w:sz w:val="22"/>
              </w:rPr>
              <w:t>3.686</w:t>
            </w:r>
          </w:p>
        </w:tc>
        <w:tc>
          <w:tcPr>
            <w:tcW w:w="998" w:type="dxa"/>
            <w:tcBorders>
              <w:top w:val="nil"/>
              <w:left w:val="nil"/>
              <w:bottom w:val="nil"/>
              <w:right w:val="nil"/>
            </w:tcBorders>
            <w:shd w:val="clear" w:color="auto" w:fill="auto"/>
            <w:noWrap/>
            <w:vAlign w:val="center"/>
            <w:hideMark/>
          </w:tcPr>
          <w:p w14:paraId="61DADBDD" w14:textId="74C63678" w:rsidR="00CD23CC" w:rsidRPr="00A87CAB" w:rsidRDefault="00CD23CC" w:rsidP="00CD23CC">
            <w:pPr>
              <w:spacing w:after="0" w:line="240" w:lineRule="auto"/>
              <w:ind w:firstLine="0"/>
              <w:jc w:val="center"/>
              <w:rPr>
                <w:rFonts w:ascii="Calibri" w:eastAsia="Times New Roman" w:hAnsi="Calibri" w:cs="Calibri"/>
                <w:color w:val="000000"/>
                <w:sz w:val="22"/>
                <w:lang w:val="en-US"/>
              </w:rPr>
            </w:pPr>
            <w:r>
              <w:rPr>
                <w:rFonts w:ascii="Calibri" w:hAnsi="Calibri" w:cs="Calibri"/>
                <w:color w:val="000000"/>
                <w:sz w:val="22"/>
              </w:rPr>
              <w:t>3.025</w:t>
            </w:r>
          </w:p>
        </w:tc>
        <w:tc>
          <w:tcPr>
            <w:tcW w:w="998" w:type="dxa"/>
            <w:tcBorders>
              <w:top w:val="nil"/>
              <w:left w:val="nil"/>
              <w:bottom w:val="nil"/>
              <w:right w:val="nil"/>
            </w:tcBorders>
            <w:shd w:val="clear" w:color="auto" w:fill="auto"/>
            <w:noWrap/>
            <w:vAlign w:val="center"/>
            <w:hideMark/>
          </w:tcPr>
          <w:p w14:paraId="2431A0C0" w14:textId="5D07C60C" w:rsidR="00CD23CC" w:rsidRPr="00A87CAB" w:rsidRDefault="00CD23CC" w:rsidP="00CD23CC">
            <w:pPr>
              <w:spacing w:after="0" w:line="240" w:lineRule="auto"/>
              <w:ind w:firstLine="0"/>
              <w:jc w:val="center"/>
              <w:rPr>
                <w:rFonts w:ascii="Calibri" w:eastAsia="Times New Roman" w:hAnsi="Calibri" w:cs="Calibri"/>
                <w:color w:val="000000"/>
                <w:sz w:val="22"/>
                <w:lang w:val="en-US"/>
              </w:rPr>
            </w:pPr>
            <w:r>
              <w:rPr>
                <w:rFonts w:ascii="Calibri" w:hAnsi="Calibri" w:cs="Calibri"/>
                <w:color w:val="000000"/>
                <w:sz w:val="22"/>
              </w:rPr>
              <w:t>2.947</w:t>
            </w:r>
          </w:p>
        </w:tc>
        <w:tc>
          <w:tcPr>
            <w:tcW w:w="998" w:type="dxa"/>
            <w:tcBorders>
              <w:top w:val="nil"/>
              <w:left w:val="nil"/>
              <w:bottom w:val="nil"/>
              <w:right w:val="nil"/>
            </w:tcBorders>
            <w:shd w:val="clear" w:color="auto" w:fill="auto"/>
            <w:noWrap/>
            <w:vAlign w:val="center"/>
            <w:hideMark/>
          </w:tcPr>
          <w:p w14:paraId="1EF0BC12" w14:textId="1F10F1AA" w:rsidR="00CD23CC" w:rsidRPr="00A87CAB" w:rsidRDefault="00CD23CC" w:rsidP="00CD23CC">
            <w:pPr>
              <w:spacing w:after="0" w:line="240" w:lineRule="auto"/>
              <w:ind w:firstLine="0"/>
              <w:jc w:val="center"/>
              <w:rPr>
                <w:rFonts w:ascii="Calibri" w:eastAsia="Times New Roman" w:hAnsi="Calibri" w:cs="Calibri"/>
                <w:color w:val="000000"/>
                <w:sz w:val="22"/>
                <w:lang w:val="en-US"/>
              </w:rPr>
            </w:pPr>
            <w:r>
              <w:rPr>
                <w:rFonts w:ascii="Calibri" w:hAnsi="Calibri" w:cs="Calibri"/>
                <w:color w:val="000000"/>
                <w:sz w:val="22"/>
              </w:rPr>
              <w:t>3.219</w:t>
            </w:r>
          </w:p>
        </w:tc>
        <w:tc>
          <w:tcPr>
            <w:tcW w:w="3553" w:type="dxa"/>
            <w:tcBorders>
              <w:top w:val="nil"/>
              <w:left w:val="nil"/>
              <w:bottom w:val="nil"/>
              <w:right w:val="nil"/>
            </w:tcBorders>
            <w:shd w:val="clear" w:color="auto" w:fill="auto"/>
            <w:noWrap/>
            <w:vAlign w:val="center"/>
            <w:hideMark/>
          </w:tcPr>
          <w:p w14:paraId="146BBB9C" w14:textId="5D06A5FA" w:rsidR="00CD23CC" w:rsidRPr="00A87CAB" w:rsidRDefault="00CD23CC" w:rsidP="00CD23CC">
            <w:pPr>
              <w:spacing w:after="0" w:line="240" w:lineRule="auto"/>
              <w:ind w:firstLine="0"/>
              <w:jc w:val="center"/>
              <w:rPr>
                <w:rFonts w:ascii="Calibri" w:eastAsia="Times New Roman" w:hAnsi="Calibri" w:cs="Calibri"/>
                <w:color w:val="000000"/>
                <w:sz w:val="22"/>
                <w:lang w:val="en-US"/>
              </w:rPr>
            </w:pPr>
            <w:r>
              <w:rPr>
                <w:rFonts w:ascii="Calibri" w:hAnsi="Calibri" w:cs="Calibri"/>
                <w:color w:val="000000"/>
                <w:sz w:val="22"/>
              </w:rPr>
              <w:t>0.406</w:t>
            </w:r>
          </w:p>
        </w:tc>
      </w:tr>
      <w:tr w:rsidR="00A87CAB" w:rsidRPr="00A87CAB" w14:paraId="351C4F44"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69013804"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C22</w:t>
            </w:r>
          </w:p>
        </w:tc>
        <w:tc>
          <w:tcPr>
            <w:tcW w:w="998" w:type="dxa"/>
            <w:tcBorders>
              <w:top w:val="nil"/>
              <w:left w:val="nil"/>
              <w:bottom w:val="nil"/>
              <w:right w:val="nil"/>
            </w:tcBorders>
            <w:shd w:val="clear" w:color="auto" w:fill="auto"/>
            <w:noWrap/>
            <w:vAlign w:val="center"/>
            <w:hideMark/>
          </w:tcPr>
          <w:p w14:paraId="6ECEEFA1"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2.605</w:t>
            </w:r>
          </w:p>
        </w:tc>
        <w:tc>
          <w:tcPr>
            <w:tcW w:w="998" w:type="dxa"/>
            <w:tcBorders>
              <w:top w:val="nil"/>
              <w:left w:val="nil"/>
              <w:bottom w:val="nil"/>
              <w:right w:val="nil"/>
            </w:tcBorders>
            <w:shd w:val="clear" w:color="auto" w:fill="auto"/>
            <w:noWrap/>
            <w:vAlign w:val="center"/>
            <w:hideMark/>
          </w:tcPr>
          <w:p w14:paraId="13CBEF33"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3.803</w:t>
            </w:r>
          </w:p>
        </w:tc>
        <w:tc>
          <w:tcPr>
            <w:tcW w:w="998" w:type="dxa"/>
            <w:tcBorders>
              <w:top w:val="nil"/>
              <w:left w:val="nil"/>
              <w:bottom w:val="nil"/>
              <w:right w:val="nil"/>
            </w:tcBorders>
            <w:shd w:val="clear" w:color="auto" w:fill="auto"/>
            <w:noWrap/>
            <w:vAlign w:val="center"/>
            <w:hideMark/>
          </w:tcPr>
          <w:p w14:paraId="11A426CF"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3.357</w:t>
            </w:r>
          </w:p>
        </w:tc>
        <w:tc>
          <w:tcPr>
            <w:tcW w:w="998" w:type="dxa"/>
            <w:tcBorders>
              <w:top w:val="nil"/>
              <w:left w:val="nil"/>
              <w:bottom w:val="nil"/>
              <w:right w:val="nil"/>
            </w:tcBorders>
            <w:shd w:val="clear" w:color="auto" w:fill="auto"/>
            <w:noWrap/>
            <w:vAlign w:val="center"/>
            <w:hideMark/>
          </w:tcPr>
          <w:p w14:paraId="61719E47"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3.255</w:t>
            </w:r>
          </w:p>
        </w:tc>
        <w:tc>
          <w:tcPr>
            <w:tcW w:w="3553" w:type="dxa"/>
            <w:tcBorders>
              <w:top w:val="nil"/>
              <w:left w:val="nil"/>
              <w:bottom w:val="nil"/>
              <w:right w:val="nil"/>
            </w:tcBorders>
            <w:shd w:val="clear" w:color="auto" w:fill="auto"/>
            <w:noWrap/>
            <w:vAlign w:val="center"/>
            <w:hideMark/>
          </w:tcPr>
          <w:p w14:paraId="5ED1E3C8"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0.605</w:t>
            </w:r>
          </w:p>
        </w:tc>
      </w:tr>
      <w:tr w:rsidR="00A87CAB" w:rsidRPr="00A87CAB" w14:paraId="1A2768E8"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1A19B4DA"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lastRenderedPageBreak/>
              <w:t>C23</w:t>
            </w:r>
          </w:p>
        </w:tc>
        <w:tc>
          <w:tcPr>
            <w:tcW w:w="998" w:type="dxa"/>
            <w:tcBorders>
              <w:top w:val="nil"/>
              <w:left w:val="nil"/>
              <w:bottom w:val="nil"/>
              <w:right w:val="nil"/>
            </w:tcBorders>
            <w:shd w:val="clear" w:color="auto" w:fill="auto"/>
            <w:noWrap/>
            <w:vAlign w:val="center"/>
            <w:hideMark/>
          </w:tcPr>
          <w:p w14:paraId="673BDE2B"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-10.954</w:t>
            </w:r>
          </w:p>
        </w:tc>
        <w:tc>
          <w:tcPr>
            <w:tcW w:w="998" w:type="dxa"/>
            <w:tcBorders>
              <w:top w:val="nil"/>
              <w:left w:val="nil"/>
              <w:bottom w:val="nil"/>
              <w:right w:val="nil"/>
            </w:tcBorders>
            <w:shd w:val="clear" w:color="auto" w:fill="auto"/>
            <w:noWrap/>
            <w:vAlign w:val="center"/>
            <w:hideMark/>
          </w:tcPr>
          <w:p w14:paraId="7EC702B1"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-14.218</w:t>
            </w:r>
          </w:p>
        </w:tc>
        <w:tc>
          <w:tcPr>
            <w:tcW w:w="998" w:type="dxa"/>
            <w:tcBorders>
              <w:top w:val="nil"/>
              <w:left w:val="nil"/>
              <w:bottom w:val="nil"/>
              <w:right w:val="nil"/>
            </w:tcBorders>
            <w:shd w:val="clear" w:color="auto" w:fill="auto"/>
            <w:noWrap/>
            <w:vAlign w:val="center"/>
            <w:hideMark/>
          </w:tcPr>
          <w:p w14:paraId="33BF2FCC"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-10.392</w:t>
            </w:r>
          </w:p>
        </w:tc>
        <w:tc>
          <w:tcPr>
            <w:tcW w:w="998" w:type="dxa"/>
            <w:tcBorders>
              <w:top w:val="nil"/>
              <w:left w:val="nil"/>
              <w:bottom w:val="nil"/>
              <w:right w:val="nil"/>
            </w:tcBorders>
            <w:shd w:val="clear" w:color="auto" w:fill="auto"/>
            <w:noWrap/>
            <w:vAlign w:val="center"/>
            <w:hideMark/>
          </w:tcPr>
          <w:p w14:paraId="48996360"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-11.855</w:t>
            </w:r>
          </w:p>
        </w:tc>
        <w:tc>
          <w:tcPr>
            <w:tcW w:w="3553" w:type="dxa"/>
            <w:tcBorders>
              <w:top w:val="nil"/>
              <w:left w:val="nil"/>
              <w:bottom w:val="nil"/>
              <w:right w:val="nil"/>
            </w:tcBorders>
            <w:shd w:val="clear" w:color="auto" w:fill="auto"/>
            <w:noWrap/>
            <w:vAlign w:val="center"/>
            <w:hideMark/>
          </w:tcPr>
          <w:p w14:paraId="3F86318B"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2.066</w:t>
            </w:r>
          </w:p>
        </w:tc>
      </w:tr>
      <w:tr w:rsidR="00A87CAB" w:rsidRPr="00A87CAB" w14:paraId="04CD81C0" w14:textId="77777777" w:rsidTr="00BF0707">
        <w:trPr>
          <w:trHeight w:val="300"/>
          <w:jc w:val="center"/>
        </w:trPr>
        <w:tc>
          <w:tcPr>
            <w:tcW w:w="960" w:type="dxa"/>
            <w:tcBorders>
              <w:top w:val="nil"/>
              <w:left w:val="nil"/>
              <w:bottom w:val="nil"/>
              <w:right w:val="nil"/>
            </w:tcBorders>
            <w:shd w:val="clear" w:color="auto" w:fill="auto"/>
            <w:noWrap/>
            <w:vAlign w:val="bottom"/>
            <w:hideMark/>
          </w:tcPr>
          <w:p w14:paraId="74F043BA" w14:textId="77777777" w:rsidR="00A87CAB" w:rsidRPr="00A87CAB" w:rsidRDefault="00A87CAB" w:rsidP="00A87CAB">
            <w:pPr>
              <w:spacing w:after="0" w:line="240" w:lineRule="auto"/>
              <w:ind w:firstLine="0"/>
              <w:jc w:val="left"/>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C24</w:t>
            </w:r>
          </w:p>
        </w:tc>
        <w:tc>
          <w:tcPr>
            <w:tcW w:w="998" w:type="dxa"/>
            <w:tcBorders>
              <w:top w:val="nil"/>
              <w:left w:val="nil"/>
              <w:bottom w:val="nil"/>
              <w:right w:val="nil"/>
            </w:tcBorders>
            <w:shd w:val="clear" w:color="auto" w:fill="auto"/>
            <w:noWrap/>
            <w:vAlign w:val="center"/>
            <w:hideMark/>
          </w:tcPr>
          <w:p w14:paraId="4063204B"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6.175</w:t>
            </w:r>
          </w:p>
        </w:tc>
        <w:tc>
          <w:tcPr>
            <w:tcW w:w="998" w:type="dxa"/>
            <w:tcBorders>
              <w:top w:val="nil"/>
              <w:left w:val="nil"/>
              <w:bottom w:val="nil"/>
              <w:right w:val="nil"/>
            </w:tcBorders>
            <w:shd w:val="clear" w:color="auto" w:fill="auto"/>
            <w:noWrap/>
            <w:vAlign w:val="center"/>
            <w:hideMark/>
          </w:tcPr>
          <w:p w14:paraId="35DAC27A"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7.204</w:t>
            </w:r>
          </w:p>
        </w:tc>
        <w:tc>
          <w:tcPr>
            <w:tcW w:w="998" w:type="dxa"/>
            <w:tcBorders>
              <w:top w:val="nil"/>
              <w:left w:val="nil"/>
              <w:bottom w:val="nil"/>
              <w:right w:val="nil"/>
            </w:tcBorders>
            <w:shd w:val="clear" w:color="auto" w:fill="auto"/>
            <w:noWrap/>
            <w:vAlign w:val="center"/>
            <w:hideMark/>
          </w:tcPr>
          <w:p w14:paraId="24638502"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5.891</w:t>
            </w:r>
          </w:p>
        </w:tc>
        <w:tc>
          <w:tcPr>
            <w:tcW w:w="998" w:type="dxa"/>
            <w:tcBorders>
              <w:top w:val="nil"/>
              <w:left w:val="nil"/>
              <w:bottom w:val="nil"/>
              <w:right w:val="nil"/>
            </w:tcBorders>
            <w:shd w:val="clear" w:color="auto" w:fill="auto"/>
            <w:noWrap/>
            <w:vAlign w:val="center"/>
            <w:hideMark/>
          </w:tcPr>
          <w:p w14:paraId="18F26A88"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6.423</w:t>
            </w:r>
          </w:p>
        </w:tc>
        <w:tc>
          <w:tcPr>
            <w:tcW w:w="3553" w:type="dxa"/>
            <w:tcBorders>
              <w:top w:val="nil"/>
              <w:left w:val="nil"/>
              <w:bottom w:val="nil"/>
              <w:right w:val="nil"/>
            </w:tcBorders>
            <w:shd w:val="clear" w:color="auto" w:fill="auto"/>
            <w:noWrap/>
            <w:vAlign w:val="center"/>
            <w:hideMark/>
          </w:tcPr>
          <w:p w14:paraId="26ED9DDA" w14:textId="77777777" w:rsidR="00A87CAB" w:rsidRPr="00A87CAB" w:rsidRDefault="00A87CAB" w:rsidP="00A87CAB">
            <w:pPr>
              <w:spacing w:after="0" w:line="240" w:lineRule="auto"/>
              <w:ind w:firstLine="0"/>
              <w:jc w:val="center"/>
              <w:rPr>
                <w:rFonts w:ascii="Calibri" w:eastAsia="Times New Roman" w:hAnsi="Calibri" w:cs="Calibri"/>
                <w:color w:val="000000"/>
                <w:sz w:val="22"/>
                <w:lang w:val="en-US"/>
              </w:rPr>
            </w:pPr>
            <w:r w:rsidRPr="00A87CAB">
              <w:rPr>
                <w:rFonts w:ascii="Calibri" w:eastAsia="Times New Roman" w:hAnsi="Calibri" w:cs="Calibri"/>
                <w:color w:val="000000"/>
                <w:sz w:val="22"/>
                <w:lang w:val="en-US"/>
              </w:rPr>
              <w:t>0.691</w:t>
            </w:r>
          </w:p>
        </w:tc>
      </w:tr>
      <w:tr w:rsidR="00CD23CC" w:rsidRPr="00A87CAB" w14:paraId="0D16D3C2" w14:textId="77777777" w:rsidTr="00BF0707">
        <w:trPr>
          <w:trHeight w:val="300"/>
          <w:jc w:val="center"/>
        </w:trPr>
        <w:tc>
          <w:tcPr>
            <w:tcW w:w="960" w:type="dxa"/>
            <w:tcBorders>
              <w:top w:val="single" w:sz="4" w:space="0" w:color="auto"/>
              <w:left w:val="nil"/>
              <w:bottom w:val="single" w:sz="4" w:space="0" w:color="auto"/>
              <w:right w:val="nil"/>
            </w:tcBorders>
            <w:shd w:val="clear" w:color="auto" w:fill="auto"/>
            <w:noWrap/>
            <w:vAlign w:val="bottom"/>
            <w:hideMark/>
          </w:tcPr>
          <w:p w14:paraId="5AF75626" w14:textId="7F4B3D91" w:rsidR="00CD23CC" w:rsidRPr="00A87CAB" w:rsidRDefault="00CD23CC" w:rsidP="00CD23CC">
            <w:pPr>
              <w:spacing w:after="0" w:line="240" w:lineRule="auto"/>
              <w:ind w:firstLine="0"/>
              <w:jc w:val="left"/>
              <w:rPr>
                <w:rFonts w:ascii="Calibri" w:eastAsia="Times New Roman" w:hAnsi="Calibri" w:cs="Calibri"/>
                <w:color w:val="000000"/>
                <w:sz w:val="22"/>
                <w:lang w:val="en-US"/>
              </w:rPr>
            </w:pPr>
            <w:r>
              <w:rPr>
                <w:rFonts w:ascii="Calibri" w:eastAsia="Times New Roman" w:hAnsi="Calibri" w:cs="Calibri"/>
                <w:color w:val="000000"/>
                <w:sz w:val="22"/>
                <w:lang w:val="en-US"/>
              </w:rPr>
              <w:t>Average</w:t>
            </w:r>
          </w:p>
        </w:tc>
        <w:tc>
          <w:tcPr>
            <w:tcW w:w="998" w:type="dxa"/>
            <w:tcBorders>
              <w:top w:val="single" w:sz="4" w:space="0" w:color="auto"/>
              <w:left w:val="nil"/>
              <w:bottom w:val="single" w:sz="4" w:space="0" w:color="auto"/>
              <w:right w:val="nil"/>
            </w:tcBorders>
            <w:shd w:val="clear" w:color="auto" w:fill="auto"/>
            <w:noWrap/>
            <w:vAlign w:val="center"/>
            <w:hideMark/>
          </w:tcPr>
          <w:p w14:paraId="5DB0E0DF" w14:textId="75BCCFC3" w:rsidR="00CD23CC" w:rsidRPr="00A87CAB" w:rsidRDefault="00CD23CC" w:rsidP="00CD23CC">
            <w:pPr>
              <w:spacing w:after="0" w:line="240" w:lineRule="auto"/>
              <w:ind w:firstLine="0"/>
              <w:jc w:val="center"/>
              <w:rPr>
                <w:rFonts w:ascii="Calibri" w:eastAsia="Times New Roman" w:hAnsi="Calibri" w:cs="Calibri"/>
                <w:color w:val="000000"/>
                <w:sz w:val="22"/>
                <w:lang w:val="en-US"/>
              </w:rPr>
            </w:pPr>
            <w:r>
              <w:rPr>
                <w:rFonts w:ascii="Calibri" w:hAnsi="Calibri" w:cs="Calibri"/>
                <w:color w:val="000000"/>
                <w:sz w:val="22"/>
              </w:rPr>
              <w:t>3.504</w:t>
            </w:r>
          </w:p>
        </w:tc>
        <w:tc>
          <w:tcPr>
            <w:tcW w:w="998" w:type="dxa"/>
            <w:tcBorders>
              <w:top w:val="single" w:sz="4" w:space="0" w:color="auto"/>
              <w:left w:val="nil"/>
              <w:bottom w:val="single" w:sz="4" w:space="0" w:color="auto"/>
              <w:right w:val="nil"/>
            </w:tcBorders>
            <w:shd w:val="clear" w:color="auto" w:fill="auto"/>
            <w:noWrap/>
            <w:vAlign w:val="center"/>
            <w:hideMark/>
          </w:tcPr>
          <w:p w14:paraId="65AFA885" w14:textId="05C729EB" w:rsidR="00CD23CC" w:rsidRPr="00A87CAB" w:rsidRDefault="00CD23CC" w:rsidP="00CD23CC">
            <w:pPr>
              <w:spacing w:after="0" w:line="240" w:lineRule="auto"/>
              <w:ind w:firstLine="0"/>
              <w:jc w:val="center"/>
              <w:rPr>
                <w:rFonts w:ascii="Calibri" w:eastAsia="Times New Roman" w:hAnsi="Calibri" w:cs="Calibri"/>
                <w:color w:val="000000"/>
                <w:sz w:val="22"/>
                <w:lang w:val="en-US"/>
              </w:rPr>
            </w:pPr>
            <w:r>
              <w:rPr>
                <w:rFonts w:ascii="Calibri" w:hAnsi="Calibri" w:cs="Calibri"/>
                <w:color w:val="000000"/>
                <w:sz w:val="22"/>
              </w:rPr>
              <w:t>3.343</w:t>
            </w:r>
          </w:p>
        </w:tc>
        <w:tc>
          <w:tcPr>
            <w:tcW w:w="998" w:type="dxa"/>
            <w:tcBorders>
              <w:top w:val="single" w:sz="4" w:space="0" w:color="auto"/>
              <w:left w:val="nil"/>
              <w:bottom w:val="single" w:sz="4" w:space="0" w:color="auto"/>
              <w:right w:val="nil"/>
            </w:tcBorders>
            <w:shd w:val="clear" w:color="auto" w:fill="auto"/>
            <w:noWrap/>
            <w:vAlign w:val="center"/>
            <w:hideMark/>
          </w:tcPr>
          <w:p w14:paraId="1EE0EA88" w14:textId="41FE291E" w:rsidR="00CD23CC" w:rsidRPr="00A87CAB" w:rsidRDefault="00CD23CC" w:rsidP="00CD23CC">
            <w:pPr>
              <w:spacing w:after="0" w:line="240" w:lineRule="auto"/>
              <w:ind w:firstLine="0"/>
              <w:jc w:val="center"/>
              <w:rPr>
                <w:rFonts w:ascii="Calibri" w:eastAsia="Times New Roman" w:hAnsi="Calibri" w:cs="Calibri"/>
                <w:color w:val="000000"/>
                <w:sz w:val="22"/>
                <w:lang w:val="en-US"/>
              </w:rPr>
            </w:pPr>
            <w:r>
              <w:rPr>
                <w:rFonts w:ascii="Calibri" w:hAnsi="Calibri" w:cs="Calibri"/>
                <w:color w:val="000000"/>
                <w:sz w:val="22"/>
              </w:rPr>
              <w:t>3.106</w:t>
            </w:r>
          </w:p>
        </w:tc>
        <w:tc>
          <w:tcPr>
            <w:tcW w:w="998" w:type="dxa"/>
            <w:tcBorders>
              <w:top w:val="single" w:sz="4" w:space="0" w:color="auto"/>
              <w:left w:val="nil"/>
              <w:bottom w:val="single" w:sz="4" w:space="0" w:color="auto"/>
              <w:right w:val="nil"/>
            </w:tcBorders>
            <w:shd w:val="clear" w:color="auto" w:fill="auto"/>
            <w:noWrap/>
            <w:vAlign w:val="center"/>
            <w:hideMark/>
          </w:tcPr>
          <w:p w14:paraId="359232AE" w14:textId="0D6DC373" w:rsidR="00CD23CC" w:rsidRPr="00A87CAB" w:rsidRDefault="00CD23CC" w:rsidP="00CD23CC">
            <w:pPr>
              <w:spacing w:after="0" w:line="240" w:lineRule="auto"/>
              <w:ind w:firstLine="0"/>
              <w:jc w:val="center"/>
              <w:rPr>
                <w:rFonts w:ascii="Calibri" w:eastAsia="Times New Roman" w:hAnsi="Calibri" w:cs="Calibri"/>
                <w:color w:val="000000"/>
                <w:sz w:val="22"/>
                <w:lang w:val="en-US"/>
              </w:rPr>
            </w:pPr>
            <w:r>
              <w:rPr>
                <w:rFonts w:ascii="Calibri" w:hAnsi="Calibri" w:cs="Calibri"/>
                <w:color w:val="000000"/>
                <w:sz w:val="22"/>
              </w:rPr>
              <w:t>3.318</w:t>
            </w:r>
          </w:p>
        </w:tc>
        <w:tc>
          <w:tcPr>
            <w:tcW w:w="3553" w:type="dxa"/>
            <w:tcBorders>
              <w:top w:val="single" w:sz="4" w:space="0" w:color="auto"/>
              <w:left w:val="nil"/>
              <w:bottom w:val="single" w:sz="4" w:space="0" w:color="auto"/>
              <w:right w:val="nil"/>
            </w:tcBorders>
            <w:shd w:val="clear" w:color="auto" w:fill="auto"/>
            <w:noWrap/>
            <w:vAlign w:val="center"/>
            <w:hideMark/>
          </w:tcPr>
          <w:p w14:paraId="44AF1DCB" w14:textId="79A3859E" w:rsidR="00CD23CC" w:rsidRPr="00A87CAB" w:rsidRDefault="00CD23CC" w:rsidP="00CD23CC">
            <w:pPr>
              <w:spacing w:after="0" w:line="240" w:lineRule="auto"/>
              <w:ind w:firstLine="0"/>
              <w:jc w:val="center"/>
              <w:rPr>
                <w:rFonts w:ascii="Calibri" w:eastAsia="Times New Roman" w:hAnsi="Calibri" w:cs="Calibri"/>
                <w:color w:val="000000"/>
                <w:sz w:val="22"/>
                <w:lang w:val="en-US"/>
              </w:rPr>
            </w:pPr>
            <w:r>
              <w:rPr>
                <w:rFonts w:ascii="Calibri" w:hAnsi="Calibri" w:cs="Calibri"/>
                <w:color w:val="000000"/>
                <w:sz w:val="22"/>
              </w:rPr>
              <w:t>0.200</w:t>
            </w:r>
          </w:p>
        </w:tc>
      </w:tr>
    </w:tbl>
    <w:p w14:paraId="47AC5A43" w14:textId="77777777" w:rsidR="00A87CAB" w:rsidRPr="00143289" w:rsidRDefault="00A87CAB" w:rsidP="00FA45CA">
      <w:pPr>
        <w:rPr>
          <w:rFonts w:cs="Times New Roman"/>
          <w:b/>
          <w:bCs/>
          <w:noProof/>
        </w:rPr>
      </w:pPr>
    </w:p>
    <w:p w14:paraId="23E50F95" w14:textId="6B3D8173" w:rsidR="00565484" w:rsidRPr="00AE0B3D" w:rsidRDefault="00BC4FEA" w:rsidP="00012323">
      <w:pPr>
        <w:pStyle w:val="Heading3"/>
        <w:jc w:val="center"/>
      </w:pPr>
      <w:bookmarkStart w:id="77" w:name="_Toc78067534"/>
      <w:r w:rsidRPr="00AE0B3D">
        <w:t>Relationship</w:t>
      </w:r>
      <w:r w:rsidR="00532FEA" w:rsidRPr="00AE0B3D">
        <w:t xml:space="preserve"> </w:t>
      </w:r>
      <w:r w:rsidR="00565484" w:rsidRPr="00AE0B3D">
        <w:t>between management remuneration and financial performance</w:t>
      </w:r>
      <w:bookmarkEnd w:id="77"/>
    </w:p>
    <w:p w14:paraId="708000BB" w14:textId="3A03B274" w:rsidR="004E4D30" w:rsidRPr="00AE0B3D" w:rsidRDefault="004E4D30" w:rsidP="000D3D1A">
      <w:pPr>
        <w:rPr>
          <w:rFonts w:cs="Times New Roman"/>
          <w:szCs w:val="24"/>
        </w:rPr>
      </w:pPr>
      <w:r w:rsidRPr="00AE0B3D">
        <w:t xml:space="preserve">The financial performance is used to measure the performance of the organization and </w:t>
      </w:r>
      <w:r w:rsidR="00853232" w:rsidRPr="00AE0B3D">
        <w:t xml:space="preserve">enables </w:t>
      </w:r>
      <w:r w:rsidRPr="00AE0B3D">
        <w:t>compar</w:t>
      </w:r>
      <w:r w:rsidR="00853232" w:rsidRPr="00AE0B3D">
        <w:t>ison</w:t>
      </w:r>
      <w:r w:rsidRPr="00AE0B3D">
        <w:t xml:space="preserve"> across different organization</w:t>
      </w:r>
      <w:r w:rsidR="00853232" w:rsidRPr="00AE0B3D">
        <w:t>s</w:t>
      </w:r>
      <w:r w:rsidRPr="00AE0B3D">
        <w:t>. The relationship between financial performance variables (</w:t>
      </w:r>
      <w:r w:rsidR="00DD0C80">
        <w:t>ROA</w:t>
      </w:r>
      <w:r w:rsidRPr="00AE0B3D">
        <w:t xml:space="preserve"> and ROE) and management remuneration (salary, benefits, bonus,</w:t>
      </w:r>
      <w:r w:rsidR="006E52ED">
        <w:t xml:space="preserve"> </w:t>
      </w:r>
      <w:r w:rsidR="006A0E3E">
        <w:t>and allowances</w:t>
      </w:r>
      <w:r w:rsidRPr="00AE0B3D">
        <w:t xml:space="preserve">) </w:t>
      </w:r>
      <w:r w:rsidRPr="00AE0B3D">
        <w:rPr>
          <w:rFonts w:cs="Times New Roman"/>
          <w:szCs w:val="24"/>
        </w:rPr>
        <w:t>of the selected public listed companies in the Nairobi securities exchange</w:t>
      </w:r>
      <w:r w:rsidRPr="00AE0B3D">
        <w:t xml:space="preserve"> was evaluated </w:t>
      </w:r>
      <w:r w:rsidR="00155D11" w:rsidRPr="00AE0B3D">
        <w:t>using</w:t>
      </w:r>
      <w:r w:rsidRPr="00AE0B3D">
        <w:t xml:space="preserve"> </w:t>
      </w:r>
      <w:r w:rsidR="00EC7FAA">
        <w:t xml:space="preserve">Spearman </w:t>
      </w:r>
      <w:r w:rsidRPr="00AE0B3D">
        <w:t xml:space="preserve">correlation analysis. </w:t>
      </w:r>
    </w:p>
    <w:p w14:paraId="291D9817" w14:textId="37E18570" w:rsidR="00565484" w:rsidRPr="00AE0B3D" w:rsidRDefault="00DD0C80" w:rsidP="00012323">
      <w:pPr>
        <w:pStyle w:val="Heading4"/>
        <w:jc w:val="center"/>
      </w:pPr>
      <w:r>
        <w:t xml:space="preserve">Return on </w:t>
      </w:r>
      <w:r w:rsidR="00D65EFF">
        <w:t>Assets</w:t>
      </w:r>
      <w:r>
        <w:t xml:space="preserve"> </w:t>
      </w:r>
      <w:r w:rsidR="00565484" w:rsidRPr="00AE0B3D">
        <w:t>and Management remuneration</w:t>
      </w:r>
    </w:p>
    <w:p w14:paraId="1D8F49B7" w14:textId="5369EAE1" w:rsidR="00C6592F" w:rsidRDefault="00DC1A4E" w:rsidP="00774A25">
      <w:pPr>
        <w:autoSpaceDE w:val="0"/>
        <w:autoSpaceDN w:val="0"/>
        <w:adjustRightInd w:val="0"/>
        <w:spacing w:after="0"/>
        <w:rPr>
          <w:rFonts w:cs="Times New Roman"/>
          <w:szCs w:val="24"/>
        </w:rPr>
      </w:pPr>
      <w:r>
        <w:rPr>
          <w:rFonts w:cs="Times New Roman"/>
          <w:szCs w:val="24"/>
        </w:rPr>
        <w:t xml:space="preserve">Table </w:t>
      </w:r>
      <w:r w:rsidR="008A7AEB">
        <w:rPr>
          <w:rFonts w:cs="Times New Roman"/>
          <w:szCs w:val="24"/>
        </w:rPr>
        <w:t>5</w:t>
      </w:r>
      <w:r>
        <w:rPr>
          <w:rFonts w:cs="Times New Roman"/>
          <w:szCs w:val="24"/>
        </w:rPr>
        <w:t xml:space="preserve"> </w:t>
      </w:r>
      <w:r w:rsidR="0008531B">
        <w:rPr>
          <w:rFonts w:cs="Times New Roman"/>
          <w:szCs w:val="24"/>
        </w:rPr>
        <w:t xml:space="preserve">presents </w:t>
      </w:r>
      <w:r w:rsidR="009A63C2">
        <w:rPr>
          <w:rFonts w:cs="Times New Roman"/>
          <w:szCs w:val="24"/>
        </w:rPr>
        <w:t>association</w:t>
      </w:r>
      <w:r w:rsidR="00314430">
        <w:rPr>
          <w:rFonts w:cs="Times New Roman"/>
          <w:szCs w:val="24"/>
        </w:rPr>
        <w:t xml:space="preserve"> between</w:t>
      </w:r>
      <w:r w:rsidR="0008531B">
        <w:rPr>
          <w:rFonts w:cs="Times New Roman"/>
          <w:szCs w:val="24"/>
        </w:rPr>
        <w:t xml:space="preserve"> ROA with the </w:t>
      </w:r>
      <w:r w:rsidR="00722C75">
        <w:rPr>
          <w:rFonts w:cs="Times New Roman"/>
          <w:szCs w:val="24"/>
        </w:rPr>
        <w:t xml:space="preserve">management </w:t>
      </w:r>
      <w:r w:rsidR="00314430">
        <w:rPr>
          <w:rFonts w:cs="Times New Roman"/>
          <w:szCs w:val="24"/>
        </w:rPr>
        <w:t>remuneration types. From the table</w:t>
      </w:r>
      <w:r w:rsidR="008A7AEB">
        <w:rPr>
          <w:rFonts w:cs="Times New Roman"/>
          <w:szCs w:val="24"/>
        </w:rPr>
        <w:t>,</w:t>
      </w:r>
      <w:r w:rsidR="00314430">
        <w:rPr>
          <w:rFonts w:cs="Times New Roman"/>
          <w:szCs w:val="24"/>
        </w:rPr>
        <w:t xml:space="preserve"> only bonus </w:t>
      </w:r>
      <w:r w:rsidR="00F67708">
        <w:rPr>
          <w:rFonts w:cs="Times New Roman"/>
          <w:szCs w:val="24"/>
        </w:rPr>
        <w:t>had</w:t>
      </w:r>
      <w:r w:rsidR="00417BBA">
        <w:rPr>
          <w:rFonts w:cs="Times New Roman"/>
          <w:szCs w:val="24"/>
        </w:rPr>
        <w:t xml:space="preserve"> </w:t>
      </w:r>
      <w:r w:rsidR="008A7AEB">
        <w:rPr>
          <w:rFonts w:cs="Times New Roman"/>
          <w:szCs w:val="24"/>
        </w:rPr>
        <w:t xml:space="preserve">a </w:t>
      </w:r>
      <w:r w:rsidR="00417BBA">
        <w:rPr>
          <w:rFonts w:cs="Times New Roman"/>
          <w:szCs w:val="24"/>
        </w:rPr>
        <w:t xml:space="preserve">significant correlation with ROA public listed companies with </w:t>
      </w:r>
      <w:proofErr w:type="spellStart"/>
      <w:r w:rsidR="00417BBA">
        <w:rPr>
          <w:rFonts w:cs="Times New Roman"/>
          <w:szCs w:val="24"/>
        </w:rPr>
        <w:t>r</w:t>
      </w:r>
      <w:r w:rsidR="008A7AEB">
        <w:rPr>
          <w:rFonts w:cs="Times New Roman"/>
          <w:szCs w:val="24"/>
        </w:rPr>
        <w:t>-</w:t>
      </w:r>
      <w:r w:rsidR="00417BBA" w:rsidRPr="00BF0707">
        <w:t>value</w:t>
      </w:r>
      <w:proofErr w:type="spellEnd"/>
      <w:r w:rsidR="00417BBA" w:rsidRPr="00BF0707">
        <w:t xml:space="preserve"> of </w:t>
      </w:r>
      <w:r w:rsidR="005C2FEC" w:rsidRPr="00BF0707">
        <w:t>0.3941</w:t>
      </w:r>
      <w:r w:rsidR="00722C75">
        <w:t xml:space="preserve"> at 90</w:t>
      </w:r>
      <w:r w:rsidR="00DD2733">
        <w:t>%</w:t>
      </w:r>
      <w:r w:rsidR="00722C75">
        <w:t xml:space="preserve"> confidence interval</w:t>
      </w:r>
      <w:r w:rsidR="00A232B6" w:rsidRPr="00BF0707">
        <w:t>.</w:t>
      </w:r>
      <w:r w:rsidR="00A232B6">
        <w:rPr>
          <w:rFonts w:cs="Times New Roman"/>
          <w:szCs w:val="24"/>
        </w:rPr>
        <w:t xml:space="preserve"> </w:t>
      </w:r>
      <w:r w:rsidR="008A7AEB">
        <w:rPr>
          <w:rFonts w:cs="Times New Roman"/>
          <w:szCs w:val="24"/>
        </w:rPr>
        <w:t>A c</w:t>
      </w:r>
      <w:r w:rsidR="00565484" w:rsidRPr="00AE0B3D">
        <w:rPr>
          <w:rFonts w:cs="Times New Roman"/>
          <w:szCs w:val="24"/>
        </w:rPr>
        <w:t xml:space="preserve">omparison between </w:t>
      </w:r>
      <w:r w:rsidR="00285BC2">
        <w:rPr>
          <w:rFonts w:cs="Times New Roman"/>
          <w:szCs w:val="24"/>
        </w:rPr>
        <w:t xml:space="preserve">ROA </w:t>
      </w:r>
      <w:r w:rsidR="00565484" w:rsidRPr="00AE0B3D">
        <w:rPr>
          <w:rFonts w:cs="Times New Roman"/>
          <w:szCs w:val="24"/>
        </w:rPr>
        <w:t xml:space="preserve">and </w:t>
      </w:r>
      <w:r w:rsidR="00285BC2">
        <w:rPr>
          <w:rFonts w:cs="Times New Roman"/>
          <w:szCs w:val="24"/>
        </w:rPr>
        <w:t>other remuneration</w:t>
      </w:r>
      <w:r w:rsidR="00285BC2" w:rsidRPr="00AE0B3D">
        <w:rPr>
          <w:rFonts w:cs="Times New Roman"/>
          <w:szCs w:val="24"/>
        </w:rPr>
        <w:t xml:space="preserve"> </w:t>
      </w:r>
      <w:r w:rsidR="00565484" w:rsidRPr="00AE0B3D">
        <w:rPr>
          <w:rFonts w:cs="Times New Roman"/>
          <w:szCs w:val="24"/>
        </w:rPr>
        <w:t>variables, however, did not result in any significant correlation</w:t>
      </w:r>
      <w:r w:rsidR="00A46F88">
        <w:rPr>
          <w:rFonts w:cs="Times New Roman"/>
          <w:szCs w:val="24"/>
        </w:rPr>
        <w:t xml:space="preserve"> as shown in table 5</w:t>
      </w:r>
      <w:r w:rsidR="00565484" w:rsidRPr="00AE0B3D">
        <w:rPr>
          <w:rFonts w:cs="Times New Roman"/>
          <w:szCs w:val="24"/>
        </w:rPr>
        <w:t>. Overall, there was a positive correlation between the financial performance metric (</w:t>
      </w:r>
      <w:r w:rsidR="00281144">
        <w:rPr>
          <w:rFonts w:cs="Times New Roman"/>
          <w:szCs w:val="24"/>
        </w:rPr>
        <w:t>ROA</w:t>
      </w:r>
      <w:r w:rsidR="00565484" w:rsidRPr="00AE0B3D">
        <w:rPr>
          <w:rFonts w:cs="Times New Roman"/>
          <w:szCs w:val="24"/>
        </w:rPr>
        <w:t xml:space="preserve">) and </w:t>
      </w:r>
      <w:r w:rsidR="002E2F40">
        <w:rPr>
          <w:rFonts w:cs="Times New Roman"/>
          <w:szCs w:val="24"/>
        </w:rPr>
        <w:t>bonus</w:t>
      </w:r>
      <w:r w:rsidR="00565484" w:rsidRPr="00AE0B3D">
        <w:rPr>
          <w:rFonts w:cs="Times New Roman"/>
          <w:szCs w:val="24"/>
        </w:rPr>
        <w:t xml:space="preserve"> as </w:t>
      </w:r>
      <w:r w:rsidR="00565484" w:rsidRPr="004414DD">
        <w:rPr>
          <w:rFonts w:cs="Times New Roman"/>
          <w:szCs w:val="24"/>
        </w:rPr>
        <w:t>show</w:t>
      </w:r>
      <w:r w:rsidR="00B37773" w:rsidRPr="004414DD">
        <w:rPr>
          <w:rFonts w:cs="Times New Roman"/>
          <w:szCs w:val="24"/>
        </w:rPr>
        <w:t>n</w:t>
      </w:r>
      <w:r w:rsidR="00565484" w:rsidRPr="004414DD">
        <w:rPr>
          <w:rFonts w:cs="Times New Roman"/>
          <w:szCs w:val="24"/>
        </w:rPr>
        <w:t xml:space="preserve"> in table </w:t>
      </w:r>
      <w:r w:rsidR="008A7AEB" w:rsidRPr="004414DD">
        <w:rPr>
          <w:rFonts w:cs="Times New Roman"/>
          <w:szCs w:val="24"/>
        </w:rPr>
        <w:t>5</w:t>
      </w:r>
      <w:r w:rsidR="00A46F88">
        <w:rPr>
          <w:rFonts w:cs="Times New Roman"/>
          <w:szCs w:val="24"/>
        </w:rPr>
        <w:t xml:space="preserve"> which was significant</w:t>
      </w:r>
      <w:r w:rsidR="00565484" w:rsidRPr="004414DD">
        <w:rPr>
          <w:rFonts w:cs="Times New Roman"/>
          <w:szCs w:val="24"/>
        </w:rPr>
        <w:t>.</w:t>
      </w:r>
      <w:r w:rsidR="00727246" w:rsidRPr="004414DD">
        <w:rPr>
          <w:rFonts w:cs="Times New Roman"/>
          <w:szCs w:val="24"/>
        </w:rPr>
        <w:t xml:space="preserve"> </w:t>
      </w:r>
      <w:r w:rsidR="008A7AEB" w:rsidRPr="004414DD">
        <w:rPr>
          <w:rFonts w:cs="Times New Roman"/>
          <w:szCs w:val="24"/>
        </w:rPr>
        <w:t xml:space="preserve">An </w:t>
      </w:r>
      <w:r w:rsidR="008A7AEB">
        <w:rPr>
          <w:rFonts w:cs="Times New Roman"/>
          <w:szCs w:val="24"/>
        </w:rPr>
        <w:t>i</w:t>
      </w:r>
      <w:r w:rsidR="00C6592F">
        <w:rPr>
          <w:rFonts w:cs="Times New Roman"/>
          <w:szCs w:val="24"/>
        </w:rPr>
        <w:t xml:space="preserve">ncrease in bonus for the top management thus is associated with </w:t>
      </w:r>
      <w:r w:rsidR="008A7AEB">
        <w:rPr>
          <w:rFonts w:cs="Times New Roman"/>
          <w:szCs w:val="24"/>
        </w:rPr>
        <w:t>a</w:t>
      </w:r>
      <w:r w:rsidR="00F63652">
        <w:rPr>
          <w:rFonts w:cs="Times New Roman"/>
          <w:szCs w:val="24"/>
        </w:rPr>
        <w:t xml:space="preserve"> significant</w:t>
      </w:r>
      <w:r w:rsidR="008A7AEB">
        <w:rPr>
          <w:rFonts w:cs="Times New Roman"/>
          <w:szCs w:val="24"/>
        </w:rPr>
        <w:t xml:space="preserve"> </w:t>
      </w:r>
      <w:r w:rsidR="00C6592F">
        <w:rPr>
          <w:rFonts w:cs="Times New Roman"/>
          <w:szCs w:val="24"/>
        </w:rPr>
        <w:t>increase in the return on asset performance for the companies listed in NSE.</w:t>
      </w:r>
      <w:r w:rsidR="00523927">
        <w:rPr>
          <w:rFonts w:cs="Times New Roman"/>
          <w:szCs w:val="24"/>
        </w:rPr>
        <w:t xml:space="preserve"> The adoption of bonus as part of remuneration for top management significantly influence the performance of public listed companies as measured by ROA. </w:t>
      </w:r>
      <w:r w:rsidR="00351A01">
        <w:rPr>
          <w:rFonts w:cs="Times New Roman"/>
          <w:szCs w:val="24"/>
        </w:rPr>
        <w:t xml:space="preserve">The finding supports the conclusion that was made by </w:t>
      </w:r>
      <w:r w:rsidR="00351A01">
        <w:rPr>
          <w:rFonts w:cs="Times New Roman"/>
          <w:szCs w:val="24"/>
        </w:rPr>
        <w:fldChar w:fldCharType="begin" w:fldLock="1"/>
      </w:r>
      <w:r w:rsidR="005F0052">
        <w:rPr>
          <w:rFonts w:cs="Times New Roman"/>
          <w:szCs w:val="24"/>
        </w:rPr>
        <w:instrText>ADDIN CSL_CITATION {"citationItems":[{"id":"ITEM-1","itemData":{"DOI":"10.1016/j.jaccpubpol.2008.07.006","author":[{"dropping-particle":"","family":"Jackson","given":"Scott B","non-dropping-particle":"","parse-names":false,"suffix":""},{"dropping-particle":"","family":"Lopez","given":"Thomas J","non-dropping-particle":"","parse-names":false,"suffix":""},{"dropping-particle":"","family":"Reitenga","given":"Austin L","non-dropping-particle":"","parse-names":false,"suffix":""}],"container-title":"J. Account. Public Policy","id":"ITEM-1","issued":{"date-parts":[["2008"]]},"page":"374-393","title":"Accounting fundamentals and CEO bonus compensation","type":"article-journal","volume":"27"},"uris":["http://www.mendeley.com/documents/?uuid=674298f1-4421-4494-9a33-997753965fd3"]}],"mendeley":{"formattedCitation":"(Jackson et al., 2008)","manualFormatting":"Jackson et al.( 2008)","plainTextFormattedCitation":"(Jackson et al., 2008)","previouslyFormattedCitation":"(Jackson et al., 2008)"},"properties":{"noteIndex":0},"schema":"https://github.com/citation-style-language/schema/raw/master/csl-citation.json"}</w:instrText>
      </w:r>
      <w:r w:rsidR="00351A01">
        <w:rPr>
          <w:rFonts w:cs="Times New Roman"/>
          <w:szCs w:val="24"/>
        </w:rPr>
        <w:fldChar w:fldCharType="separate"/>
      </w:r>
      <w:r w:rsidR="00351A01" w:rsidRPr="00351A01">
        <w:rPr>
          <w:rFonts w:cs="Times New Roman"/>
          <w:noProof/>
          <w:szCs w:val="24"/>
        </w:rPr>
        <w:t>Jackson et al.</w:t>
      </w:r>
      <w:r w:rsidR="00351A01">
        <w:rPr>
          <w:rFonts w:cs="Times New Roman"/>
          <w:noProof/>
          <w:szCs w:val="24"/>
        </w:rPr>
        <w:t>(</w:t>
      </w:r>
      <w:r w:rsidR="00351A01" w:rsidRPr="00351A01">
        <w:rPr>
          <w:rFonts w:cs="Times New Roman"/>
          <w:noProof/>
          <w:szCs w:val="24"/>
        </w:rPr>
        <w:t xml:space="preserve"> 2008)</w:t>
      </w:r>
      <w:r w:rsidR="00351A01">
        <w:rPr>
          <w:rFonts w:cs="Times New Roman"/>
          <w:szCs w:val="24"/>
        </w:rPr>
        <w:fldChar w:fldCharType="end"/>
      </w:r>
      <w:r w:rsidR="00351A01">
        <w:rPr>
          <w:rFonts w:cs="Times New Roman"/>
          <w:szCs w:val="24"/>
        </w:rPr>
        <w:t xml:space="preserve"> </w:t>
      </w:r>
      <w:r w:rsidR="00AC7F10">
        <w:rPr>
          <w:rFonts w:cs="Times New Roman"/>
          <w:szCs w:val="24"/>
        </w:rPr>
        <w:t xml:space="preserve">who found that ROA has a significant positive correlation with bonus </w:t>
      </w:r>
      <w:r w:rsidR="00691F58">
        <w:rPr>
          <w:rFonts w:cs="Times New Roman"/>
          <w:szCs w:val="24"/>
        </w:rPr>
        <w:t xml:space="preserve">compensation of the CEO. </w:t>
      </w:r>
    </w:p>
    <w:p w14:paraId="01D248B9" w14:textId="77777777" w:rsidR="00385938" w:rsidRDefault="00385938" w:rsidP="00EC5420">
      <w:pPr>
        <w:pStyle w:val="Caption"/>
        <w:ind w:firstLine="0"/>
        <w:rPr>
          <w:b/>
          <w:bCs/>
          <w:i w:val="0"/>
          <w:iCs w:val="0"/>
          <w:color w:val="auto"/>
        </w:rPr>
      </w:pPr>
    </w:p>
    <w:p w14:paraId="7C8CEB04" w14:textId="77777777" w:rsidR="00075D56" w:rsidRDefault="003D6DDF" w:rsidP="002E5A40">
      <w:pPr>
        <w:rPr>
          <w:i/>
          <w:iCs/>
        </w:rPr>
      </w:pPr>
      <w:bookmarkStart w:id="78" w:name="_Toc66721391"/>
      <w:r w:rsidRPr="002E5A40">
        <w:rPr>
          <w:i/>
          <w:iCs/>
        </w:rPr>
        <w:t xml:space="preserve">Table </w:t>
      </w:r>
      <w:r w:rsidRPr="002E5A40">
        <w:rPr>
          <w:i/>
          <w:iCs/>
        </w:rPr>
        <w:fldChar w:fldCharType="begin"/>
      </w:r>
      <w:r w:rsidRPr="002E5A40">
        <w:rPr>
          <w:i/>
          <w:iCs/>
        </w:rPr>
        <w:instrText xml:space="preserve"> SEQ Table \* ARABIC </w:instrText>
      </w:r>
      <w:r w:rsidRPr="002E5A40">
        <w:rPr>
          <w:i/>
          <w:iCs/>
        </w:rPr>
        <w:fldChar w:fldCharType="separate"/>
      </w:r>
      <w:r w:rsidRPr="002E5A40">
        <w:rPr>
          <w:i/>
          <w:iCs/>
          <w:noProof/>
        </w:rPr>
        <w:t>5</w:t>
      </w:r>
      <w:r w:rsidRPr="002E5A40">
        <w:rPr>
          <w:i/>
          <w:iCs/>
        </w:rPr>
        <w:fldChar w:fldCharType="end"/>
      </w:r>
      <w:r w:rsidRPr="002E5A40">
        <w:rPr>
          <w:i/>
          <w:iCs/>
        </w:rPr>
        <w:t xml:space="preserve">. </w:t>
      </w:r>
    </w:p>
    <w:p w14:paraId="23A90C9B" w14:textId="452100F9" w:rsidR="003D6DDF" w:rsidRPr="002E5A40" w:rsidRDefault="003D6DDF" w:rsidP="002E5A40">
      <w:r w:rsidRPr="002E5A40">
        <w:rPr>
          <w:i/>
          <w:iCs/>
        </w:rPr>
        <w:t xml:space="preserve">The </w:t>
      </w:r>
      <w:r w:rsidR="0013032C">
        <w:rPr>
          <w:i/>
          <w:iCs/>
        </w:rPr>
        <w:t xml:space="preserve">spearman </w:t>
      </w:r>
      <w:r w:rsidRPr="002E5A40">
        <w:rPr>
          <w:i/>
          <w:iCs/>
        </w:rPr>
        <w:t xml:space="preserve">Correlation </w:t>
      </w:r>
      <w:r w:rsidR="00E21959" w:rsidRPr="002E5A40">
        <w:rPr>
          <w:i/>
          <w:iCs/>
        </w:rPr>
        <w:t>between</w:t>
      </w:r>
      <w:r w:rsidRPr="002E5A40">
        <w:rPr>
          <w:i/>
          <w:iCs/>
        </w:rPr>
        <w:t xml:space="preserve"> ROA and remuneration strategies</w:t>
      </w:r>
      <w:r w:rsidR="000E61F0" w:rsidRPr="002E5A40">
        <w:rPr>
          <w:b/>
          <w:bCs/>
          <w:i/>
          <w:iCs/>
        </w:rPr>
        <w:t>.</w:t>
      </w:r>
      <w:bookmarkEnd w:id="78"/>
    </w:p>
    <w:tbl>
      <w:tblPr>
        <w:tblW w:w="6560" w:type="dxa"/>
        <w:jc w:val="center"/>
        <w:tblCellMar>
          <w:left w:w="0" w:type="dxa"/>
          <w:right w:w="0" w:type="dxa"/>
        </w:tblCellMar>
        <w:tblLook w:val="04A0" w:firstRow="1" w:lastRow="0" w:firstColumn="1" w:lastColumn="0" w:noHBand="0" w:noVBand="1"/>
      </w:tblPr>
      <w:tblGrid>
        <w:gridCol w:w="1380"/>
        <w:gridCol w:w="960"/>
        <w:gridCol w:w="960"/>
        <w:gridCol w:w="960"/>
        <w:gridCol w:w="960"/>
        <w:gridCol w:w="1340"/>
      </w:tblGrid>
      <w:tr w:rsidR="005C2FEC" w:rsidRPr="005C2FEC" w14:paraId="554F9F6E" w14:textId="77777777" w:rsidTr="00F242D6">
        <w:trPr>
          <w:trHeight w:val="300"/>
          <w:jc w:val="center"/>
        </w:trPr>
        <w:tc>
          <w:tcPr>
            <w:tcW w:w="138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center"/>
            <w:hideMark/>
          </w:tcPr>
          <w:p w14:paraId="05B01B50" w14:textId="77777777" w:rsidR="00F4707D" w:rsidRPr="00BF0707" w:rsidRDefault="00F4707D" w:rsidP="00BF0707">
            <w:pPr>
              <w:spacing w:after="0" w:line="240" w:lineRule="auto"/>
              <w:ind w:firstLine="0"/>
              <w:jc w:val="center"/>
              <w:rPr>
                <w:rFonts w:cs="Times New Roman"/>
                <w:b/>
                <w:bCs/>
                <w:color w:val="000000"/>
                <w:szCs w:val="24"/>
                <w:lang w:val="en-US"/>
              </w:rPr>
            </w:pPr>
            <w:r w:rsidRPr="00BF0707">
              <w:rPr>
                <w:rFonts w:cs="Times New Roman"/>
                <w:b/>
                <w:bCs/>
                <w:color w:val="000000"/>
                <w:szCs w:val="24"/>
              </w:rPr>
              <w:t> </w:t>
            </w:r>
          </w:p>
        </w:tc>
        <w:tc>
          <w:tcPr>
            <w:tcW w:w="96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center"/>
            <w:hideMark/>
          </w:tcPr>
          <w:p w14:paraId="50148B14" w14:textId="5C6A9FAB" w:rsidR="00F4707D" w:rsidRPr="00BF0707" w:rsidRDefault="006E0A49" w:rsidP="00F242D6">
            <w:pPr>
              <w:spacing w:after="0" w:line="240" w:lineRule="auto"/>
              <w:ind w:firstLine="0"/>
              <w:rPr>
                <w:rFonts w:cs="Times New Roman"/>
                <w:b/>
                <w:bCs/>
                <w:color w:val="000000"/>
                <w:szCs w:val="24"/>
              </w:rPr>
            </w:pPr>
            <w:r w:rsidRPr="005C2FEC">
              <w:rPr>
                <w:rFonts w:cs="Times New Roman"/>
                <w:b/>
                <w:bCs/>
                <w:color w:val="000000"/>
                <w:szCs w:val="24"/>
              </w:rPr>
              <w:t>ROA</w:t>
            </w:r>
          </w:p>
        </w:tc>
        <w:tc>
          <w:tcPr>
            <w:tcW w:w="96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center"/>
            <w:hideMark/>
          </w:tcPr>
          <w:p w14:paraId="3F284EE4" w14:textId="2732A7B7" w:rsidR="00F4707D" w:rsidRPr="00BF0707" w:rsidRDefault="006E0A49" w:rsidP="00F242D6">
            <w:pPr>
              <w:spacing w:after="0" w:line="240" w:lineRule="auto"/>
              <w:ind w:firstLine="0"/>
              <w:rPr>
                <w:rFonts w:cs="Times New Roman"/>
                <w:b/>
                <w:bCs/>
                <w:color w:val="000000"/>
                <w:szCs w:val="24"/>
              </w:rPr>
            </w:pPr>
            <w:r w:rsidRPr="005C2FEC">
              <w:rPr>
                <w:rFonts w:cs="Times New Roman"/>
                <w:b/>
                <w:bCs/>
                <w:color w:val="000000"/>
                <w:szCs w:val="24"/>
              </w:rPr>
              <w:t>Salary</w:t>
            </w:r>
          </w:p>
        </w:tc>
        <w:tc>
          <w:tcPr>
            <w:tcW w:w="96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center"/>
            <w:hideMark/>
          </w:tcPr>
          <w:p w14:paraId="08674564" w14:textId="3634BF39" w:rsidR="00F4707D" w:rsidRPr="00BF0707" w:rsidRDefault="006E0A49" w:rsidP="00F242D6">
            <w:pPr>
              <w:spacing w:after="0" w:line="240" w:lineRule="auto"/>
              <w:ind w:firstLine="0"/>
              <w:rPr>
                <w:rFonts w:cs="Times New Roman"/>
                <w:b/>
                <w:bCs/>
                <w:color w:val="000000"/>
                <w:szCs w:val="24"/>
              </w:rPr>
            </w:pPr>
            <w:r w:rsidRPr="005C2FEC">
              <w:rPr>
                <w:rFonts w:cs="Times New Roman"/>
                <w:b/>
                <w:bCs/>
                <w:color w:val="000000"/>
                <w:szCs w:val="24"/>
              </w:rPr>
              <w:t>Benefits</w:t>
            </w:r>
          </w:p>
        </w:tc>
        <w:tc>
          <w:tcPr>
            <w:tcW w:w="96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center"/>
            <w:hideMark/>
          </w:tcPr>
          <w:p w14:paraId="7CDDC885" w14:textId="1F90DE84" w:rsidR="00F4707D" w:rsidRPr="00BF0707" w:rsidRDefault="006E0A49" w:rsidP="00F242D6">
            <w:pPr>
              <w:spacing w:after="0" w:line="240" w:lineRule="auto"/>
              <w:ind w:firstLine="0"/>
              <w:jc w:val="center"/>
              <w:rPr>
                <w:rFonts w:cs="Times New Roman"/>
                <w:b/>
                <w:bCs/>
                <w:color w:val="000000"/>
                <w:szCs w:val="24"/>
              </w:rPr>
            </w:pPr>
            <w:r w:rsidRPr="005C2FEC">
              <w:rPr>
                <w:rFonts w:cs="Times New Roman"/>
                <w:b/>
                <w:bCs/>
                <w:color w:val="000000"/>
                <w:szCs w:val="24"/>
              </w:rPr>
              <w:t>Bonus</w:t>
            </w:r>
          </w:p>
        </w:tc>
        <w:tc>
          <w:tcPr>
            <w:tcW w:w="134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center"/>
            <w:hideMark/>
          </w:tcPr>
          <w:p w14:paraId="6362832F" w14:textId="7BD548BA" w:rsidR="00F4707D" w:rsidRPr="00BF0707" w:rsidRDefault="00F242D6" w:rsidP="00F242D6">
            <w:pPr>
              <w:spacing w:after="0" w:line="240" w:lineRule="auto"/>
              <w:ind w:firstLine="0"/>
              <w:jc w:val="center"/>
              <w:rPr>
                <w:rFonts w:cs="Times New Roman"/>
                <w:b/>
                <w:bCs/>
                <w:color w:val="000000"/>
                <w:szCs w:val="24"/>
              </w:rPr>
            </w:pPr>
            <w:r>
              <w:rPr>
                <w:rFonts w:cs="Times New Roman"/>
                <w:b/>
                <w:bCs/>
                <w:color w:val="000000"/>
                <w:szCs w:val="24"/>
              </w:rPr>
              <w:t>A</w:t>
            </w:r>
            <w:r w:rsidR="00F4707D" w:rsidRPr="00BF0707">
              <w:rPr>
                <w:rFonts w:cs="Times New Roman"/>
                <w:b/>
                <w:bCs/>
                <w:color w:val="000000"/>
                <w:szCs w:val="24"/>
              </w:rPr>
              <w:t>llowances</w:t>
            </w:r>
          </w:p>
        </w:tc>
      </w:tr>
      <w:tr w:rsidR="005C2FEC" w:rsidRPr="005C2FEC" w14:paraId="4AB8BB27" w14:textId="77777777" w:rsidTr="00F242D6">
        <w:trPr>
          <w:trHeight w:val="300"/>
          <w:jc w:val="center"/>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6AA41460" w14:textId="15C0CF59" w:rsidR="00F4707D" w:rsidRPr="00BF0707" w:rsidRDefault="006E0A49" w:rsidP="000E0634">
            <w:pPr>
              <w:spacing w:after="0" w:line="240" w:lineRule="auto"/>
              <w:ind w:firstLine="0"/>
              <w:rPr>
                <w:rFonts w:cs="Times New Roman"/>
                <w:color w:val="000000"/>
                <w:szCs w:val="24"/>
              </w:rPr>
            </w:pPr>
            <w:r w:rsidRPr="005C2FEC">
              <w:rPr>
                <w:rFonts w:cs="Times New Roman"/>
                <w:color w:val="000000"/>
                <w:szCs w:val="24"/>
              </w:rPr>
              <w:t>ROA</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33AEA9C7" w14:textId="77777777" w:rsidR="00F4707D" w:rsidRPr="00BF0707" w:rsidRDefault="00F4707D" w:rsidP="000E0634">
            <w:pPr>
              <w:spacing w:after="0" w:line="240" w:lineRule="auto"/>
              <w:ind w:firstLine="0"/>
              <w:jc w:val="center"/>
              <w:rPr>
                <w:rFonts w:cs="Times New Roman"/>
                <w:color w:val="000000"/>
                <w:szCs w:val="24"/>
              </w:rPr>
            </w:pPr>
            <w:r w:rsidRPr="00BF0707">
              <w:rPr>
                <w:rFonts w:cs="Times New Roman"/>
                <w:color w:val="000000"/>
                <w:szCs w:val="24"/>
              </w:rPr>
              <w:t>1</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4EB3F748" w14:textId="77777777" w:rsidR="00F4707D" w:rsidRPr="00BF0707" w:rsidRDefault="00F4707D" w:rsidP="000E0634">
            <w:pPr>
              <w:spacing w:after="0" w:line="240" w:lineRule="auto"/>
              <w:ind w:firstLine="0"/>
              <w:jc w:val="center"/>
              <w:rPr>
                <w:rFonts w:cs="Times New Roman"/>
                <w:color w:val="000000"/>
                <w:szCs w:val="24"/>
              </w:rPr>
            </w:pP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692263A3" w14:textId="77777777" w:rsidR="00F4707D" w:rsidRPr="00BF0707" w:rsidRDefault="00F4707D" w:rsidP="000E0634">
            <w:pPr>
              <w:spacing w:after="0" w:line="240" w:lineRule="auto"/>
              <w:ind w:firstLine="0"/>
              <w:jc w:val="center"/>
              <w:rPr>
                <w:rFonts w:cs="Times New Roman"/>
                <w:szCs w:val="24"/>
              </w:rPr>
            </w:pP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6755664A" w14:textId="77777777" w:rsidR="00F4707D" w:rsidRPr="00BF0707" w:rsidRDefault="00F4707D" w:rsidP="000E0634">
            <w:pPr>
              <w:spacing w:after="0" w:line="240" w:lineRule="auto"/>
              <w:ind w:firstLine="0"/>
              <w:jc w:val="center"/>
              <w:rPr>
                <w:rFonts w:cs="Times New Roman"/>
                <w:szCs w:val="24"/>
              </w:rPr>
            </w:pP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52420B4F" w14:textId="77777777" w:rsidR="00F4707D" w:rsidRPr="00BF0707" w:rsidRDefault="00F4707D" w:rsidP="000E0634">
            <w:pPr>
              <w:spacing w:after="0" w:line="240" w:lineRule="auto"/>
              <w:ind w:firstLine="0"/>
              <w:jc w:val="center"/>
              <w:rPr>
                <w:rFonts w:cs="Times New Roman"/>
                <w:szCs w:val="24"/>
              </w:rPr>
            </w:pPr>
          </w:p>
        </w:tc>
      </w:tr>
      <w:tr w:rsidR="005C2FEC" w:rsidRPr="005C2FEC" w14:paraId="4ABFDCCF" w14:textId="77777777" w:rsidTr="00F242D6">
        <w:trPr>
          <w:trHeight w:val="300"/>
          <w:jc w:val="center"/>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2BF09EC3" w14:textId="7B0E713C" w:rsidR="00F4707D" w:rsidRPr="00BF0707" w:rsidRDefault="00F4707D" w:rsidP="000E0634">
            <w:pPr>
              <w:spacing w:after="0" w:line="240" w:lineRule="auto"/>
              <w:ind w:firstLine="0"/>
              <w:rPr>
                <w:rFonts w:cs="Times New Roman"/>
                <w:color w:val="000000"/>
                <w:szCs w:val="24"/>
              </w:rPr>
            </w:pPr>
            <w:r w:rsidRPr="00BF0707">
              <w:rPr>
                <w:rFonts w:cs="Times New Roman"/>
                <w:color w:val="000000"/>
                <w:szCs w:val="24"/>
              </w:rPr>
              <w:t>Salary</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49075F47" w14:textId="77777777" w:rsidR="00F4707D" w:rsidRPr="00BF0707" w:rsidRDefault="00F4707D" w:rsidP="000E0634">
            <w:pPr>
              <w:spacing w:after="0" w:line="240" w:lineRule="auto"/>
              <w:ind w:firstLine="0"/>
              <w:jc w:val="center"/>
              <w:rPr>
                <w:rFonts w:cs="Times New Roman"/>
                <w:color w:val="000000"/>
                <w:szCs w:val="24"/>
              </w:rPr>
            </w:pPr>
            <w:r w:rsidRPr="00BF0707">
              <w:rPr>
                <w:rFonts w:cs="Times New Roman"/>
                <w:color w:val="000000"/>
                <w:szCs w:val="24"/>
              </w:rPr>
              <w:t>-0.2704</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3ADF08BA" w14:textId="77777777" w:rsidR="00F4707D" w:rsidRPr="00BF0707" w:rsidRDefault="00F4707D" w:rsidP="000E0634">
            <w:pPr>
              <w:spacing w:after="0" w:line="240" w:lineRule="auto"/>
              <w:ind w:firstLine="0"/>
              <w:jc w:val="center"/>
              <w:rPr>
                <w:rFonts w:cs="Times New Roman"/>
                <w:color w:val="000000"/>
                <w:szCs w:val="24"/>
              </w:rPr>
            </w:pPr>
            <w:r w:rsidRPr="00BF0707">
              <w:rPr>
                <w:rFonts w:cs="Times New Roman"/>
                <w:color w:val="000000"/>
                <w:szCs w:val="24"/>
              </w:rPr>
              <w:t>1</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195E8A8F" w14:textId="77777777" w:rsidR="00F4707D" w:rsidRPr="00BF0707" w:rsidRDefault="00F4707D" w:rsidP="000E0634">
            <w:pPr>
              <w:spacing w:after="0" w:line="240" w:lineRule="auto"/>
              <w:ind w:firstLine="0"/>
              <w:jc w:val="center"/>
              <w:rPr>
                <w:rFonts w:cs="Times New Roman"/>
                <w:color w:val="000000"/>
                <w:szCs w:val="24"/>
              </w:rPr>
            </w:pP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5AF65242" w14:textId="77777777" w:rsidR="00F4707D" w:rsidRPr="00BF0707" w:rsidRDefault="00F4707D" w:rsidP="000E0634">
            <w:pPr>
              <w:spacing w:after="0" w:line="240" w:lineRule="auto"/>
              <w:ind w:firstLine="0"/>
              <w:jc w:val="center"/>
              <w:rPr>
                <w:rFonts w:cs="Times New Roman"/>
                <w:szCs w:val="24"/>
              </w:rPr>
            </w:pP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36BEA4AA" w14:textId="77777777" w:rsidR="00F4707D" w:rsidRPr="00BF0707" w:rsidRDefault="00F4707D" w:rsidP="000E0634">
            <w:pPr>
              <w:spacing w:after="0" w:line="240" w:lineRule="auto"/>
              <w:ind w:firstLine="0"/>
              <w:jc w:val="center"/>
              <w:rPr>
                <w:rFonts w:cs="Times New Roman"/>
                <w:szCs w:val="24"/>
              </w:rPr>
            </w:pPr>
          </w:p>
        </w:tc>
      </w:tr>
      <w:tr w:rsidR="005C2FEC" w:rsidRPr="005C2FEC" w14:paraId="371B88EC" w14:textId="77777777" w:rsidTr="00F242D6">
        <w:trPr>
          <w:trHeight w:val="300"/>
          <w:jc w:val="center"/>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3D86BCE1" w14:textId="49CD0FFD" w:rsidR="00F4707D" w:rsidRPr="00BF0707" w:rsidRDefault="00F4707D" w:rsidP="000E0634">
            <w:pPr>
              <w:spacing w:after="0" w:line="240" w:lineRule="auto"/>
              <w:ind w:firstLine="0"/>
              <w:rPr>
                <w:rFonts w:cs="Times New Roman"/>
                <w:color w:val="000000"/>
                <w:szCs w:val="24"/>
              </w:rPr>
            </w:pPr>
            <w:r w:rsidRPr="00BF0707">
              <w:rPr>
                <w:rFonts w:cs="Times New Roman"/>
                <w:color w:val="000000"/>
                <w:szCs w:val="24"/>
              </w:rPr>
              <w:t>Benefits</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7508C8BF" w14:textId="77777777" w:rsidR="00F4707D" w:rsidRPr="00BF0707" w:rsidRDefault="00F4707D" w:rsidP="000E0634">
            <w:pPr>
              <w:spacing w:after="0" w:line="240" w:lineRule="auto"/>
              <w:ind w:firstLine="0"/>
              <w:jc w:val="center"/>
              <w:rPr>
                <w:rFonts w:cs="Times New Roman"/>
                <w:color w:val="000000"/>
                <w:szCs w:val="24"/>
              </w:rPr>
            </w:pPr>
            <w:r w:rsidRPr="00BF0707">
              <w:rPr>
                <w:rFonts w:cs="Times New Roman"/>
                <w:color w:val="000000"/>
                <w:szCs w:val="24"/>
              </w:rPr>
              <w:t>0.1184</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6D0A2C63" w14:textId="77777777" w:rsidR="00F4707D" w:rsidRPr="00BF0707" w:rsidRDefault="00F4707D" w:rsidP="000E0634">
            <w:pPr>
              <w:spacing w:after="0" w:line="240" w:lineRule="auto"/>
              <w:ind w:firstLine="0"/>
              <w:jc w:val="center"/>
              <w:rPr>
                <w:rFonts w:cs="Times New Roman"/>
                <w:color w:val="000000"/>
                <w:szCs w:val="24"/>
              </w:rPr>
            </w:pPr>
            <w:r w:rsidRPr="00BF0707">
              <w:rPr>
                <w:rFonts w:cs="Times New Roman"/>
                <w:color w:val="000000"/>
                <w:szCs w:val="24"/>
              </w:rPr>
              <w:t>0.235</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3A55CC79" w14:textId="77777777" w:rsidR="00F4707D" w:rsidRPr="00BF0707" w:rsidRDefault="00F4707D" w:rsidP="000E0634">
            <w:pPr>
              <w:spacing w:after="0" w:line="240" w:lineRule="auto"/>
              <w:ind w:firstLine="0"/>
              <w:jc w:val="center"/>
              <w:rPr>
                <w:rFonts w:cs="Times New Roman"/>
                <w:color w:val="000000"/>
                <w:szCs w:val="24"/>
              </w:rPr>
            </w:pPr>
            <w:r w:rsidRPr="00BF0707">
              <w:rPr>
                <w:rFonts w:cs="Times New Roman"/>
                <w:color w:val="000000"/>
                <w:szCs w:val="24"/>
              </w:rPr>
              <w:t>1</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08921733" w14:textId="77777777" w:rsidR="00F4707D" w:rsidRPr="00BF0707" w:rsidRDefault="00F4707D" w:rsidP="000E0634">
            <w:pPr>
              <w:spacing w:after="0" w:line="240" w:lineRule="auto"/>
              <w:ind w:firstLine="0"/>
              <w:jc w:val="center"/>
              <w:rPr>
                <w:rFonts w:cs="Times New Roman"/>
                <w:color w:val="000000"/>
                <w:szCs w:val="24"/>
              </w:rPr>
            </w:pP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6790BFD0" w14:textId="77777777" w:rsidR="00F4707D" w:rsidRPr="00BF0707" w:rsidRDefault="00F4707D" w:rsidP="000E0634">
            <w:pPr>
              <w:spacing w:after="0" w:line="240" w:lineRule="auto"/>
              <w:ind w:firstLine="0"/>
              <w:jc w:val="center"/>
              <w:rPr>
                <w:rFonts w:cs="Times New Roman"/>
                <w:szCs w:val="24"/>
              </w:rPr>
            </w:pPr>
          </w:p>
        </w:tc>
      </w:tr>
      <w:tr w:rsidR="005C2FEC" w:rsidRPr="005C2FEC" w14:paraId="477AAF7B" w14:textId="77777777" w:rsidTr="00F242D6">
        <w:trPr>
          <w:trHeight w:val="300"/>
          <w:jc w:val="center"/>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366090F7" w14:textId="0E04A564" w:rsidR="00F4707D" w:rsidRPr="00BF0707" w:rsidRDefault="00F4707D" w:rsidP="000E0634">
            <w:pPr>
              <w:spacing w:after="0" w:line="240" w:lineRule="auto"/>
              <w:ind w:firstLine="0"/>
              <w:rPr>
                <w:rFonts w:cs="Times New Roman"/>
                <w:color w:val="000000"/>
                <w:szCs w:val="24"/>
              </w:rPr>
            </w:pPr>
            <w:r w:rsidRPr="00BF0707">
              <w:rPr>
                <w:rFonts w:cs="Times New Roman"/>
                <w:color w:val="000000"/>
                <w:szCs w:val="24"/>
              </w:rPr>
              <w:t>Bonus</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31A6154B" w14:textId="77777777" w:rsidR="00F4707D" w:rsidRPr="00BF0707" w:rsidRDefault="00F4707D" w:rsidP="000E0634">
            <w:pPr>
              <w:spacing w:after="0" w:line="240" w:lineRule="auto"/>
              <w:ind w:firstLine="0"/>
              <w:jc w:val="center"/>
              <w:rPr>
                <w:rFonts w:cs="Times New Roman"/>
                <w:color w:val="000000"/>
                <w:szCs w:val="24"/>
              </w:rPr>
            </w:pPr>
            <w:r w:rsidRPr="00BF0707">
              <w:rPr>
                <w:rFonts w:cs="Times New Roman"/>
                <w:color w:val="000000"/>
                <w:szCs w:val="24"/>
              </w:rPr>
              <w:t>0.3941*</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4B8BB59D" w14:textId="77777777" w:rsidR="00F4707D" w:rsidRPr="00BF0707" w:rsidRDefault="00F4707D" w:rsidP="000E0634">
            <w:pPr>
              <w:spacing w:after="0" w:line="240" w:lineRule="auto"/>
              <w:ind w:firstLine="0"/>
              <w:jc w:val="center"/>
              <w:rPr>
                <w:rFonts w:cs="Times New Roman"/>
                <w:color w:val="000000"/>
                <w:szCs w:val="24"/>
              </w:rPr>
            </w:pPr>
            <w:r w:rsidRPr="00BF0707">
              <w:rPr>
                <w:rFonts w:cs="Times New Roman"/>
                <w:color w:val="000000"/>
                <w:szCs w:val="24"/>
              </w:rPr>
              <w:t>0.086</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49C319EE" w14:textId="77777777" w:rsidR="00F4707D" w:rsidRPr="00BF0707" w:rsidRDefault="00F4707D" w:rsidP="000E0634">
            <w:pPr>
              <w:spacing w:after="0" w:line="240" w:lineRule="auto"/>
              <w:ind w:firstLine="0"/>
              <w:jc w:val="center"/>
              <w:rPr>
                <w:rFonts w:cs="Times New Roman"/>
                <w:color w:val="000000"/>
                <w:szCs w:val="24"/>
              </w:rPr>
            </w:pPr>
            <w:r w:rsidRPr="00BF0707">
              <w:rPr>
                <w:rFonts w:cs="Times New Roman"/>
                <w:color w:val="000000"/>
                <w:szCs w:val="24"/>
              </w:rPr>
              <w:t>0.2251</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5CC6ADC1" w14:textId="77777777" w:rsidR="00F4707D" w:rsidRPr="00BF0707" w:rsidRDefault="00F4707D" w:rsidP="000E0634">
            <w:pPr>
              <w:spacing w:after="0" w:line="240" w:lineRule="auto"/>
              <w:ind w:firstLine="0"/>
              <w:jc w:val="center"/>
              <w:rPr>
                <w:rFonts w:cs="Times New Roman"/>
                <w:color w:val="000000"/>
                <w:szCs w:val="24"/>
              </w:rPr>
            </w:pPr>
            <w:r w:rsidRPr="00BF0707">
              <w:rPr>
                <w:rFonts w:cs="Times New Roman"/>
                <w:color w:val="000000"/>
                <w:szCs w:val="24"/>
              </w:rPr>
              <w:t>1</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4D04AD57" w14:textId="77777777" w:rsidR="00F4707D" w:rsidRPr="00BF0707" w:rsidRDefault="00F4707D" w:rsidP="000E0634">
            <w:pPr>
              <w:spacing w:after="0" w:line="240" w:lineRule="auto"/>
              <w:ind w:firstLine="0"/>
              <w:jc w:val="center"/>
              <w:rPr>
                <w:rFonts w:cs="Times New Roman"/>
                <w:color w:val="000000"/>
                <w:szCs w:val="24"/>
              </w:rPr>
            </w:pPr>
          </w:p>
        </w:tc>
      </w:tr>
      <w:tr w:rsidR="005C2FEC" w:rsidRPr="005C2FEC" w14:paraId="5890F50F" w14:textId="77777777" w:rsidTr="00F242D6">
        <w:trPr>
          <w:trHeight w:val="300"/>
          <w:jc w:val="center"/>
        </w:trPr>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14:paraId="48AAE976" w14:textId="18C2267F" w:rsidR="00F4707D" w:rsidRPr="00BF0707" w:rsidRDefault="00F4707D" w:rsidP="000E0634">
            <w:pPr>
              <w:spacing w:after="0" w:line="240" w:lineRule="auto"/>
              <w:ind w:firstLine="0"/>
              <w:rPr>
                <w:rFonts w:cs="Times New Roman"/>
                <w:color w:val="000000"/>
                <w:szCs w:val="24"/>
              </w:rPr>
            </w:pPr>
            <w:r w:rsidRPr="00BF0707">
              <w:rPr>
                <w:rFonts w:cs="Times New Roman"/>
                <w:color w:val="000000"/>
                <w:szCs w:val="24"/>
              </w:rPr>
              <w:t>Allowances</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14:paraId="5FCB1D4C" w14:textId="77777777" w:rsidR="00F4707D" w:rsidRPr="00BF0707" w:rsidRDefault="00F4707D" w:rsidP="000E0634">
            <w:pPr>
              <w:spacing w:after="0" w:line="240" w:lineRule="auto"/>
              <w:ind w:firstLine="0"/>
              <w:jc w:val="center"/>
              <w:rPr>
                <w:rFonts w:cs="Times New Roman"/>
                <w:color w:val="000000"/>
                <w:szCs w:val="24"/>
              </w:rPr>
            </w:pPr>
            <w:r w:rsidRPr="00BF0707">
              <w:rPr>
                <w:rFonts w:cs="Times New Roman"/>
                <w:color w:val="000000"/>
                <w:szCs w:val="24"/>
              </w:rPr>
              <w:t>-0.0233</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14:paraId="0E2FC6C0" w14:textId="77777777" w:rsidR="00F4707D" w:rsidRPr="00BF0707" w:rsidRDefault="00F4707D" w:rsidP="000E0634">
            <w:pPr>
              <w:spacing w:after="0" w:line="240" w:lineRule="auto"/>
              <w:ind w:firstLine="0"/>
              <w:jc w:val="center"/>
              <w:rPr>
                <w:rFonts w:cs="Times New Roman"/>
                <w:color w:val="000000"/>
                <w:szCs w:val="24"/>
              </w:rPr>
            </w:pPr>
            <w:r w:rsidRPr="00BF0707">
              <w:rPr>
                <w:rFonts w:cs="Times New Roman"/>
                <w:color w:val="000000"/>
                <w:szCs w:val="24"/>
              </w:rPr>
              <w:t>-0.0819</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14:paraId="59E87AEE" w14:textId="77777777" w:rsidR="00F4707D" w:rsidRPr="00BF0707" w:rsidRDefault="00F4707D" w:rsidP="000E0634">
            <w:pPr>
              <w:spacing w:after="0" w:line="240" w:lineRule="auto"/>
              <w:ind w:firstLine="0"/>
              <w:jc w:val="center"/>
              <w:rPr>
                <w:rFonts w:cs="Times New Roman"/>
                <w:color w:val="000000"/>
                <w:szCs w:val="24"/>
              </w:rPr>
            </w:pPr>
            <w:r w:rsidRPr="00BF0707">
              <w:rPr>
                <w:rFonts w:cs="Times New Roman"/>
                <w:color w:val="000000"/>
                <w:szCs w:val="24"/>
              </w:rPr>
              <w:t>0.0534</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14:paraId="46C0EBBB" w14:textId="77777777" w:rsidR="00F4707D" w:rsidRPr="00BF0707" w:rsidRDefault="00F4707D" w:rsidP="000E0634">
            <w:pPr>
              <w:spacing w:after="0" w:line="240" w:lineRule="auto"/>
              <w:ind w:firstLine="0"/>
              <w:jc w:val="center"/>
              <w:rPr>
                <w:rFonts w:cs="Times New Roman"/>
                <w:color w:val="000000"/>
                <w:szCs w:val="24"/>
              </w:rPr>
            </w:pPr>
            <w:r w:rsidRPr="00BF0707">
              <w:rPr>
                <w:rFonts w:cs="Times New Roman"/>
                <w:color w:val="000000"/>
                <w:szCs w:val="24"/>
              </w:rPr>
              <w:t>0.1062</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14:paraId="722034A8" w14:textId="77777777" w:rsidR="00F4707D" w:rsidRPr="00BF0707" w:rsidRDefault="00F4707D" w:rsidP="000E0634">
            <w:pPr>
              <w:spacing w:after="0" w:line="240" w:lineRule="auto"/>
              <w:ind w:firstLine="0"/>
              <w:jc w:val="center"/>
              <w:rPr>
                <w:rFonts w:cs="Times New Roman"/>
                <w:color w:val="000000"/>
                <w:szCs w:val="24"/>
              </w:rPr>
            </w:pPr>
            <w:r w:rsidRPr="00BF0707">
              <w:rPr>
                <w:rFonts w:cs="Times New Roman"/>
                <w:color w:val="000000"/>
                <w:szCs w:val="24"/>
              </w:rPr>
              <w:t>1</w:t>
            </w:r>
          </w:p>
        </w:tc>
      </w:tr>
    </w:tbl>
    <w:p w14:paraId="5ABFBE15" w14:textId="09F97FF6" w:rsidR="00133CD2" w:rsidRDefault="00F4707D" w:rsidP="00BF0707">
      <w:pPr>
        <w:pStyle w:val="Caption"/>
        <w:spacing w:before="240"/>
        <w:ind w:firstLine="0"/>
        <w:rPr>
          <w:rFonts w:cs="Times New Roman"/>
          <w:sz w:val="20"/>
          <w:szCs w:val="20"/>
        </w:rPr>
      </w:pPr>
      <w:r>
        <w:t xml:space="preserve"> </w:t>
      </w:r>
      <w:r w:rsidR="00133CD2" w:rsidRPr="00AE0B3D">
        <w:rPr>
          <w:rFonts w:cs="Times New Roman"/>
          <w:sz w:val="20"/>
          <w:szCs w:val="20"/>
        </w:rPr>
        <w:t xml:space="preserve">*. Correlation is significant at the </w:t>
      </w:r>
      <w:r w:rsidR="00E21959">
        <w:rPr>
          <w:rFonts w:cs="Times New Roman"/>
          <w:sz w:val="20"/>
          <w:szCs w:val="20"/>
        </w:rPr>
        <w:t xml:space="preserve">0.10 </w:t>
      </w:r>
      <w:r w:rsidR="00E21959" w:rsidRPr="00AE0B3D">
        <w:rPr>
          <w:rFonts w:cs="Times New Roman"/>
          <w:sz w:val="20"/>
          <w:szCs w:val="20"/>
        </w:rPr>
        <w:t>level</w:t>
      </w:r>
      <w:r w:rsidR="00133CD2" w:rsidRPr="00AE0B3D">
        <w:rPr>
          <w:rFonts w:cs="Times New Roman"/>
          <w:sz w:val="20"/>
          <w:szCs w:val="20"/>
        </w:rPr>
        <w:t xml:space="preserve"> (2-tailed).</w:t>
      </w:r>
    </w:p>
    <w:p w14:paraId="61959F23" w14:textId="089E88A7" w:rsidR="00F4707D" w:rsidRPr="002E5A40" w:rsidRDefault="00F4707D" w:rsidP="00F4707D">
      <w:pPr>
        <w:pStyle w:val="Caption"/>
        <w:spacing w:before="240"/>
        <w:ind w:firstLine="0"/>
      </w:pPr>
      <w:r w:rsidRPr="00AE0B3D">
        <w:rPr>
          <w:rFonts w:cs="Times New Roman"/>
          <w:sz w:val="20"/>
          <w:szCs w:val="20"/>
        </w:rPr>
        <w:t>*</w:t>
      </w:r>
      <w:r>
        <w:rPr>
          <w:rFonts w:cs="Times New Roman"/>
          <w:sz w:val="20"/>
          <w:szCs w:val="20"/>
        </w:rPr>
        <w:t>*</w:t>
      </w:r>
      <w:r w:rsidRPr="00AE0B3D">
        <w:rPr>
          <w:rFonts w:cs="Times New Roman"/>
          <w:sz w:val="20"/>
          <w:szCs w:val="20"/>
        </w:rPr>
        <w:t xml:space="preserve">. Correlation is significant at the </w:t>
      </w:r>
      <w:r w:rsidR="00E21959">
        <w:rPr>
          <w:rFonts w:cs="Times New Roman"/>
          <w:sz w:val="20"/>
          <w:szCs w:val="20"/>
        </w:rPr>
        <w:t xml:space="preserve">0.05 </w:t>
      </w:r>
      <w:r w:rsidR="00E21959" w:rsidRPr="00AE0B3D">
        <w:rPr>
          <w:rFonts w:cs="Times New Roman"/>
          <w:sz w:val="20"/>
          <w:szCs w:val="20"/>
        </w:rPr>
        <w:t>level</w:t>
      </w:r>
      <w:r w:rsidRPr="00AE0B3D">
        <w:rPr>
          <w:rFonts w:cs="Times New Roman"/>
          <w:sz w:val="20"/>
          <w:szCs w:val="20"/>
        </w:rPr>
        <w:t xml:space="preserve"> (2-tailed).</w:t>
      </w:r>
    </w:p>
    <w:p w14:paraId="1FCB0CF0" w14:textId="61C8E60A" w:rsidR="00565484" w:rsidRPr="00AE0B3D" w:rsidRDefault="00565484" w:rsidP="00012323">
      <w:pPr>
        <w:pStyle w:val="Heading4"/>
        <w:jc w:val="center"/>
      </w:pPr>
      <w:r w:rsidRPr="00AE0B3D">
        <w:t>R</w:t>
      </w:r>
      <w:r w:rsidR="00D8029C">
        <w:t>eturn on Equity</w:t>
      </w:r>
      <w:r w:rsidRPr="00AE0B3D">
        <w:t xml:space="preserve"> and Management remuneration</w:t>
      </w:r>
    </w:p>
    <w:p w14:paraId="3BC6394E" w14:textId="7E231C04" w:rsidR="00835677" w:rsidRDefault="00565484" w:rsidP="00565484">
      <w:pPr>
        <w:autoSpaceDE w:val="0"/>
        <w:autoSpaceDN w:val="0"/>
        <w:adjustRightInd w:val="0"/>
        <w:spacing w:after="0" w:line="400" w:lineRule="atLeast"/>
        <w:rPr>
          <w:rFonts w:cs="Times New Roman"/>
          <w:szCs w:val="24"/>
        </w:rPr>
      </w:pPr>
      <w:r w:rsidRPr="00AE0B3D">
        <w:rPr>
          <w:rFonts w:cs="Times New Roman"/>
          <w:szCs w:val="24"/>
        </w:rPr>
        <w:t xml:space="preserve">The </w:t>
      </w:r>
      <w:r w:rsidR="00BC4FEA" w:rsidRPr="00AE0B3D">
        <w:rPr>
          <w:rFonts w:cs="Times New Roman"/>
          <w:szCs w:val="24"/>
        </w:rPr>
        <w:t>relationship</w:t>
      </w:r>
      <w:r w:rsidR="009E6289" w:rsidRPr="00AE0B3D">
        <w:rPr>
          <w:rFonts w:cs="Times New Roman"/>
          <w:szCs w:val="24"/>
        </w:rPr>
        <w:t xml:space="preserve"> </w:t>
      </w:r>
      <w:r w:rsidRPr="00AE0B3D">
        <w:rPr>
          <w:rFonts w:cs="Times New Roman"/>
          <w:szCs w:val="24"/>
        </w:rPr>
        <w:t xml:space="preserve">of ROE as a financial performance measure and management remuneration variables were also evaluated in the research </w:t>
      </w:r>
      <w:r w:rsidRPr="004414DD">
        <w:rPr>
          <w:rFonts w:cs="Times New Roman"/>
          <w:szCs w:val="24"/>
        </w:rPr>
        <w:t>study.</w:t>
      </w:r>
      <w:r w:rsidR="00835677" w:rsidRPr="004414DD">
        <w:rPr>
          <w:rFonts w:cs="Times New Roman"/>
          <w:szCs w:val="24"/>
        </w:rPr>
        <w:t xml:space="preserve"> Table </w:t>
      </w:r>
      <w:r w:rsidR="00904E30" w:rsidRPr="004414DD">
        <w:rPr>
          <w:rFonts w:cs="Times New Roman"/>
          <w:szCs w:val="24"/>
        </w:rPr>
        <w:t>6</w:t>
      </w:r>
      <w:r w:rsidR="00835677" w:rsidRPr="004414DD">
        <w:rPr>
          <w:rFonts w:cs="Times New Roman"/>
          <w:szCs w:val="24"/>
        </w:rPr>
        <w:t xml:space="preserve"> presents </w:t>
      </w:r>
      <w:r w:rsidR="00835677">
        <w:rPr>
          <w:rFonts w:cs="Times New Roman"/>
          <w:szCs w:val="24"/>
        </w:rPr>
        <w:t xml:space="preserve">the </w:t>
      </w:r>
      <w:r w:rsidR="00536328">
        <w:rPr>
          <w:rFonts w:cs="Times New Roman"/>
          <w:szCs w:val="24"/>
        </w:rPr>
        <w:t xml:space="preserve">Spearman </w:t>
      </w:r>
      <w:r w:rsidR="00835677">
        <w:rPr>
          <w:rFonts w:cs="Times New Roman"/>
          <w:szCs w:val="24"/>
        </w:rPr>
        <w:t>correlation</w:t>
      </w:r>
      <w:r w:rsidR="003E24DC">
        <w:rPr>
          <w:rFonts w:cs="Times New Roman"/>
          <w:szCs w:val="24"/>
        </w:rPr>
        <w:t xml:space="preserve"> result</w:t>
      </w:r>
      <w:r w:rsidR="00835677">
        <w:rPr>
          <w:rFonts w:cs="Times New Roman"/>
          <w:szCs w:val="24"/>
        </w:rPr>
        <w:t xml:space="preserve"> between the </w:t>
      </w:r>
      <w:r w:rsidR="00F0691C">
        <w:rPr>
          <w:rFonts w:cs="Times New Roman"/>
          <w:szCs w:val="24"/>
        </w:rPr>
        <w:t>financial performance parameter (ROE) and the remuneration variables.</w:t>
      </w:r>
      <w:r w:rsidR="0008443B">
        <w:rPr>
          <w:rFonts w:cs="Times New Roman"/>
          <w:szCs w:val="24"/>
        </w:rPr>
        <w:t xml:space="preserve"> Bonus w</w:t>
      </w:r>
      <w:r w:rsidR="00FE7DEC">
        <w:rPr>
          <w:rFonts w:cs="Times New Roman"/>
          <w:szCs w:val="24"/>
        </w:rPr>
        <w:t>as</w:t>
      </w:r>
      <w:r w:rsidR="0008443B">
        <w:rPr>
          <w:rFonts w:cs="Times New Roman"/>
          <w:szCs w:val="24"/>
        </w:rPr>
        <w:t xml:space="preserve"> found to have </w:t>
      </w:r>
      <w:r w:rsidR="0061422D">
        <w:rPr>
          <w:rFonts w:cs="Times New Roman"/>
          <w:szCs w:val="24"/>
        </w:rPr>
        <w:t xml:space="preserve">statistically significant </w:t>
      </w:r>
      <w:r w:rsidR="00B53C0F">
        <w:rPr>
          <w:rFonts w:cs="Times New Roman"/>
          <w:szCs w:val="24"/>
        </w:rPr>
        <w:t>positive correlation with ROE with r value of 0.4</w:t>
      </w:r>
      <w:r w:rsidR="00904E30">
        <w:rPr>
          <w:rFonts w:cs="Times New Roman"/>
          <w:szCs w:val="24"/>
        </w:rPr>
        <w:t>737</w:t>
      </w:r>
      <w:r w:rsidR="00B53C0F">
        <w:rPr>
          <w:rFonts w:cs="Times New Roman"/>
          <w:szCs w:val="24"/>
        </w:rPr>
        <w:t xml:space="preserve">. </w:t>
      </w:r>
      <w:r w:rsidR="00CA2C6B">
        <w:rPr>
          <w:rFonts w:cs="Times New Roman"/>
          <w:szCs w:val="24"/>
        </w:rPr>
        <w:t xml:space="preserve">Increase </w:t>
      </w:r>
      <w:r w:rsidR="0061422D">
        <w:rPr>
          <w:rFonts w:cs="Times New Roman"/>
          <w:szCs w:val="24"/>
        </w:rPr>
        <w:t xml:space="preserve">in the bonus </w:t>
      </w:r>
      <w:r w:rsidR="00E94293" w:rsidRPr="008E2F00">
        <w:rPr>
          <w:rFonts w:cs="Times New Roman"/>
          <w:szCs w:val="24"/>
        </w:rPr>
        <w:t xml:space="preserve">for top management </w:t>
      </w:r>
      <w:r w:rsidR="0061422D" w:rsidRPr="008E2F00">
        <w:rPr>
          <w:rFonts w:cs="Times New Roman"/>
          <w:szCs w:val="24"/>
        </w:rPr>
        <w:t>result in</w:t>
      </w:r>
      <w:r w:rsidR="00FB0036" w:rsidRPr="008E2F00">
        <w:rPr>
          <w:rFonts w:cs="Times New Roman"/>
          <w:szCs w:val="24"/>
        </w:rPr>
        <w:t xml:space="preserve"> an</w:t>
      </w:r>
      <w:r w:rsidR="0061422D" w:rsidRPr="008E2F00">
        <w:rPr>
          <w:rFonts w:cs="Times New Roman"/>
          <w:szCs w:val="24"/>
        </w:rPr>
        <w:t xml:space="preserve"> increase in the return on equity for </w:t>
      </w:r>
      <w:r w:rsidR="00E94293" w:rsidRPr="008E2F00">
        <w:rPr>
          <w:rFonts w:cs="Times New Roman"/>
          <w:szCs w:val="24"/>
        </w:rPr>
        <w:t>public listed companies</w:t>
      </w:r>
      <w:r w:rsidR="00EB503C" w:rsidRPr="008E2F00">
        <w:rPr>
          <w:rFonts w:cs="Times New Roman"/>
          <w:szCs w:val="24"/>
        </w:rPr>
        <w:t>. Consequently, the</w:t>
      </w:r>
      <w:r w:rsidR="006A2C01" w:rsidRPr="008E2F00">
        <w:rPr>
          <w:rFonts w:cs="Times New Roman"/>
          <w:szCs w:val="24"/>
        </w:rPr>
        <w:t xml:space="preserve"> </w:t>
      </w:r>
      <w:r w:rsidR="00F57BDA">
        <w:rPr>
          <w:rFonts w:cs="Times New Roman"/>
          <w:szCs w:val="24"/>
        </w:rPr>
        <w:t>bonus</w:t>
      </w:r>
      <w:r w:rsidR="006A2C01" w:rsidRPr="008E2F00">
        <w:rPr>
          <w:rFonts w:cs="Times New Roman"/>
          <w:szCs w:val="24"/>
        </w:rPr>
        <w:t xml:space="preserve"> contributes to the performance of organisations</w:t>
      </w:r>
      <w:r w:rsidR="00AD45ED" w:rsidRPr="008E2F00">
        <w:rPr>
          <w:rFonts w:cs="Times New Roman"/>
          <w:szCs w:val="24"/>
        </w:rPr>
        <w:t xml:space="preserve"> for public listed companies. </w:t>
      </w:r>
    </w:p>
    <w:p w14:paraId="5B18B22A" w14:textId="2164AA22" w:rsidR="00385938" w:rsidRPr="002E5A40" w:rsidRDefault="00CA2C6B" w:rsidP="002E5A40">
      <w:r>
        <w:rPr>
          <w:i/>
          <w:iCs/>
        </w:rPr>
        <w:t xml:space="preserve"> </w:t>
      </w:r>
    </w:p>
    <w:p w14:paraId="1E2F2880" w14:textId="77777777" w:rsidR="00075D56" w:rsidRDefault="003D6DDF" w:rsidP="002E5A40">
      <w:pPr>
        <w:pStyle w:val="Caption"/>
        <w:keepNext/>
      </w:pPr>
      <w:bookmarkStart w:id="79" w:name="_Toc66721392"/>
      <w:r>
        <w:t xml:space="preserve">Table </w:t>
      </w:r>
      <w:r>
        <w:fldChar w:fldCharType="begin"/>
      </w:r>
      <w:r>
        <w:instrText xml:space="preserve"> SEQ Table \* ARABIC </w:instrText>
      </w:r>
      <w:r>
        <w:fldChar w:fldCharType="separate"/>
      </w:r>
      <w:r w:rsidR="00904E30">
        <w:rPr>
          <w:noProof/>
        </w:rPr>
        <w:t>6</w:t>
      </w:r>
      <w:r>
        <w:fldChar w:fldCharType="end"/>
      </w:r>
      <w:r>
        <w:t>.</w:t>
      </w:r>
    </w:p>
    <w:p w14:paraId="646D7FB9" w14:textId="12317A63" w:rsidR="003D6DDF" w:rsidRDefault="003D6DDF" w:rsidP="002E5A40">
      <w:pPr>
        <w:pStyle w:val="Caption"/>
        <w:keepNext/>
      </w:pPr>
      <w:r w:rsidRPr="00D61405">
        <w:t xml:space="preserve">The </w:t>
      </w:r>
      <w:r w:rsidR="0013032C">
        <w:t xml:space="preserve">Spearman </w:t>
      </w:r>
      <w:r w:rsidRPr="00D61405">
        <w:t xml:space="preserve">Correlation </w:t>
      </w:r>
      <w:r w:rsidR="00E21959" w:rsidRPr="00D61405">
        <w:t>between</w:t>
      </w:r>
      <w:r w:rsidRPr="00D61405">
        <w:t xml:space="preserve"> ROE and Remuneration Variables</w:t>
      </w:r>
      <w:bookmarkEnd w:id="79"/>
    </w:p>
    <w:tbl>
      <w:tblPr>
        <w:tblW w:w="6651" w:type="dxa"/>
        <w:jc w:val="center"/>
        <w:tblLook w:val="04A0" w:firstRow="1" w:lastRow="0" w:firstColumn="1" w:lastColumn="0" w:noHBand="0" w:noVBand="1"/>
      </w:tblPr>
      <w:tblGrid>
        <w:gridCol w:w="1380"/>
        <w:gridCol w:w="1049"/>
        <w:gridCol w:w="960"/>
        <w:gridCol w:w="962"/>
        <w:gridCol w:w="960"/>
        <w:gridCol w:w="1340"/>
      </w:tblGrid>
      <w:tr w:rsidR="00E31939" w:rsidRPr="00E31939" w14:paraId="2326F1B2" w14:textId="77777777" w:rsidTr="00142F12">
        <w:trPr>
          <w:trHeight w:val="300"/>
          <w:jc w:val="center"/>
        </w:trPr>
        <w:tc>
          <w:tcPr>
            <w:tcW w:w="1380" w:type="dxa"/>
            <w:tcBorders>
              <w:top w:val="single" w:sz="4" w:space="0" w:color="auto"/>
              <w:left w:val="nil"/>
              <w:bottom w:val="single" w:sz="4" w:space="0" w:color="auto"/>
              <w:right w:val="nil"/>
            </w:tcBorders>
            <w:shd w:val="clear" w:color="auto" w:fill="auto"/>
            <w:noWrap/>
            <w:hideMark/>
          </w:tcPr>
          <w:p w14:paraId="2DEC4384" w14:textId="77777777" w:rsidR="00E31939" w:rsidRPr="00E31939" w:rsidRDefault="00E31939" w:rsidP="00E31939">
            <w:pPr>
              <w:spacing w:after="0" w:line="240" w:lineRule="auto"/>
              <w:ind w:firstLine="0"/>
              <w:jc w:val="center"/>
              <w:rPr>
                <w:rFonts w:ascii="Calibri" w:eastAsia="Times New Roman" w:hAnsi="Calibri" w:cs="Calibri"/>
                <w:b/>
                <w:bCs/>
                <w:color w:val="000000"/>
                <w:sz w:val="22"/>
                <w:lang w:val="en-US"/>
              </w:rPr>
            </w:pPr>
            <w:r w:rsidRPr="00E31939">
              <w:rPr>
                <w:rFonts w:ascii="Calibri" w:eastAsia="Times New Roman" w:hAnsi="Calibri" w:cs="Calibri"/>
                <w:b/>
                <w:bCs/>
                <w:color w:val="000000"/>
                <w:sz w:val="22"/>
                <w:lang w:val="en-US"/>
              </w:rPr>
              <w:t> </w:t>
            </w:r>
          </w:p>
        </w:tc>
        <w:tc>
          <w:tcPr>
            <w:tcW w:w="1049" w:type="dxa"/>
            <w:tcBorders>
              <w:top w:val="single" w:sz="4" w:space="0" w:color="auto"/>
              <w:left w:val="nil"/>
              <w:bottom w:val="single" w:sz="4" w:space="0" w:color="auto"/>
              <w:right w:val="nil"/>
            </w:tcBorders>
            <w:shd w:val="clear" w:color="auto" w:fill="auto"/>
            <w:noWrap/>
            <w:hideMark/>
          </w:tcPr>
          <w:p w14:paraId="5BE6EDC7" w14:textId="77777777" w:rsidR="00E31939" w:rsidRPr="00E31939" w:rsidRDefault="00E31939" w:rsidP="00E31939">
            <w:pPr>
              <w:spacing w:after="0" w:line="240" w:lineRule="auto"/>
              <w:ind w:firstLine="0"/>
              <w:jc w:val="center"/>
              <w:rPr>
                <w:rFonts w:ascii="Calibri" w:eastAsia="Times New Roman" w:hAnsi="Calibri" w:cs="Calibri"/>
                <w:b/>
                <w:bCs/>
                <w:color w:val="000000"/>
                <w:sz w:val="22"/>
                <w:lang w:val="en-US"/>
              </w:rPr>
            </w:pPr>
            <w:r w:rsidRPr="00E31939">
              <w:rPr>
                <w:rFonts w:ascii="Calibri" w:eastAsia="Times New Roman" w:hAnsi="Calibri" w:cs="Calibri"/>
                <w:b/>
                <w:bCs/>
                <w:color w:val="000000"/>
                <w:sz w:val="22"/>
                <w:lang w:val="en-US"/>
              </w:rPr>
              <w:t>roe</w:t>
            </w:r>
          </w:p>
        </w:tc>
        <w:tc>
          <w:tcPr>
            <w:tcW w:w="960" w:type="dxa"/>
            <w:tcBorders>
              <w:top w:val="single" w:sz="4" w:space="0" w:color="auto"/>
              <w:left w:val="nil"/>
              <w:bottom w:val="single" w:sz="4" w:space="0" w:color="auto"/>
              <w:right w:val="nil"/>
            </w:tcBorders>
            <w:shd w:val="clear" w:color="auto" w:fill="auto"/>
            <w:noWrap/>
            <w:hideMark/>
          </w:tcPr>
          <w:p w14:paraId="453CC86E" w14:textId="77777777" w:rsidR="00E31939" w:rsidRPr="00E31939" w:rsidRDefault="00E31939" w:rsidP="00E31939">
            <w:pPr>
              <w:spacing w:after="0" w:line="240" w:lineRule="auto"/>
              <w:ind w:firstLine="0"/>
              <w:jc w:val="center"/>
              <w:rPr>
                <w:rFonts w:ascii="Calibri" w:eastAsia="Times New Roman" w:hAnsi="Calibri" w:cs="Calibri"/>
                <w:b/>
                <w:bCs/>
                <w:color w:val="000000"/>
                <w:sz w:val="22"/>
                <w:lang w:val="en-US"/>
              </w:rPr>
            </w:pPr>
            <w:r w:rsidRPr="00E31939">
              <w:rPr>
                <w:rFonts w:ascii="Calibri" w:eastAsia="Times New Roman" w:hAnsi="Calibri" w:cs="Calibri"/>
                <w:b/>
                <w:bCs/>
                <w:color w:val="000000"/>
                <w:sz w:val="22"/>
                <w:lang w:val="en-US"/>
              </w:rPr>
              <w:t>salary</w:t>
            </w:r>
          </w:p>
        </w:tc>
        <w:tc>
          <w:tcPr>
            <w:tcW w:w="962" w:type="dxa"/>
            <w:tcBorders>
              <w:top w:val="single" w:sz="4" w:space="0" w:color="auto"/>
              <w:left w:val="nil"/>
              <w:bottom w:val="single" w:sz="4" w:space="0" w:color="auto"/>
              <w:right w:val="nil"/>
            </w:tcBorders>
            <w:shd w:val="clear" w:color="auto" w:fill="auto"/>
            <w:noWrap/>
            <w:hideMark/>
          </w:tcPr>
          <w:p w14:paraId="47E1F555" w14:textId="77777777" w:rsidR="00E31939" w:rsidRPr="00E31939" w:rsidRDefault="00E31939" w:rsidP="00E31939">
            <w:pPr>
              <w:spacing w:after="0" w:line="240" w:lineRule="auto"/>
              <w:ind w:firstLine="0"/>
              <w:jc w:val="center"/>
              <w:rPr>
                <w:rFonts w:ascii="Calibri" w:eastAsia="Times New Roman" w:hAnsi="Calibri" w:cs="Calibri"/>
                <w:b/>
                <w:bCs/>
                <w:color w:val="000000"/>
                <w:sz w:val="22"/>
                <w:lang w:val="en-US"/>
              </w:rPr>
            </w:pPr>
            <w:r w:rsidRPr="00E31939">
              <w:rPr>
                <w:rFonts w:ascii="Calibri" w:eastAsia="Times New Roman" w:hAnsi="Calibri" w:cs="Calibri"/>
                <w:b/>
                <w:bCs/>
                <w:color w:val="000000"/>
                <w:sz w:val="22"/>
                <w:lang w:val="en-US"/>
              </w:rPr>
              <w:t>benefits</w:t>
            </w:r>
          </w:p>
        </w:tc>
        <w:tc>
          <w:tcPr>
            <w:tcW w:w="960" w:type="dxa"/>
            <w:tcBorders>
              <w:top w:val="single" w:sz="4" w:space="0" w:color="auto"/>
              <w:left w:val="nil"/>
              <w:bottom w:val="single" w:sz="4" w:space="0" w:color="auto"/>
              <w:right w:val="nil"/>
            </w:tcBorders>
            <w:shd w:val="clear" w:color="auto" w:fill="auto"/>
            <w:noWrap/>
            <w:hideMark/>
          </w:tcPr>
          <w:p w14:paraId="428DA1C2" w14:textId="77777777" w:rsidR="00E31939" w:rsidRPr="00E31939" w:rsidRDefault="00E31939" w:rsidP="00E31939">
            <w:pPr>
              <w:spacing w:after="0" w:line="240" w:lineRule="auto"/>
              <w:ind w:firstLine="0"/>
              <w:jc w:val="center"/>
              <w:rPr>
                <w:rFonts w:ascii="Calibri" w:eastAsia="Times New Roman" w:hAnsi="Calibri" w:cs="Calibri"/>
                <w:b/>
                <w:bCs/>
                <w:color w:val="000000"/>
                <w:sz w:val="22"/>
                <w:lang w:val="en-US"/>
              </w:rPr>
            </w:pPr>
            <w:r w:rsidRPr="00E31939">
              <w:rPr>
                <w:rFonts w:ascii="Calibri" w:eastAsia="Times New Roman" w:hAnsi="Calibri" w:cs="Calibri"/>
                <w:b/>
                <w:bCs/>
                <w:color w:val="000000"/>
                <w:sz w:val="22"/>
                <w:lang w:val="en-US"/>
              </w:rPr>
              <w:t>bonus</w:t>
            </w:r>
          </w:p>
        </w:tc>
        <w:tc>
          <w:tcPr>
            <w:tcW w:w="1340" w:type="dxa"/>
            <w:tcBorders>
              <w:top w:val="single" w:sz="4" w:space="0" w:color="auto"/>
              <w:left w:val="nil"/>
              <w:bottom w:val="single" w:sz="4" w:space="0" w:color="auto"/>
              <w:right w:val="nil"/>
            </w:tcBorders>
            <w:shd w:val="clear" w:color="auto" w:fill="auto"/>
            <w:noWrap/>
            <w:vAlign w:val="center"/>
            <w:hideMark/>
          </w:tcPr>
          <w:p w14:paraId="4E836E2F" w14:textId="77777777" w:rsidR="00E31939" w:rsidRPr="00E31939" w:rsidRDefault="00E31939" w:rsidP="00E31939">
            <w:pPr>
              <w:spacing w:after="0" w:line="240" w:lineRule="auto"/>
              <w:ind w:firstLine="0"/>
              <w:jc w:val="center"/>
              <w:rPr>
                <w:rFonts w:ascii="Calibri" w:eastAsia="Times New Roman" w:hAnsi="Calibri" w:cs="Calibri"/>
                <w:b/>
                <w:bCs/>
                <w:color w:val="000000"/>
                <w:sz w:val="22"/>
                <w:lang w:val="en-US"/>
              </w:rPr>
            </w:pPr>
            <w:r w:rsidRPr="00E31939">
              <w:rPr>
                <w:rFonts w:ascii="Calibri" w:eastAsia="Times New Roman" w:hAnsi="Calibri" w:cs="Calibri"/>
                <w:b/>
                <w:bCs/>
                <w:color w:val="000000"/>
                <w:sz w:val="22"/>
                <w:lang w:val="en-US"/>
              </w:rPr>
              <w:t>allowances</w:t>
            </w:r>
          </w:p>
        </w:tc>
      </w:tr>
      <w:tr w:rsidR="00E31939" w:rsidRPr="00E31939" w14:paraId="4B4BB139" w14:textId="77777777" w:rsidTr="00142F12">
        <w:trPr>
          <w:trHeight w:val="300"/>
          <w:jc w:val="center"/>
        </w:trPr>
        <w:tc>
          <w:tcPr>
            <w:tcW w:w="1380" w:type="dxa"/>
            <w:tcBorders>
              <w:top w:val="nil"/>
              <w:left w:val="nil"/>
              <w:bottom w:val="nil"/>
              <w:right w:val="nil"/>
            </w:tcBorders>
            <w:shd w:val="clear" w:color="auto" w:fill="auto"/>
            <w:noWrap/>
            <w:hideMark/>
          </w:tcPr>
          <w:p w14:paraId="2812ED5E"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roe</w:t>
            </w:r>
          </w:p>
        </w:tc>
        <w:tc>
          <w:tcPr>
            <w:tcW w:w="1049" w:type="dxa"/>
            <w:tcBorders>
              <w:top w:val="nil"/>
              <w:left w:val="nil"/>
              <w:bottom w:val="nil"/>
              <w:right w:val="nil"/>
            </w:tcBorders>
            <w:shd w:val="clear" w:color="auto" w:fill="auto"/>
            <w:noWrap/>
            <w:hideMark/>
          </w:tcPr>
          <w:p w14:paraId="7928EF5C"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1</w:t>
            </w:r>
          </w:p>
        </w:tc>
        <w:tc>
          <w:tcPr>
            <w:tcW w:w="960" w:type="dxa"/>
            <w:tcBorders>
              <w:top w:val="nil"/>
              <w:left w:val="nil"/>
              <w:bottom w:val="nil"/>
              <w:right w:val="nil"/>
            </w:tcBorders>
            <w:shd w:val="clear" w:color="auto" w:fill="auto"/>
            <w:noWrap/>
            <w:hideMark/>
          </w:tcPr>
          <w:p w14:paraId="32738FD0"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 </w:t>
            </w:r>
          </w:p>
        </w:tc>
        <w:tc>
          <w:tcPr>
            <w:tcW w:w="962" w:type="dxa"/>
            <w:tcBorders>
              <w:top w:val="nil"/>
              <w:left w:val="nil"/>
              <w:bottom w:val="nil"/>
              <w:right w:val="nil"/>
            </w:tcBorders>
            <w:shd w:val="clear" w:color="auto" w:fill="auto"/>
            <w:noWrap/>
            <w:hideMark/>
          </w:tcPr>
          <w:p w14:paraId="1660EDEA"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 </w:t>
            </w:r>
          </w:p>
        </w:tc>
        <w:tc>
          <w:tcPr>
            <w:tcW w:w="960" w:type="dxa"/>
            <w:tcBorders>
              <w:top w:val="nil"/>
              <w:left w:val="nil"/>
              <w:bottom w:val="nil"/>
              <w:right w:val="nil"/>
            </w:tcBorders>
            <w:shd w:val="clear" w:color="auto" w:fill="auto"/>
            <w:noWrap/>
            <w:hideMark/>
          </w:tcPr>
          <w:p w14:paraId="1F93EB33"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 </w:t>
            </w:r>
          </w:p>
        </w:tc>
        <w:tc>
          <w:tcPr>
            <w:tcW w:w="1340" w:type="dxa"/>
            <w:tcBorders>
              <w:top w:val="nil"/>
              <w:left w:val="nil"/>
              <w:bottom w:val="nil"/>
              <w:right w:val="nil"/>
            </w:tcBorders>
            <w:shd w:val="clear" w:color="auto" w:fill="auto"/>
            <w:noWrap/>
            <w:hideMark/>
          </w:tcPr>
          <w:p w14:paraId="08B2B80E"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 </w:t>
            </w:r>
          </w:p>
        </w:tc>
      </w:tr>
      <w:tr w:rsidR="00E31939" w:rsidRPr="00E31939" w14:paraId="44464539" w14:textId="77777777" w:rsidTr="00142F12">
        <w:trPr>
          <w:trHeight w:val="300"/>
          <w:jc w:val="center"/>
        </w:trPr>
        <w:tc>
          <w:tcPr>
            <w:tcW w:w="1380" w:type="dxa"/>
            <w:tcBorders>
              <w:top w:val="nil"/>
              <w:left w:val="nil"/>
              <w:bottom w:val="nil"/>
              <w:right w:val="nil"/>
            </w:tcBorders>
            <w:shd w:val="clear" w:color="auto" w:fill="auto"/>
            <w:noWrap/>
            <w:hideMark/>
          </w:tcPr>
          <w:p w14:paraId="31DAC421"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salary</w:t>
            </w:r>
          </w:p>
        </w:tc>
        <w:tc>
          <w:tcPr>
            <w:tcW w:w="1049" w:type="dxa"/>
            <w:tcBorders>
              <w:top w:val="nil"/>
              <w:left w:val="nil"/>
              <w:bottom w:val="nil"/>
              <w:right w:val="nil"/>
            </w:tcBorders>
            <w:shd w:val="clear" w:color="auto" w:fill="auto"/>
            <w:noWrap/>
            <w:hideMark/>
          </w:tcPr>
          <w:p w14:paraId="30A2F976"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-0.2513</w:t>
            </w:r>
          </w:p>
        </w:tc>
        <w:tc>
          <w:tcPr>
            <w:tcW w:w="960" w:type="dxa"/>
            <w:tcBorders>
              <w:top w:val="nil"/>
              <w:left w:val="nil"/>
              <w:bottom w:val="nil"/>
              <w:right w:val="nil"/>
            </w:tcBorders>
            <w:shd w:val="clear" w:color="auto" w:fill="auto"/>
            <w:noWrap/>
            <w:hideMark/>
          </w:tcPr>
          <w:p w14:paraId="7748E4AD"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1</w:t>
            </w:r>
          </w:p>
        </w:tc>
        <w:tc>
          <w:tcPr>
            <w:tcW w:w="962" w:type="dxa"/>
            <w:tcBorders>
              <w:top w:val="nil"/>
              <w:left w:val="nil"/>
              <w:bottom w:val="nil"/>
              <w:right w:val="nil"/>
            </w:tcBorders>
            <w:shd w:val="clear" w:color="auto" w:fill="auto"/>
            <w:noWrap/>
            <w:hideMark/>
          </w:tcPr>
          <w:p w14:paraId="4279C59F"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p>
        </w:tc>
        <w:tc>
          <w:tcPr>
            <w:tcW w:w="960" w:type="dxa"/>
            <w:tcBorders>
              <w:top w:val="nil"/>
              <w:left w:val="nil"/>
              <w:bottom w:val="nil"/>
              <w:right w:val="nil"/>
            </w:tcBorders>
            <w:shd w:val="clear" w:color="auto" w:fill="auto"/>
            <w:noWrap/>
            <w:hideMark/>
          </w:tcPr>
          <w:p w14:paraId="549F3981" w14:textId="77777777" w:rsidR="00E31939" w:rsidRPr="00E31939" w:rsidRDefault="00E31939" w:rsidP="00E31939">
            <w:pPr>
              <w:spacing w:after="0" w:line="240" w:lineRule="auto"/>
              <w:ind w:firstLine="0"/>
              <w:jc w:val="center"/>
              <w:rPr>
                <w:rFonts w:eastAsia="Times New Roman" w:cs="Times New Roman"/>
                <w:sz w:val="20"/>
                <w:szCs w:val="20"/>
                <w:lang w:val="en-US"/>
              </w:rPr>
            </w:pPr>
          </w:p>
        </w:tc>
        <w:tc>
          <w:tcPr>
            <w:tcW w:w="1340" w:type="dxa"/>
            <w:tcBorders>
              <w:top w:val="nil"/>
              <w:left w:val="nil"/>
              <w:bottom w:val="nil"/>
              <w:right w:val="nil"/>
            </w:tcBorders>
            <w:shd w:val="clear" w:color="auto" w:fill="auto"/>
            <w:noWrap/>
            <w:hideMark/>
          </w:tcPr>
          <w:p w14:paraId="7B6DF468" w14:textId="77777777" w:rsidR="00E31939" w:rsidRPr="00E31939" w:rsidRDefault="00E31939" w:rsidP="00E31939">
            <w:pPr>
              <w:spacing w:after="0" w:line="240" w:lineRule="auto"/>
              <w:ind w:firstLine="0"/>
              <w:jc w:val="center"/>
              <w:rPr>
                <w:rFonts w:eastAsia="Times New Roman" w:cs="Times New Roman"/>
                <w:sz w:val="20"/>
                <w:szCs w:val="20"/>
                <w:lang w:val="en-US"/>
              </w:rPr>
            </w:pPr>
          </w:p>
        </w:tc>
      </w:tr>
      <w:tr w:rsidR="00E31939" w:rsidRPr="00E31939" w14:paraId="719391FC" w14:textId="77777777" w:rsidTr="00142F12">
        <w:trPr>
          <w:trHeight w:val="300"/>
          <w:jc w:val="center"/>
        </w:trPr>
        <w:tc>
          <w:tcPr>
            <w:tcW w:w="1380" w:type="dxa"/>
            <w:tcBorders>
              <w:top w:val="nil"/>
              <w:left w:val="nil"/>
              <w:bottom w:val="nil"/>
              <w:right w:val="nil"/>
            </w:tcBorders>
            <w:shd w:val="clear" w:color="auto" w:fill="auto"/>
            <w:noWrap/>
            <w:hideMark/>
          </w:tcPr>
          <w:p w14:paraId="56DA76E5"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benefits</w:t>
            </w:r>
          </w:p>
        </w:tc>
        <w:tc>
          <w:tcPr>
            <w:tcW w:w="1049" w:type="dxa"/>
            <w:tcBorders>
              <w:top w:val="nil"/>
              <w:left w:val="nil"/>
              <w:bottom w:val="nil"/>
              <w:right w:val="nil"/>
            </w:tcBorders>
            <w:shd w:val="clear" w:color="auto" w:fill="auto"/>
            <w:noWrap/>
            <w:hideMark/>
          </w:tcPr>
          <w:p w14:paraId="16100B35"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0.101</w:t>
            </w:r>
          </w:p>
        </w:tc>
        <w:tc>
          <w:tcPr>
            <w:tcW w:w="960" w:type="dxa"/>
            <w:tcBorders>
              <w:top w:val="nil"/>
              <w:left w:val="nil"/>
              <w:bottom w:val="nil"/>
              <w:right w:val="nil"/>
            </w:tcBorders>
            <w:shd w:val="clear" w:color="auto" w:fill="auto"/>
            <w:noWrap/>
            <w:hideMark/>
          </w:tcPr>
          <w:p w14:paraId="008AA5D5"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0.235</w:t>
            </w:r>
          </w:p>
        </w:tc>
        <w:tc>
          <w:tcPr>
            <w:tcW w:w="962" w:type="dxa"/>
            <w:tcBorders>
              <w:top w:val="nil"/>
              <w:left w:val="nil"/>
              <w:bottom w:val="nil"/>
              <w:right w:val="nil"/>
            </w:tcBorders>
            <w:shd w:val="clear" w:color="auto" w:fill="auto"/>
            <w:noWrap/>
            <w:hideMark/>
          </w:tcPr>
          <w:p w14:paraId="62088AFC"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1</w:t>
            </w:r>
          </w:p>
        </w:tc>
        <w:tc>
          <w:tcPr>
            <w:tcW w:w="960" w:type="dxa"/>
            <w:tcBorders>
              <w:top w:val="nil"/>
              <w:left w:val="nil"/>
              <w:bottom w:val="nil"/>
              <w:right w:val="nil"/>
            </w:tcBorders>
            <w:shd w:val="clear" w:color="auto" w:fill="auto"/>
            <w:noWrap/>
            <w:hideMark/>
          </w:tcPr>
          <w:p w14:paraId="7CC8BEA2"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p>
        </w:tc>
        <w:tc>
          <w:tcPr>
            <w:tcW w:w="1340" w:type="dxa"/>
            <w:tcBorders>
              <w:top w:val="nil"/>
              <w:left w:val="nil"/>
              <w:bottom w:val="nil"/>
              <w:right w:val="nil"/>
            </w:tcBorders>
            <w:shd w:val="clear" w:color="auto" w:fill="auto"/>
            <w:noWrap/>
            <w:hideMark/>
          </w:tcPr>
          <w:p w14:paraId="3C465765" w14:textId="77777777" w:rsidR="00E31939" w:rsidRPr="00E31939" w:rsidRDefault="00E31939" w:rsidP="00E31939">
            <w:pPr>
              <w:spacing w:after="0" w:line="240" w:lineRule="auto"/>
              <w:ind w:firstLine="0"/>
              <w:jc w:val="center"/>
              <w:rPr>
                <w:rFonts w:eastAsia="Times New Roman" w:cs="Times New Roman"/>
                <w:sz w:val="20"/>
                <w:szCs w:val="20"/>
                <w:lang w:val="en-US"/>
              </w:rPr>
            </w:pPr>
          </w:p>
        </w:tc>
      </w:tr>
      <w:tr w:rsidR="00E31939" w:rsidRPr="00E31939" w14:paraId="10469755" w14:textId="77777777" w:rsidTr="00142F12">
        <w:trPr>
          <w:trHeight w:val="300"/>
          <w:jc w:val="center"/>
        </w:trPr>
        <w:tc>
          <w:tcPr>
            <w:tcW w:w="1380" w:type="dxa"/>
            <w:tcBorders>
              <w:top w:val="nil"/>
              <w:left w:val="nil"/>
              <w:bottom w:val="nil"/>
              <w:right w:val="nil"/>
            </w:tcBorders>
            <w:shd w:val="clear" w:color="auto" w:fill="auto"/>
            <w:noWrap/>
            <w:hideMark/>
          </w:tcPr>
          <w:p w14:paraId="455457A6"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bonus</w:t>
            </w:r>
          </w:p>
        </w:tc>
        <w:tc>
          <w:tcPr>
            <w:tcW w:w="1049" w:type="dxa"/>
            <w:tcBorders>
              <w:top w:val="nil"/>
              <w:left w:val="nil"/>
              <w:bottom w:val="nil"/>
              <w:right w:val="nil"/>
            </w:tcBorders>
            <w:shd w:val="clear" w:color="auto" w:fill="auto"/>
            <w:noWrap/>
            <w:hideMark/>
          </w:tcPr>
          <w:p w14:paraId="4FB352BF"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0.4737**</w:t>
            </w:r>
          </w:p>
        </w:tc>
        <w:tc>
          <w:tcPr>
            <w:tcW w:w="960" w:type="dxa"/>
            <w:tcBorders>
              <w:top w:val="nil"/>
              <w:left w:val="nil"/>
              <w:bottom w:val="nil"/>
              <w:right w:val="nil"/>
            </w:tcBorders>
            <w:shd w:val="clear" w:color="auto" w:fill="auto"/>
            <w:noWrap/>
            <w:hideMark/>
          </w:tcPr>
          <w:p w14:paraId="2D7A4241"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0.086</w:t>
            </w:r>
          </w:p>
        </w:tc>
        <w:tc>
          <w:tcPr>
            <w:tcW w:w="962" w:type="dxa"/>
            <w:tcBorders>
              <w:top w:val="nil"/>
              <w:left w:val="nil"/>
              <w:bottom w:val="nil"/>
              <w:right w:val="nil"/>
            </w:tcBorders>
            <w:shd w:val="clear" w:color="auto" w:fill="auto"/>
            <w:noWrap/>
            <w:hideMark/>
          </w:tcPr>
          <w:p w14:paraId="464C7B6C"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0.2251</w:t>
            </w:r>
          </w:p>
        </w:tc>
        <w:tc>
          <w:tcPr>
            <w:tcW w:w="960" w:type="dxa"/>
            <w:tcBorders>
              <w:top w:val="nil"/>
              <w:left w:val="nil"/>
              <w:bottom w:val="nil"/>
              <w:right w:val="nil"/>
            </w:tcBorders>
            <w:shd w:val="clear" w:color="auto" w:fill="auto"/>
            <w:noWrap/>
            <w:hideMark/>
          </w:tcPr>
          <w:p w14:paraId="7F27C6D5"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1</w:t>
            </w:r>
          </w:p>
        </w:tc>
        <w:tc>
          <w:tcPr>
            <w:tcW w:w="1340" w:type="dxa"/>
            <w:tcBorders>
              <w:top w:val="nil"/>
              <w:left w:val="nil"/>
              <w:bottom w:val="nil"/>
              <w:right w:val="nil"/>
            </w:tcBorders>
            <w:shd w:val="clear" w:color="auto" w:fill="auto"/>
            <w:noWrap/>
            <w:hideMark/>
          </w:tcPr>
          <w:p w14:paraId="3403C919"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p>
        </w:tc>
      </w:tr>
      <w:tr w:rsidR="00E31939" w:rsidRPr="00E31939" w14:paraId="75B45BE6" w14:textId="77777777" w:rsidTr="00142F12">
        <w:trPr>
          <w:trHeight w:val="300"/>
          <w:jc w:val="center"/>
        </w:trPr>
        <w:tc>
          <w:tcPr>
            <w:tcW w:w="1380" w:type="dxa"/>
            <w:tcBorders>
              <w:top w:val="nil"/>
              <w:left w:val="nil"/>
              <w:bottom w:val="single" w:sz="4" w:space="0" w:color="auto"/>
              <w:right w:val="nil"/>
            </w:tcBorders>
            <w:shd w:val="clear" w:color="auto" w:fill="auto"/>
            <w:noWrap/>
            <w:hideMark/>
          </w:tcPr>
          <w:p w14:paraId="7F2843C9"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allowances</w:t>
            </w:r>
          </w:p>
        </w:tc>
        <w:tc>
          <w:tcPr>
            <w:tcW w:w="1049" w:type="dxa"/>
            <w:tcBorders>
              <w:top w:val="nil"/>
              <w:left w:val="nil"/>
              <w:bottom w:val="single" w:sz="4" w:space="0" w:color="auto"/>
              <w:right w:val="nil"/>
            </w:tcBorders>
            <w:shd w:val="clear" w:color="auto" w:fill="auto"/>
            <w:noWrap/>
            <w:hideMark/>
          </w:tcPr>
          <w:p w14:paraId="46BD60CB"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0.0342</w:t>
            </w:r>
          </w:p>
        </w:tc>
        <w:tc>
          <w:tcPr>
            <w:tcW w:w="960" w:type="dxa"/>
            <w:tcBorders>
              <w:top w:val="nil"/>
              <w:left w:val="nil"/>
              <w:bottom w:val="single" w:sz="4" w:space="0" w:color="auto"/>
              <w:right w:val="nil"/>
            </w:tcBorders>
            <w:shd w:val="clear" w:color="auto" w:fill="auto"/>
            <w:noWrap/>
            <w:hideMark/>
          </w:tcPr>
          <w:p w14:paraId="6A371F70"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-0.0819</w:t>
            </w:r>
          </w:p>
        </w:tc>
        <w:tc>
          <w:tcPr>
            <w:tcW w:w="962" w:type="dxa"/>
            <w:tcBorders>
              <w:top w:val="nil"/>
              <w:left w:val="nil"/>
              <w:bottom w:val="single" w:sz="4" w:space="0" w:color="auto"/>
              <w:right w:val="nil"/>
            </w:tcBorders>
            <w:shd w:val="clear" w:color="auto" w:fill="auto"/>
            <w:noWrap/>
            <w:hideMark/>
          </w:tcPr>
          <w:p w14:paraId="5FBE07C4"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0.0534</w:t>
            </w:r>
          </w:p>
        </w:tc>
        <w:tc>
          <w:tcPr>
            <w:tcW w:w="960" w:type="dxa"/>
            <w:tcBorders>
              <w:top w:val="nil"/>
              <w:left w:val="nil"/>
              <w:bottom w:val="single" w:sz="4" w:space="0" w:color="auto"/>
              <w:right w:val="nil"/>
            </w:tcBorders>
            <w:shd w:val="clear" w:color="auto" w:fill="auto"/>
            <w:noWrap/>
            <w:hideMark/>
          </w:tcPr>
          <w:p w14:paraId="183CE29E"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0.1062</w:t>
            </w:r>
          </w:p>
        </w:tc>
        <w:tc>
          <w:tcPr>
            <w:tcW w:w="1340" w:type="dxa"/>
            <w:tcBorders>
              <w:top w:val="nil"/>
              <w:left w:val="nil"/>
              <w:bottom w:val="single" w:sz="4" w:space="0" w:color="auto"/>
              <w:right w:val="nil"/>
            </w:tcBorders>
            <w:shd w:val="clear" w:color="auto" w:fill="auto"/>
            <w:noWrap/>
            <w:hideMark/>
          </w:tcPr>
          <w:p w14:paraId="72CE76E6" w14:textId="77777777" w:rsidR="00E31939" w:rsidRPr="00E31939" w:rsidRDefault="00E31939" w:rsidP="00E31939">
            <w:pPr>
              <w:spacing w:after="0" w:line="240" w:lineRule="auto"/>
              <w:ind w:firstLine="0"/>
              <w:jc w:val="center"/>
              <w:rPr>
                <w:rFonts w:ascii="Calibri" w:eastAsia="Times New Roman" w:hAnsi="Calibri" w:cs="Calibri"/>
                <w:color w:val="000000"/>
                <w:sz w:val="22"/>
                <w:lang w:val="en-US"/>
              </w:rPr>
            </w:pPr>
            <w:r w:rsidRPr="00E31939">
              <w:rPr>
                <w:rFonts w:ascii="Calibri" w:eastAsia="Times New Roman" w:hAnsi="Calibri" w:cs="Calibri"/>
                <w:color w:val="000000"/>
                <w:sz w:val="22"/>
                <w:lang w:val="en-US"/>
              </w:rPr>
              <w:t>1</w:t>
            </w:r>
          </w:p>
        </w:tc>
      </w:tr>
    </w:tbl>
    <w:p w14:paraId="4A78CBF7" w14:textId="2E098E06" w:rsidR="00904E30" w:rsidRDefault="00904E30" w:rsidP="00142F12">
      <w:pPr>
        <w:pStyle w:val="Caption"/>
        <w:spacing w:before="240"/>
        <w:ind w:firstLine="0"/>
        <w:jc w:val="left"/>
        <w:rPr>
          <w:rFonts w:cs="Times New Roman"/>
          <w:sz w:val="20"/>
          <w:szCs w:val="20"/>
        </w:rPr>
      </w:pPr>
      <w:r w:rsidRPr="00AE0B3D">
        <w:rPr>
          <w:rFonts w:cs="Times New Roman"/>
          <w:sz w:val="20"/>
          <w:szCs w:val="20"/>
        </w:rPr>
        <w:t xml:space="preserve">*. Correlation is significant at the </w:t>
      </w:r>
      <w:r w:rsidR="00E05EE6">
        <w:rPr>
          <w:rFonts w:cs="Times New Roman"/>
          <w:sz w:val="20"/>
          <w:szCs w:val="20"/>
        </w:rPr>
        <w:t xml:space="preserve">0.10 </w:t>
      </w:r>
      <w:r w:rsidR="00E05EE6" w:rsidRPr="00AE0B3D">
        <w:rPr>
          <w:rFonts w:cs="Times New Roman"/>
          <w:sz w:val="20"/>
          <w:szCs w:val="20"/>
        </w:rPr>
        <w:t>level</w:t>
      </w:r>
      <w:r w:rsidRPr="00AE0B3D">
        <w:rPr>
          <w:rFonts w:cs="Times New Roman"/>
          <w:sz w:val="20"/>
          <w:szCs w:val="20"/>
        </w:rPr>
        <w:t xml:space="preserve"> (2-tailed).</w:t>
      </w:r>
    </w:p>
    <w:p w14:paraId="1735ACFB" w14:textId="3A8D5A49" w:rsidR="00904E30" w:rsidRPr="002E5A40" w:rsidRDefault="00904E30" w:rsidP="00142F12">
      <w:pPr>
        <w:pStyle w:val="Caption"/>
        <w:spacing w:before="240"/>
        <w:ind w:firstLine="0"/>
        <w:jc w:val="left"/>
      </w:pPr>
      <w:r w:rsidRPr="00AE0B3D">
        <w:rPr>
          <w:rFonts w:cs="Times New Roman"/>
          <w:sz w:val="20"/>
          <w:szCs w:val="20"/>
        </w:rPr>
        <w:t>*</w:t>
      </w:r>
      <w:r>
        <w:rPr>
          <w:rFonts w:cs="Times New Roman"/>
          <w:sz w:val="20"/>
          <w:szCs w:val="20"/>
        </w:rPr>
        <w:t>*</w:t>
      </w:r>
      <w:r w:rsidRPr="00AE0B3D">
        <w:rPr>
          <w:rFonts w:cs="Times New Roman"/>
          <w:sz w:val="20"/>
          <w:szCs w:val="20"/>
        </w:rPr>
        <w:t xml:space="preserve">. Correlation is significant at the </w:t>
      </w:r>
      <w:r w:rsidR="00E05EE6">
        <w:rPr>
          <w:rFonts w:cs="Times New Roman"/>
          <w:sz w:val="20"/>
          <w:szCs w:val="20"/>
        </w:rPr>
        <w:t xml:space="preserve">0.05 </w:t>
      </w:r>
      <w:r w:rsidR="00E05EE6" w:rsidRPr="00AE0B3D">
        <w:rPr>
          <w:rFonts w:cs="Times New Roman"/>
          <w:sz w:val="20"/>
          <w:szCs w:val="20"/>
        </w:rPr>
        <w:t>level</w:t>
      </w:r>
      <w:r w:rsidRPr="00AE0B3D">
        <w:rPr>
          <w:rFonts w:cs="Times New Roman"/>
          <w:sz w:val="20"/>
          <w:szCs w:val="20"/>
        </w:rPr>
        <w:t xml:space="preserve"> (2-tailed).</w:t>
      </w:r>
    </w:p>
    <w:p w14:paraId="23367A9F" w14:textId="77777777" w:rsidR="00E31939" w:rsidRDefault="00E31939" w:rsidP="002E5A40">
      <w:pPr>
        <w:spacing w:after="0"/>
      </w:pPr>
    </w:p>
    <w:p w14:paraId="2306E03D" w14:textId="5712607A" w:rsidR="00EC5420" w:rsidRDefault="001276CA" w:rsidP="004E4D05">
      <w:pPr>
        <w:rPr>
          <w:rFonts w:cs="Times New Roman"/>
          <w:szCs w:val="24"/>
        </w:rPr>
      </w:pPr>
      <w:r w:rsidRPr="00AE0B3D">
        <w:t xml:space="preserve">The main null hypothesis of the research was “Management remuneration strategies has no significant </w:t>
      </w:r>
      <w:r w:rsidRPr="00AE0B3D">
        <w:rPr>
          <w:rFonts w:cs="Times New Roman"/>
        </w:rPr>
        <w:t>influence</w:t>
      </w:r>
      <w:r w:rsidRPr="00AE0B3D">
        <w:t xml:space="preserve"> on the financial performance of public companies listed in the </w:t>
      </w:r>
      <w:r w:rsidRPr="00AE0B3D">
        <w:rPr>
          <w:rFonts w:cs="Times New Roman"/>
          <w:szCs w:val="24"/>
        </w:rPr>
        <w:t xml:space="preserve">Nairobi securities exchange”. The </w:t>
      </w:r>
      <w:r w:rsidR="0013032C">
        <w:rPr>
          <w:rFonts w:cs="Times New Roman"/>
          <w:szCs w:val="24"/>
        </w:rPr>
        <w:t>Spearman</w:t>
      </w:r>
      <w:r w:rsidR="00E05EE6">
        <w:rPr>
          <w:rFonts w:cs="Times New Roman"/>
          <w:szCs w:val="24"/>
        </w:rPr>
        <w:t>’</w:t>
      </w:r>
      <w:r w:rsidR="0013032C">
        <w:rPr>
          <w:rFonts w:cs="Times New Roman"/>
          <w:szCs w:val="24"/>
        </w:rPr>
        <w:t xml:space="preserve">s </w:t>
      </w:r>
      <w:r w:rsidR="002F7B52">
        <w:rPr>
          <w:rFonts w:cs="Times New Roman"/>
          <w:szCs w:val="24"/>
        </w:rPr>
        <w:t>correlation analysis</w:t>
      </w:r>
      <w:r w:rsidR="002F7B52" w:rsidRPr="00AE0B3D">
        <w:rPr>
          <w:rFonts w:cs="Times New Roman"/>
          <w:szCs w:val="24"/>
        </w:rPr>
        <w:t xml:space="preserve"> </w:t>
      </w:r>
      <w:r w:rsidRPr="00AE0B3D">
        <w:rPr>
          <w:rFonts w:cs="Times New Roman"/>
          <w:szCs w:val="24"/>
        </w:rPr>
        <w:t>model found a significant influence of management remuneration</w:t>
      </w:r>
      <w:r w:rsidR="00813321">
        <w:rPr>
          <w:rFonts w:cs="Times New Roman"/>
          <w:szCs w:val="24"/>
        </w:rPr>
        <w:t xml:space="preserve"> strategies</w:t>
      </w:r>
      <w:r w:rsidRPr="00AE0B3D">
        <w:rPr>
          <w:rFonts w:cs="Times New Roman"/>
          <w:szCs w:val="24"/>
        </w:rPr>
        <w:t xml:space="preserve"> </w:t>
      </w:r>
      <w:r w:rsidR="00F57BDA">
        <w:rPr>
          <w:rFonts w:cs="Times New Roman"/>
          <w:szCs w:val="24"/>
        </w:rPr>
        <w:t xml:space="preserve">that is bonus </w:t>
      </w:r>
      <w:r w:rsidRPr="00AE0B3D">
        <w:rPr>
          <w:rFonts w:cs="Times New Roman"/>
          <w:szCs w:val="24"/>
        </w:rPr>
        <w:t xml:space="preserve">on the financial performance (ROE and </w:t>
      </w:r>
      <w:r w:rsidR="0026132E">
        <w:rPr>
          <w:rFonts w:cs="Times New Roman"/>
          <w:szCs w:val="24"/>
        </w:rPr>
        <w:t>ROA</w:t>
      </w:r>
      <w:r w:rsidRPr="00AE0B3D">
        <w:rPr>
          <w:rFonts w:cs="Times New Roman"/>
          <w:szCs w:val="24"/>
        </w:rPr>
        <w:t>)</w:t>
      </w:r>
      <w:r w:rsidR="00813321">
        <w:rPr>
          <w:rFonts w:cs="Times New Roman"/>
          <w:szCs w:val="24"/>
        </w:rPr>
        <w:t xml:space="preserve"> of public listed companies</w:t>
      </w:r>
      <w:r w:rsidRPr="00AE0B3D">
        <w:rPr>
          <w:rFonts w:cs="Times New Roman"/>
          <w:szCs w:val="24"/>
        </w:rPr>
        <w:t>. The null hypothesis thus is rejected and the alternative hypothesis “</w:t>
      </w:r>
      <w:r w:rsidRPr="00AE0B3D">
        <w:t xml:space="preserve">Management remuneration strategies has significant </w:t>
      </w:r>
      <w:r w:rsidRPr="00AE0B3D">
        <w:rPr>
          <w:rFonts w:cs="Times New Roman"/>
        </w:rPr>
        <w:t>influence</w:t>
      </w:r>
      <w:r w:rsidRPr="00AE0B3D">
        <w:t xml:space="preserve"> on the financial performance of public companies listed in the </w:t>
      </w:r>
      <w:r w:rsidRPr="00AE0B3D">
        <w:rPr>
          <w:rFonts w:cs="Times New Roman"/>
          <w:szCs w:val="24"/>
        </w:rPr>
        <w:t xml:space="preserve">Nairobi securities exchange” is adopted. </w:t>
      </w:r>
    </w:p>
    <w:p w14:paraId="0A9DC5C5" w14:textId="6BB0A7AE" w:rsidR="003265D2" w:rsidRDefault="00FE6439" w:rsidP="006E703E">
      <w:pPr>
        <w:rPr>
          <w:rFonts w:cs="Times New Roman"/>
        </w:rPr>
      </w:pPr>
      <w:r>
        <w:rPr>
          <w:rFonts w:cs="Times New Roman"/>
          <w:szCs w:val="24"/>
        </w:rPr>
        <w:t xml:space="preserve">The finding of the study supported that the finding of other </w:t>
      </w:r>
      <w:r w:rsidR="00DE3069">
        <w:rPr>
          <w:rFonts w:cs="Times New Roman"/>
          <w:szCs w:val="24"/>
        </w:rPr>
        <w:t>studies and</w:t>
      </w:r>
      <w:r>
        <w:rPr>
          <w:rFonts w:cs="Times New Roman"/>
          <w:szCs w:val="24"/>
        </w:rPr>
        <w:t xml:space="preserve"> gaps in literature review.</w:t>
      </w:r>
      <w:r w:rsidR="00DE3069">
        <w:rPr>
          <w:rFonts w:cs="Times New Roman"/>
          <w:szCs w:val="24"/>
        </w:rPr>
        <w:t xml:space="preserve"> </w:t>
      </w:r>
      <w:r w:rsidR="001A20C5" w:rsidRPr="00F7786D">
        <w:rPr>
          <w:rFonts w:cs="Times New Roman"/>
          <w:szCs w:val="24"/>
        </w:rPr>
        <w:t xml:space="preserve">From the </w:t>
      </w:r>
      <w:r w:rsidR="001A20C5">
        <w:rPr>
          <w:rFonts w:cs="Times New Roman"/>
          <w:szCs w:val="24"/>
        </w:rPr>
        <w:t>S</w:t>
      </w:r>
      <w:r w:rsidR="001A20C5" w:rsidRPr="00F7786D">
        <w:rPr>
          <w:rFonts w:cs="Times New Roman"/>
          <w:szCs w:val="24"/>
        </w:rPr>
        <w:t xml:space="preserve">pearman’s correlation analysis, bonus have been found to be positively correlated with the ROE and ROA. The bonus </w:t>
      </w:r>
      <w:proofErr w:type="gramStart"/>
      <w:r w:rsidR="001A20C5">
        <w:rPr>
          <w:rFonts w:cs="Times New Roman"/>
          <w:szCs w:val="24"/>
        </w:rPr>
        <w:t>affect</w:t>
      </w:r>
      <w:proofErr w:type="gramEnd"/>
      <w:r w:rsidR="001A20C5">
        <w:rPr>
          <w:rFonts w:cs="Times New Roman"/>
          <w:szCs w:val="24"/>
        </w:rPr>
        <w:t xml:space="preserve"> </w:t>
      </w:r>
      <w:r w:rsidR="001A20C5" w:rsidRPr="00F7786D">
        <w:rPr>
          <w:rFonts w:cs="Times New Roman"/>
          <w:szCs w:val="24"/>
        </w:rPr>
        <w:t xml:space="preserve">the financial performance of the </w:t>
      </w:r>
      <w:r w:rsidR="00DF4B3B">
        <w:rPr>
          <w:rFonts w:cs="Times New Roman"/>
          <w:szCs w:val="24"/>
        </w:rPr>
        <w:t xml:space="preserve">public </w:t>
      </w:r>
      <w:r w:rsidR="001A20C5" w:rsidRPr="00F7786D">
        <w:rPr>
          <w:rFonts w:cs="Times New Roman"/>
          <w:szCs w:val="24"/>
        </w:rPr>
        <w:t>listed organisation positively.</w:t>
      </w:r>
      <w:r w:rsidR="001A20C5">
        <w:rPr>
          <w:rFonts w:cs="Times New Roman"/>
          <w:szCs w:val="24"/>
        </w:rPr>
        <w:t xml:space="preserve"> </w:t>
      </w:r>
      <w:r w:rsidR="00B47DA6">
        <w:rPr>
          <w:rFonts w:cs="Times New Roman"/>
          <w:szCs w:val="24"/>
        </w:rPr>
        <w:t xml:space="preserve">The finding concurs with the study of </w:t>
      </w:r>
      <w:r w:rsidR="00B47DA6" w:rsidRPr="00AE0B3D">
        <w:rPr>
          <w:rFonts w:cs="Times New Roman"/>
          <w:noProof/>
        </w:rPr>
        <w:t xml:space="preserve">Nyberg, et al. </w:t>
      </w:r>
      <w:r w:rsidR="00B47DA6" w:rsidRPr="00AE0B3D">
        <w:rPr>
          <w:rFonts w:cs="Times New Roman"/>
          <w:noProof/>
        </w:rPr>
        <w:fldChar w:fldCharType="begin" w:fldLock="1"/>
      </w:r>
      <w:r w:rsidR="00B47DA6" w:rsidRPr="00AE0B3D">
        <w:rPr>
          <w:rFonts w:cs="Times New Roman"/>
          <w:noProof/>
        </w:rPr>
        <w:instrText>ADDIN CSL_CITATION {"citationItems":[{"id":"ITEM-1","itemData":{"DOI":"10.1177/0149206313515520","ISBN":"0149206313","ISSN":"0149-2063","abstract":"Although pay-for-performance’s potential effect on employee performance is a compelling issue, understanding this dynamic has been constrained by narrow approaches to pay-for-performance conceptualization, measurement, and surrounding conditions. In response, we take a more nuanced perspective by integrating fundamental principles of economics and psychology to identify and incorporate employee characteristics, job characteristics, pay system characteristics, and pay system experience into a contingency model of the pay-for-performance–future performance relationship. We test the role that these four key contextual factors play in pay-for-performance effectiveness using 11,939 employees over a 5-year period. We find that merit and bonus pay, as well as their multiyear trends, are positively associated with future employee performance. Furthermore, our findings indicate that, contrary to what traditional economic perspectives would predict, bonus pay may have a stronger effect on future performance than merit pay. Our results also support a contingency approach to pay-for-performance’s impact on future employee performance, as we find that merit pay and bonus pay can substitute for each other and that the strength of pay-for-performance’s effect is a function of employee tenure, the pay-for-performance trend over time, and job type (presumably due to differences in the measurability of employee performance across jobs). [ABSTRACT FROM AUTHOR]","author":[{"dropping-particle":"","family":"Nyberg","given":"Anthony J.","non-dropping-particle":"","parse-names":false,"suffix":""},{"dropping-particle":"","family":"Pieper","given":"Jenna R.","non-dropping-particle":"","parse-names":false,"suffix":""},{"dropping-particle":"","family":"Trevor","given":"Charlie O.","non-dropping-particle":"","parse-names":false,"suffix":""}],"container-title":"Journal of Management","id":"ITEM-1","issue":"7","issued":{"date-parts":[["2016"]]},"number-of-pages":"1753-1783","title":"Pay-for-Performance’s Effect on Future Employee Performance : Integrating Psychological and Economic Principles Toward a Contingency Perspective","type":"book","volume":"42"},"uris":["http://www.mendeley.com/documents/?uuid=56309dfe-0c16-4a2f-ab46-e044f179ae2c"]}],"mendeley":{"formattedCitation":"(Nyberg et al., 2016)","manualFormatting":"(2016)","plainTextFormattedCitation":"(Nyberg et al., 2016)","previouslyFormattedCitation":"(Nyberg et al., 2016)"},"properties":{"noteIndex":0},"schema":"https://github.com/citation-style-language/schema/raw/master/csl-citation.json"}</w:instrText>
      </w:r>
      <w:r w:rsidR="00B47DA6" w:rsidRPr="00AE0B3D">
        <w:rPr>
          <w:rFonts w:cs="Times New Roman"/>
          <w:noProof/>
        </w:rPr>
        <w:fldChar w:fldCharType="separate"/>
      </w:r>
      <w:r w:rsidR="00B47DA6" w:rsidRPr="00AE0B3D">
        <w:rPr>
          <w:rFonts w:cs="Times New Roman"/>
          <w:noProof/>
        </w:rPr>
        <w:t>(2016)</w:t>
      </w:r>
      <w:r w:rsidR="00B47DA6" w:rsidRPr="00AE0B3D">
        <w:rPr>
          <w:rFonts w:cs="Times New Roman"/>
          <w:noProof/>
        </w:rPr>
        <w:fldChar w:fldCharType="end"/>
      </w:r>
      <w:r w:rsidR="00B47DA6" w:rsidRPr="00AE0B3D">
        <w:rPr>
          <w:rFonts w:cs="Times New Roman"/>
          <w:noProof/>
        </w:rPr>
        <w:t xml:space="preserve"> who found that bonus was positive correlated with the financial perfomance of </w:t>
      </w:r>
      <w:r w:rsidR="00B47DA6">
        <w:rPr>
          <w:rFonts w:cs="Times New Roman"/>
          <w:noProof/>
        </w:rPr>
        <w:t>insurance organisations in USA</w:t>
      </w:r>
      <w:r w:rsidR="00697C5D">
        <w:rPr>
          <w:rFonts w:cs="Times New Roman"/>
          <w:noProof/>
        </w:rPr>
        <w:t xml:space="preserve">. </w:t>
      </w:r>
      <w:r w:rsidR="000E0CB2">
        <w:rPr>
          <w:rFonts w:cs="Times New Roman"/>
          <w:szCs w:val="24"/>
        </w:rPr>
        <w:t xml:space="preserve">The effect could be explained by the findings of </w:t>
      </w:r>
      <w:r w:rsidR="00DE3069">
        <w:rPr>
          <w:rFonts w:cs="Times New Roman"/>
          <w:noProof/>
          <w:szCs w:val="24"/>
        </w:rPr>
        <w:t>Sandhya and</w:t>
      </w:r>
      <w:r w:rsidR="00DE3069" w:rsidRPr="00DE3069">
        <w:rPr>
          <w:rFonts w:cs="Times New Roman"/>
          <w:noProof/>
          <w:szCs w:val="24"/>
        </w:rPr>
        <w:t xml:space="preserve"> Kumar</w:t>
      </w:r>
      <w:r>
        <w:rPr>
          <w:rFonts w:cs="Times New Roman"/>
          <w:szCs w:val="24"/>
        </w:rPr>
        <w:t xml:space="preserve"> </w:t>
      </w:r>
      <w:r>
        <w:rPr>
          <w:rFonts w:cs="Times New Roman"/>
          <w:szCs w:val="24"/>
        </w:rPr>
        <w:fldChar w:fldCharType="begin" w:fldLock="1"/>
      </w:r>
      <w:r w:rsidR="003265D2">
        <w:rPr>
          <w:rFonts w:cs="Times New Roman"/>
          <w:szCs w:val="24"/>
        </w:rPr>
        <w:instrText>ADDIN CSL_CITATION {"citationItems":[{"id":"ITEM-1","itemData":{"DOI":"10.17485/ijst/2011/v4i12/30326","ISSN":"09745645","abstract":"Employee motivation is one of the important factors that can help the employer to improve employee and organizational performance. Different theories of motivation are discussed. The paper concludes that employee retention can be practiced better by motivating the employees in the following aspects: Open communication, Employee reward program, Career development program, Performance based bonus, Recreation facilities, Gifts at some occasions.","author":[{"dropping-particle":"","family":"Sandhya","given":"K","non-dropping-particle":"","parse-names":false,"suffix":""},{"dropping-particle":"","family":"Kumar","given":"Pradeep D","non-dropping-particle":"","parse-names":false,"suffix":""}],"container-title":"Indian Journal of Science and Technology","id":"ITEM-1","issue":"12","issued":{"date-parts":[["2011"]]},"page":"1778-1782","title":"Employee retention by motivation","type":"article-journal","volume":"4"},"uris":["http://www.mendeley.com/documents/?uuid=d0d0db38-47af-4e27-8413-ffec70a6b78a"]}],"mendeley":{"formattedCitation":"(Sandhya &amp; Kumar, 2011)","manualFormatting":"( 2011)","plainTextFormattedCitation":"(Sandhya &amp; Kumar, 2011)","previouslyFormattedCitation":"(Sandhya &amp; Kumar, 2011)"},"properties":{"noteIndex":0},"schema":"https://github.com/citation-style-language/schema/raw/master/csl-citation.json"}</w:instrText>
      </w:r>
      <w:r>
        <w:rPr>
          <w:rFonts w:cs="Times New Roman"/>
          <w:szCs w:val="24"/>
        </w:rPr>
        <w:fldChar w:fldCharType="separate"/>
      </w:r>
      <w:r w:rsidR="00DE3069" w:rsidRPr="00DE3069">
        <w:rPr>
          <w:rFonts w:cs="Times New Roman"/>
          <w:noProof/>
          <w:szCs w:val="24"/>
        </w:rPr>
        <w:t>( 2011)</w:t>
      </w:r>
      <w:r>
        <w:rPr>
          <w:rFonts w:cs="Times New Roman"/>
          <w:szCs w:val="24"/>
        </w:rPr>
        <w:fldChar w:fldCharType="end"/>
      </w:r>
      <w:r w:rsidR="00DE3069">
        <w:rPr>
          <w:rFonts w:cs="Times New Roman"/>
          <w:szCs w:val="24"/>
        </w:rPr>
        <w:t xml:space="preserve"> </w:t>
      </w:r>
      <w:r w:rsidR="007E2C66">
        <w:rPr>
          <w:rFonts w:cs="Times New Roman"/>
          <w:szCs w:val="24"/>
        </w:rPr>
        <w:t xml:space="preserve">who </w:t>
      </w:r>
      <w:r w:rsidR="000A4709">
        <w:rPr>
          <w:rFonts w:cs="Times New Roman"/>
          <w:szCs w:val="24"/>
        </w:rPr>
        <w:t xml:space="preserve">reported that bonus that is dependent on company profit influence improvement the performance of employees and in turn influence the performance of the organisation. </w:t>
      </w:r>
      <w:r w:rsidR="007E2C66">
        <w:rPr>
          <w:rFonts w:cs="Times New Roman"/>
          <w:szCs w:val="24"/>
        </w:rPr>
        <w:t>The effect can also be explained by finding</w:t>
      </w:r>
      <w:r w:rsidR="007957EC">
        <w:rPr>
          <w:rFonts w:cs="Times New Roman"/>
          <w:szCs w:val="24"/>
        </w:rPr>
        <w:t>s</w:t>
      </w:r>
      <w:r w:rsidR="007E2C66">
        <w:rPr>
          <w:rFonts w:cs="Times New Roman"/>
          <w:szCs w:val="24"/>
        </w:rPr>
        <w:t xml:space="preserve"> of </w:t>
      </w:r>
      <w:r w:rsidR="006E703E" w:rsidRPr="00AE0B3D">
        <w:rPr>
          <w:rFonts w:cs="Times New Roman"/>
          <w:noProof/>
        </w:rPr>
        <w:t xml:space="preserve">Subramony </w:t>
      </w:r>
      <w:r w:rsidR="006E703E" w:rsidRPr="00AE0B3D">
        <w:rPr>
          <w:rFonts w:cs="Times New Roman"/>
          <w:noProof/>
        </w:rPr>
        <w:fldChar w:fldCharType="begin" w:fldLock="1"/>
      </w:r>
      <w:r w:rsidR="006E703E" w:rsidRPr="00AE0B3D">
        <w:rPr>
          <w:rFonts w:cs="Times New Roman"/>
          <w:noProof/>
        </w:rPr>
        <w:instrText>ADDIN CSL_CITATION {"citationItems":[{"id":"ITEM-1","itemData":{"DOI":"10.1002/hrm","ISBN":"9780708713815","ISSN":"00782696","PMID":"21138203","abstract":"Organizations are increasingly required to improve their ability to enhance employees’ support or acceptance for change initiatives. In studies that have examined the conditions in which employees support organizational change, researchers have focused on various attitudinal constructs that rep- resent employees’ attitudes toward organizational change. The constructs, which frequently serve as key variables in these studies, include readiness for change, commitment to change, openness to change, and cynicism about organizational change. These constructs have distinct meanings and empha- ses and therefore they can provide us with different information regarding employees’ evaluation of and concerns about particular change initiatives. In this literature review, the author discusses how the constructs are defi ned in the organizational change literature and synthesizes the antecedents of each construct. Based on the discussion, it is proposed that the constructs are susceptible to situational variables, and may change over time as individuals’ experiences change; therefore, they are better conceptualized as states than as personality traits.","author":[{"dropping-particle":"","family":"Subramony","given":"Mahesh","non-dropping-particle":"","parse-names":false,"suffix":""}],"container-title":"Human resource management","id":"ITEM-1","issue":"5","issued":{"date-parts":[["2009"]]},"page":"745-768","title":"A meta‐analytic investigation of the relationship between HRM bundles and firm performance","type":"article-journal","volume":"48"},"uris":["http://www.mendeley.com/documents/?uuid=ca542fa0-0c12-482b-9898-88797e2e349c"]}],"mendeley":{"formattedCitation":"(Subramony, 2009)","manualFormatting":"( 2009)","plainTextFormattedCitation":"(Subramony, 2009)","previouslyFormattedCitation":"(Subramony, 2009)"},"properties":{"noteIndex":0},"schema":"https://github.com/citation-style-language/schema/raw/master/csl-citation.json"}</w:instrText>
      </w:r>
      <w:r w:rsidR="006E703E" w:rsidRPr="00AE0B3D">
        <w:rPr>
          <w:rFonts w:cs="Times New Roman"/>
          <w:noProof/>
        </w:rPr>
        <w:fldChar w:fldCharType="separate"/>
      </w:r>
      <w:r w:rsidR="006E703E" w:rsidRPr="00AE0B3D">
        <w:rPr>
          <w:rFonts w:cs="Times New Roman"/>
          <w:noProof/>
        </w:rPr>
        <w:t>( 2009)</w:t>
      </w:r>
      <w:r w:rsidR="006E703E" w:rsidRPr="00AE0B3D">
        <w:rPr>
          <w:rFonts w:cs="Times New Roman"/>
          <w:noProof/>
        </w:rPr>
        <w:fldChar w:fldCharType="end"/>
      </w:r>
      <w:r w:rsidR="006E703E" w:rsidRPr="00AE0B3D">
        <w:rPr>
          <w:rFonts w:cs="Times New Roman"/>
          <w:noProof/>
        </w:rPr>
        <w:t xml:space="preserve"> </w:t>
      </w:r>
      <w:r w:rsidR="007957EC">
        <w:rPr>
          <w:rFonts w:cs="Times New Roman"/>
          <w:noProof/>
        </w:rPr>
        <w:t xml:space="preserve"> who reported</w:t>
      </w:r>
      <w:r w:rsidR="006E703E" w:rsidRPr="00AE0B3D">
        <w:rPr>
          <w:rFonts w:cs="Times New Roman"/>
          <w:noProof/>
        </w:rPr>
        <w:t xml:space="preserve"> compensation influence the organisation perfomance through motivati</w:t>
      </w:r>
      <w:r w:rsidR="002C26F9">
        <w:rPr>
          <w:rFonts w:cs="Times New Roman"/>
          <w:noProof/>
        </w:rPr>
        <w:t>ng</w:t>
      </w:r>
      <w:r w:rsidR="006E703E" w:rsidRPr="00AE0B3D">
        <w:rPr>
          <w:rFonts w:cs="Times New Roman"/>
          <w:noProof/>
        </w:rPr>
        <w:t xml:space="preserve"> of employee</w:t>
      </w:r>
      <w:r w:rsidR="002C26F9">
        <w:rPr>
          <w:rFonts w:cs="Times New Roman"/>
          <w:noProof/>
        </w:rPr>
        <w:t>s</w:t>
      </w:r>
      <w:r w:rsidR="006E703E" w:rsidRPr="00AE0B3D">
        <w:rPr>
          <w:rFonts w:cs="Times New Roman"/>
          <w:noProof/>
        </w:rPr>
        <w:t xml:space="preserve"> and lowering organisation turn over which in turn lead to increase in performance. Ton and Huckman</w:t>
      </w:r>
      <w:r w:rsidR="006E703E" w:rsidRPr="00AE0B3D">
        <w:rPr>
          <w:rFonts w:cs="Times New Roman"/>
        </w:rPr>
        <w:t xml:space="preserve"> </w:t>
      </w:r>
      <w:r w:rsidR="006E703E" w:rsidRPr="00AE0B3D">
        <w:rPr>
          <w:rFonts w:cs="Times New Roman"/>
        </w:rPr>
        <w:fldChar w:fldCharType="begin" w:fldLock="1"/>
      </w:r>
      <w:r w:rsidR="006E703E" w:rsidRPr="00AE0B3D">
        <w:rPr>
          <w:rFonts w:cs="Times New Roman"/>
        </w:rPr>
        <w:instrText>ADDIN CSL_CITATION {"citationItems":[{"id":"ITEM-1","itemData":{"DOI":"10.1287/orsc.1070.0294","ISBN":"1047-7039","ISSN":"1047-7039","PMID":"252985400004","abstract":"We examine the impact of employee turnover on operating performance in settings that require high levels of knowledge exploitation. Using 48 months of turnover data from U.S. stores of a major retail chain, we find that, on average, employee turnover is associated with decreased performance, as measured by profit margin and customer service. The effect of turnover on performance, however, is mitigated by the nature of management at the store level. The particular aspect of management on which we focus is process conformance—the extent to which managers aim to reduce variation in store operations in accordance with a set of prescribed standards for task performance. At high-process-conformance stores, managers use discipline in implementing standardized policies and procedures, whereas at low-process-conformance stores, managers tolerate deviations from these standards. We find that increasing turnover does not have a negative effect on store performance at high-process-conformance stores; at low-process-c...","author":[{"dropping-particle":"","family":"Ton","given":"Zeynep","non-dropping-particle":"","parse-names":false,"suffix":""},{"dropping-particle":"","family":"Huckman","given":"Robert S.","non-dropping-particle":"","parse-names":false,"suffix":""}],"container-title":"Organization Science","id":"ITEM-1","issue":"1","issued":{"date-parts":[["2008"]]},"page":"56-68","title":"Managing the Impact of Employee Turnover on Performance: The Role of Process Conformance","type":"article-journal","volume":"19"},"uris":["http://www.mendeley.com/documents/?uuid=a7873296-56bc-4774-ab32-249a1f5151ea"]}],"mendeley":{"formattedCitation":"(Ton &amp; Huckman, 2008)","manualFormatting":"(2008)","plainTextFormattedCitation":"(Ton &amp; Huckman, 2008)","previouslyFormattedCitation":"(Ton &amp; Huckman, 2008)"},"properties":{"noteIndex":0},"schema":"https://github.com/citation-style-language/schema/raw/master/csl-citation.json"}</w:instrText>
      </w:r>
      <w:r w:rsidR="006E703E" w:rsidRPr="00AE0B3D">
        <w:rPr>
          <w:rFonts w:cs="Times New Roman"/>
        </w:rPr>
        <w:fldChar w:fldCharType="separate"/>
      </w:r>
      <w:r w:rsidR="006E703E" w:rsidRPr="00AE0B3D">
        <w:rPr>
          <w:rFonts w:cs="Times New Roman"/>
          <w:noProof/>
        </w:rPr>
        <w:t>(2008)</w:t>
      </w:r>
      <w:r w:rsidR="006E703E" w:rsidRPr="00AE0B3D">
        <w:rPr>
          <w:rFonts w:cs="Times New Roman"/>
        </w:rPr>
        <w:fldChar w:fldCharType="end"/>
      </w:r>
      <w:r w:rsidR="006E703E" w:rsidRPr="00AE0B3D">
        <w:rPr>
          <w:rFonts w:cs="Times New Roman"/>
        </w:rPr>
        <w:t xml:space="preserve"> also found similar result that points to significance influence of remuneration strategies on the financial performance of the organization irrespective of the industry of operation. Chi and </w:t>
      </w:r>
      <w:proofErr w:type="spellStart"/>
      <w:r w:rsidR="006E703E" w:rsidRPr="00AE0B3D">
        <w:rPr>
          <w:rFonts w:cs="Times New Roman"/>
        </w:rPr>
        <w:t>Gursoy</w:t>
      </w:r>
      <w:proofErr w:type="spellEnd"/>
      <w:r w:rsidR="006E703E" w:rsidRPr="00AE0B3D">
        <w:rPr>
          <w:rFonts w:cs="Times New Roman"/>
        </w:rPr>
        <w:t xml:space="preserve"> </w:t>
      </w:r>
      <w:sdt>
        <w:sdtPr>
          <w:rPr>
            <w:rFonts w:cs="Times New Roman"/>
          </w:rPr>
          <w:id w:val="534543108"/>
          <w:citation/>
        </w:sdtPr>
        <w:sdtEndPr/>
        <w:sdtContent>
          <w:r w:rsidR="006E703E" w:rsidRPr="00AE0B3D">
            <w:rPr>
              <w:rFonts w:cs="Times New Roman"/>
            </w:rPr>
            <w:fldChar w:fldCharType="begin"/>
          </w:r>
          <w:r w:rsidR="006E703E" w:rsidRPr="00AE0B3D">
            <w:rPr>
              <w:rFonts w:cs="Times New Roman"/>
            </w:rPr>
            <w:instrText xml:space="preserve">CITATION Chi09 \n  \t  \l 1033 </w:instrText>
          </w:r>
          <w:r w:rsidR="006E703E" w:rsidRPr="00AE0B3D">
            <w:rPr>
              <w:rFonts w:cs="Times New Roman"/>
            </w:rPr>
            <w:fldChar w:fldCharType="separate"/>
          </w:r>
          <w:r w:rsidR="006E703E" w:rsidRPr="00AE0B3D">
            <w:rPr>
              <w:rFonts w:cs="Times New Roman"/>
              <w:noProof/>
            </w:rPr>
            <w:t>(2009)</w:t>
          </w:r>
          <w:r w:rsidR="006E703E" w:rsidRPr="00AE0B3D">
            <w:rPr>
              <w:rFonts w:cs="Times New Roman"/>
            </w:rPr>
            <w:fldChar w:fldCharType="end"/>
          </w:r>
        </w:sdtContent>
      </w:sdt>
      <w:r w:rsidR="006E703E" w:rsidRPr="00AE0B3D">
        <w:rPr>
          <w:rFonts w:cs="Times New Roman"/>
        </w:rPr>
        <w:t xml:space="preserve"> identified </w:t>
      </w:r>
      <w:r w:rsidR="006E703E" w:rsidRPr="00AE0B3D">
        <w:rPr>
          <w:rFonts w:cs="Times New Roman"/>
        </w:rPr>
        <w:lastRenderedPageBreak/>
        <w:t>that employee satisfaction influences the overall financial performance through increasing customer satisfaction. This can be used to explore the reason as to why the remuneration strategies used by public listed companies in NSE impact their financial performance.</w:t>
      </w:r>
      <w:r w:rsidR="00E3039C">
        <w:rPr>
          <w:rFonts w:cs="Times New Roman"/>
        </w:rPr>
        <w:t xml:space="preserve"> However from the context of Kenya </w:t>
      </w:r>
      <w:r w:rsidR="004745DD">
        <w:rPr>
          <w:rFonts w:cs="Times New Roman"/>
        </w:rPr>
        <w:t xml:space="preserve">the effect of bonus of financial performance (ROA and ROE) may not be moderated by improvement of employment performance as </w:t>
      </w:r>
      <w:r w:rsidR="00E3039C">
        <w:rPr>
          <w:rFonts w:cs="Times New Roman"/>
          <w:noProof/>
        </w:rPr>
        <w:t xml:space="preserve">Njanja et al </w:t>
      </w:r>
      <w:r w:rsidR="00E3039C">
        <w:rPr>
          <w:rFonts w:cs="Times New Roman"/>
        </w:rPr>
        <w:fldChar w:fldCharType="begin" w:fldLock="1"/>
      </w:r>
      <w:r w:rsidR="00351A01">
        <w:rPr>
          <w:rFonts w:cs="Times New Roman"/>
        </w:rPr>
        <w:instrText>ADDIN CSL_CITATION {"citationItems":[{"id":"ITEM-1","itemData":{"DOI":"10.5539/ijbm.v8n21p41","ISSN":"1833-8119","abstract":"Today's organizations are operating in a very dynamic and highly competitive environment. To remain relevant in the market, they have to be able to respond quickly to ever changing customer demands. Reward management is one of the ways used by organizations for attracting and retaining suitable employees as well as facilitating them to improve their performance. KPLC is an organization that offers essential energy services that support other sectors of the economy. The management has established rewards in their organization in pursuit of increasing employee performance so as to ensure prompt and quality service. However, the extent to which the rewards adopted at KPLC have influenced employee performance is not established. This study therefore aimed at determining the effect of reward on employee performance at KPLC. Specifically the study sought to determine the effect of cash bonus on employee performance. The research adopted correlation research design. 68 management employees responded. Data was collected using questionnaires. Descriptive statistics (frequency tables, percentages) were used to present data. Inferential statistics (chi-square) was used to analyze the relationship between cash bonuses and employee performance. Data was analyzed with the help of the Statistical Package for Social Sciences (SPSS) computer programme. The findingsof the study showed that cash bonus have no effect on employee performance (p=0.8). This is because those who received cash bonuses and those who did not all agree that the cash bonus affects their performance the same. The organization should focus on changing the intrinsic nature and content of jobs. This will increase employee motivation as employees will get more autonomy more challenging job assignments and responsibilities. Further research can be done to find out impact of other rewards on performance e.g. owning equity. Research can also be done to identify other factors which may affect performance. Such findings can enhance management of performance.","author":[{"dropping-particle":"","family":"Njanja","given":"Lilly W","non-dropping-particle":"","parse-names":false,"suffix":""},{"dropping-particle":"","family":"Maina","given":"R. N.","non-dropping-particle":"","parse-names":false,"suffix":""},{"dropping-particle":"","family":"Kibet","given":"L. K.","non-dropping-particle":"","parse-names":false,"suffix":""},{"dropping-particle":"","family":"Njagi","given":"Kageni","non-dropping-particle":"","parse-names":false,"suffix":""}],"container-title":"International Journal of Business and Management","id":"ITEM-1","issue":"21","issued":{"date-parts":[["2013"]]},"page":"41-49","title":"Effect of Reward on Employee Performance: A Case of Kenya Power and Lighting Company Ltd., Nakuru, Kenya","type":"article-journal","volume":"8"},"uris":["http://www.mendeley.com/documents/?uuid=46c56efc-316d-457b-8744-76ea543409e6"]}],"mendeley":{"formattedCitation":"(Njanja et al., 2013)","manualFormatting":"( 2013)","plainTextFormattedCitation":"(Njanja et al., 2013)","previouslyFormattedCitation":"(Njanja et al., 2013)"},"properties":{"noteIndex":0},"schema":"https://github.com/citation-style-language/schema/raw/master/csl-citation.json"}</w:instrText>
      </w:r>
      <w:r w:rsidR="00E3039C">
        <w:rPr>
          <w:rFonts w:cs="Times New Roman"/>
        </w:rPr>
        <w:fldChar w:fldCharType="separate"/>
      </w:r>
      <w:r w:rsidR="00E3039C" w:rsidRPr="003265D2">
        <w:rPr>
          <w:rFonts w:cs="Times New Roman"/>
          <w:noProof/>
        </w:rPr>
        <w:t>( 2013)</w:t>
      </w:r>
      <w:r w:rsidR="00E3039C">
        <w:rPr>
          <w:rFonts w:cs="Times New Roman"/>
        </w:rPr>
        <w:fldChar w:fldCharType="end"/>
      </w:r>
      <w:r w:rsidR="00E3039C">
        <w:rPr>
          <w:rFonts w:cs="Times New Roman"/>
        </w:rPr>
        <w:t xml:space="preserve"> </w:t>
      </w:r>
      <w:r w:rsidR="004745DD">
        <w:rPr>
          <w:rFonts w:cs="Times New Roman"/>
        </w:rPr>
        <w:t xml:space="preserve"> using the case study of  Kenya power and lightening company in Kenya </w:t>
      </w:r>
      <w:r w:rsidR="00D95453">
        <w:rPr>
          <w:rFonts w:cs="Times New Roman"/>
        </w:rPr>
        <w:t xml:space="preserve">reported bonus had no effect on the financial on employee performance. </w:t>
      </w:r>
    </w:p>
    <w:p w14:paraId="1AD3ACDB" w14:textId="1D24F39D" w:rsidR="002C006A" w:rsidRDefault="002C006A" w:rsidP="006E703E">
      <w:pPr>
        <w:rPr>
          <w:rFonts w:cs="Times New Roman"/>
        </w:rPr>
      </w:pPr>
      <w:r>
        <w:rPr>
          <w:rFonts w:cs="Times New Roman"/>
        </w:rPr>
        <w:t xml:space="preserve">Based on the </w:t>
      </w:r>
      <w:r w:rsidR="004F74FA">
        <w:rPr>
          <w:rFonts w:cs="Times New Roman"/>
        </w:rPr>
        <w:t xml:space="preserve">agency theory argument, executive motivation through discount and compensation could influence their future performance and that of organisation </w:t>
      </w:r>
      <w:r w:rsidR="004F74FA">
        <w:rPr>
          <w:rFonts w:cs="Times New Roman"/>
        </w:rPr>
        <w:fldChar w:fldCharType="begin" w:fldLock="1"/>
      </w:r>
      <w:r w:rsidR="002B73D9">
        <w:rPr>
          <w:rFonts w:cs="Times New Roman"/>
        </w:rPr>
        <w:instrText>ADDIN CSL_CITATION {"citationItems":[{"id":"ITEM-1","itemData":{"DOI":"10.2308/accr.2002.77.4.793","ISSN":"00014826","abstract":"We provide evidence that CEOs' and lower-level business unit executives' target bonuses are negatively associated with a proxy for measurement noise in accounting-based performance measures, and positively associated with proxies for firms' growth opportunities and the extent of executives' decision-making authority. Non-CEO executives' target bonuses are also positively associated with their CEO's target bonus. In addition, we compare executives' actual and target bonuses over two consecutive periods to draw inferences about how firms revise executives' performance standards. If firms adjust performance standards to fully reflect executives' past performance, then we expect an executive's chances of earning an above-target bonus to be independent of his past performance. We find evidence to the contrary; an executive is more likely to receive an abovetarget bonus if he received an above-target bonus in the prior year than if he did not. This suggests that firms do not adjust standards to fully reflect executives' past performance, consistent with agency-theoretic arguments that a firm can better motivate its executives if it discounts executives' past performance in setting their future compensation.","author":[{"dropping-particle":"","family":"Indjejikian","given":"Raffi J.","non-dropping-particle":"","parse-names":false,"suffix":""},{"dropping-particle":"","family":"Nanda","given":"Dhananjay","non-dropping-particle":"","parse-names":false,"suffix":""}],"container-title":"Accounting Review","id":"ITEM-1","issue":"4","issued":{"date-parts":[["2002"]]},"page":"793-819","title":"Executive target bonuses and what they imply about performance standards","type":"article-journal","volume":"77"},"uris":["http://www.mendeley.com/documents/?uuid=8e013581-6be7-438d-b849-8abbfc9315c5"]}],"mendeley":{"formattedCitation":"(Indjejikian &amp; Nanda, 2002)","plainTextFormattedCitation":"(Indjejikian &amp; Nanda, 2002)","previouslyFormattedCitation":"(Indjejikian &amp; Nanda, 2002)"},"properties":{"noteIndex":0},"schema":"https://github.com/citation-style-language/schema/raw/master/csl-citation.json"}</w:instrText>
      </w:r>
      <w:r w:rsidR="004F74FA">
        <w:rPr>
          <w:rFonts w:cs="Times New Roman"/>
        </w:rPr>
        <w:fldChar w:fldCharType="separate"/>
      </w:r>
      <w:r w:rsidR="004F74FA" w:rsidRPr="004F74FA">
        <w:rPr>
          <w:rFonts w:cs="Times New Roman"/>
          <w:noProof/>
        </w:rPr>
        <w:t>(Indjejikian &amp; Nanda, 2002)</w:t>
      </w:r>
      <w:r w:rsidR="004F74FA">
        <w:rPr>
          <w:rFonts w:cs="Times New Roman"/>
        </w:rPr>
        <w:fldChar w:fldCharType="end"/>
      </w:r>
      <w:r w:rsidR="004F74FA">
        <w:rPr>
          <w:rFonts w:cs="Times New Roman"/>
        </w:rPr>
        <w:t>. B</w:t>
      </w:r>
      <w:r w:rsidR="002445FD">
        <w:rPr>
          <w:rFonts w:cs="Times New Roman"/>
        </w:rPr>
        <w:t xml:space="preserve">onus can therefore be an important source of motivation for the executives of public listed companies in the NSE which could lead to significant improvement of future organisation performance. </w:t>
      </w:r>
    </w:p>
    <w:p w14:paraId="18922E48" w14:textId="63F824FB" w:rsidR="002012FA" w:rsidRDefault="009904E4" w:rsidP="006E703E">
      <w:pPr>
        <w:rPr>
          <w:rFonts w:cs="Times New Roman"/>
        </w:rPr>
      </w:pPr>
      <w:r>
        <w:rPr>
          <w:rFonts w:cs="Times New Roman"/>
        </w:rPr>
        <w:t>The finding</w:t>
      </w:r>
      <w:r w:rsidR="00922476">
        <w:rPr>
          <w:rFonts w:cs="Times New Roman"/>
        </w:rPr>
        <w:t>s</w:t>
      </w:r>
      <w:r>
        <w:rPr>
          <w:rFonts w:cs="Times New Roman"/>
        </w:rPr>
        <w:t xml:space="preserve"> o</w:t>
      </w:r>
      <w:r w:rsidR="00922476">
        <w:rPr>
          <w:rFonts w:cs="Times New Roman"/>
        </w:rPr>
        <w:t xml:space="preserve">f the research also contradict the findings of </w:t>
      </w:r>
      <w:r w:rsidR="00922476">
        <w:rPr>
          <w:rFonts w:cs="Times New Roman"/>
          <w:noProof/>
        </w:rPr>
        <w:t xml:space="preserve">Luo and Jackson </w:t>
      </w:r>
      <w:r w:rsidR="00922476">
        <w:rPr>
          <w:rFonts w:cs="Times New Roman"/>
          <w:noProof/>
        </w:rPr>
        <w:fldChar w:fldCharType="begin" w:fldLock="1"/>
      </w:r>
      <w:r w:rsidR="00922476">
        <w:rPr>
          <w:rFonts w:cs="Times New Roman"/>
          <w:noProof/>
        </w:rPr>
        <w:instrText>ADDIN CSL_CITATION {"citationItems":[{"id":"ITEM-1","itemData":{"DOI":"10.2139/ssrn.1893554","abstract":"Executive compensation in the U.S. banking industry has been criticized as a root cause of the recent financial crisis. This study examines the relationship between executive compensation, ownership structure, and firm performance for Chinese financial corporations during 2001-2009. The results reveal that executive compensation in Chinese banks follows a relation-based rather than a market-based contract. There is little evidence in support of the pay-for-performance setting for Chinese executive compensation. Ownership concentration has significantly negative impacts while firm size has significantly positive impacts on CEO compensation. Further, the involvement of state ownership tends to limit executive compensation, while the compensation committee is friendly and enhances management compensation. The results suggest that the government or regulation may ensure efficient corporate governance in business activity as a helping hand when corporate governance is weak.","author":[{"dropping-particle":"","family":"Luo","given":"Yongli","non-dropping-particle":"","parse-names":false,"suffix":""},{"dropping-particle":"","family":"Jackson","given":"Dave","non-dropping-particle":"","parse-names":false,"suffix":""}],"container-title":"Ssrn","id":"ITEM-1","issued":{"date-parts":[["2011"]]},"page":"56-74","title":"Executive Compensation, Ownership Structure and Firm Performance in Chinese Financial Corporations","type":"article-journal"},"uris":["http://www.mendeley.com/documents/?uuid=bb02e78d-ef0b-48df-8059-41f8bc0a40a3"]}],"mendeley":{"formattedCitation":"(Luo &amp; Jackson, 2011)","manualFormatting":"(2011)","plainTextFormattedCitation":"(Luo &amp; Jackson, 2011)","previouslyFormattedCitation":"(Luo &amp; Jackson, 2011)"},"properties":{"noteIndex":0},"schema":"https://github.com/citation-style-language/schema/raw/master/csl-citation.json"}</w:instrText>
      </w:r>
      <w:r w:rsidR="00922476">
        <w:rPr>
          <w:rFonts w:cs="Times New Roman"/>
          <w:noProof/>
        </w:rPr>
        <w:fldChar w:fldCharType="separate"/>
      </w:r>
      <w:r w:rsidR="00922476">
        <w:rPr>
          <w:rFonts w:cs="Times New Roman"/>
          <w:noProof/>
        </w:rPr>
        <w:t>(2011)</w:t>
      </w:r>
      <w:r w:rsidR="00922476">
        <w:rPr>
          <w:rFonts w:cs="Times New Roman"/>
          <w:noProof/>
        </w:rPr>
        <w:fldChar w:fldCharType="end"/>
      </w:r>
      <w:r w:rsidR="00922476">
        <w:rPr>
          <w:rFonts w:cs="Times New Roman"/>
          <w:noProof/>
        </w:rPr>
        <w:t xml:space="preserve"> who found significant negative correlation between CEO compensation and the ROA of the company in the context of Chinese financial corporations. </w:t>
      </w:r>
      <w:r w:rsidR="00371A30">
        <w:rPr>
          <w:rFonts w:cs="Times New Roman"/>
          <w:noProof/>
        </w:rPr>
        <w:t xml:space="preserve">Therefore, the country specific effect could influence </w:t>
      </w:r>
      <w:r w:rsidR="00DE57C5">
        <w:rPr>
          <w:rFonts w:cs="Times New Roman"/>
          <w:noProof/>
        </w:rPr>
        <w:t xml:space="preserve">difference of the effect of CEO compensation on the ROA perfomance of organisation. </w:t>
      </w:r>
    </w:p>
    <w:p w14:paraId="71141F88" w14:textId="77777777" w:rsidR="002012FA" w:rsidRPr="00AE0B3D" w:rsidRDefault="002012FA" w:rsidP="006E703E">
      <w:pPr>
        <w:rPr>
          <w:rFonts w:cs="Times New Roman"/>
          <w:noProof/>
        </w:rPr>
      </w:pPr>
    </w:p>
    <w:p w14:paraId="43FEA3E7" w14:textId="16E6487B" w:rsidR="006E703E" w:rsidRDefault="006E703E" w:rsidP="006E703E">
      <w:pPr>
        <w:rPr>
          <w:rFonts w:cs="Times New Roman"/>
          <w:noProof/>
        </w:rPr>
      </w:pPr>
    </w:p>
    <w:p w14:paraId="41450D70" w14:textId="7680FCF3" w:rsidR="008A11CD" w:rsidRPr="00AE0B3D" w:rsidRDefault="008A11CD" w:rsidP="00012323">
      <w:pPr>
        <w:pStyle w:val="Heading3"/>
        <w:jc w:val="center"/>
      </w:pPr>
      <w:bookmarkStart w:id="80" w:name="_Toc78067535"/>
      <w:bookmarkStart w:id="81" w:name="_Hlk14866212"/>
      <w:r w:rsidRPr="00AE0B3D">
        <w:lastRenderedPageBreak/>
        <w:t xml:space="preserve">Management remuneration </w:t>
      </w:r>
      <w:r w:rsidR="00550A05">
        <w:t xml:space="preserve">measure </w:t>
      </w:r>
      <w:r w:rsidR="003D3A9E">
        <w:t>that</w:t>
      </w:r>
      <w:r w:rsidR="006874C8">
        <w:t xml:space="preserve"> are</w:t>
      </w:r>
      <w:r w:rsidRPr="00AE0B3D">
        <w:t xml:space="preserve"> best predictors of financial performance</w:t>
      </w:r>
      <w:bookmarkEnd w:id="80"/>
    </w:p>
    <w:p w14:paraId="702109DC" w14:textId="083A1AF9" w:rsidR="007822AF" w:rsidRDefault="005C4279" w:rsidP="008A11CD">
      <w:r w:rsidRPr="00AE0B3D">
        <w:t>Efficient</w:t>
      </w:r>
      <w:r w:rsidR="008A11CD" w:rsidRPr="00AE0B3D">
        <w:t xml:space="preserve"> predictor</w:t>
      </w:r>
      <w:r w:rsidRPr="00AE0B3D">
        <w:t>s</w:t>
      </w:r>
      <w:r w:rsidR="008A11CD" w:rsidRPr="00AE0B3D">
        <w:t xml:space="preserve"> of financial performance in terms of management remuneration </w:t>
      </w:r>
      <w:r w:rsidR="00155D11" w:rsidRPr="00AE0B3D">
        <w:t>are</w:t>
      </w:r>
      <w:r w:rsidR="008A11CD" w:rsidRPr="00AE0B3D">
        <w:t xml:space="preserve"> important as it identify how it can be used by the organizations to improve their financial performance. From the </w:t>
      </w:r>
      <w:r w:rsidR="002F2D12">
        <w:t>Spearman’s</w:t>
      </w:r>
      <w:r w:rsidR="0013032C">
        <w:t xml:space="preserve"> </w:t>
      </w:r>
      <w:r w:rsidR="008A11CD" w:rsidRPr="00AE0B3D">
        <w:t xml:space="preserve">correlation model, </w:t>
      </w:r>
      <w:r w:rsidR="00867D9F">
        <w:t xml:space="preserve">bonus </w:t>
      </w:r>
      <w:r w:rsidR="008A11CD" w:rsidRPr="00AE0B3D">
        <w:t xml:space="preserve">was identified as a common management remuneration strategy that influence significantly both </w:t>
      </w:r>
      <w:r w:rsidR="00420E89">
        <w:t>ROA</w:t>
      </w:r>
      <w:r w:rsidR="00420E89" w:rsidRPr="00AE0B3D">
        <w:t xml:space="preserve"> </w:t>
      </w:r>
      <w:r w:rsidR="008A11CD" w:rsidRPr="00AE0B3D">
        <w:t>and ROE from correlation analysis</w:t>
      </w:r>
      <w:r w:rsidR="00A35E66">
        <w:t xml:space="preserve"> with a spearman rank of</w:t>
      </w:r>
      <w:r w:rsidR="005E3424">
        <w:t xml:space="preserve"> </w:t>
      </w:r>
      <w:r w:rsidR="005E3424" w:rsidRPr="00BF0707">
        <w:rPr>
          <w:rFonts w:cs="Times New Roman"/>
          <w:color w:val="000000"/>
          <w:szCs w:val="24"/>
        </w:rPr>
        <w:t>0.3941</w:t>
      </w:r>
      <w:r w:rsidR="005E3424">
        <w:rPr>
          <w:rFonts w:cs="Times New Roman"/>
          <w:color w:val="000000"/>
          <w:szCs w:val="24"/>
        </w:rPr>
        <w:t xml:space="preserve"> at </w:t>
      </w:r>
      <w:r w:rsidR="00155D11">
        <w:rPr>
          <w:rFonts w:cs="Times New Roman"/>
          <w:color w:val="000000"/>
          <w:szCs w:val="24"/>
        </w:rPr>
        <w:t>p value</w:t>
      </w:r>
      <w:r w:rsidR="005E3424">
        <w:rPr>
          <w:rFonts w:cs="Times New Roman"/>
          <w:color w:val="000000"/>
          <w:szCs w:val="24"/>
        </w:rPr>
        <w:t xml:space="preserve"> of 0.1 for ROA and spearman rank of </w:t>
      </w:r>
      <w:r w:rsidR="005E3424" w:rsidRPr="00E31939">
        <w:rPr>
          <w:rFonts w:ascii="Calibri" w:eastAsia="Times New Roman" w:hAnsi="Calibri" w:cs="Calibri"/>
          <w:color w:val="000000"/>
          <w:sz w:val="22"/>
          <w:lang w:val="en-US"/>
        </w:rPr>
        <w:t>0.4737</w:t>
      </w:r>
      <w:r w:rsidR="005E3424">
        <w:rPr>
          <w:rFonts w:ascii="Calibri" w:eastAsia="Times New Roman" w:hAnsi="Calibri" w:cs="Calibri"/>
          <w:color w:val="000000"/>
          <w:sz w:val="22"/>
          <w:lang w:val="en-US"/>
        </w:rPr>
        <w:t xml:space="preserve"> at </w:t>
      </w:r>
      <w:r w:rsidR="00155D11">
        <w:rPr>
          <w:rFonts w:ascii="Calibri" w:eastAsia="Times New Roman" w:hAnsi="Calibri" w:cs="Calibri"/>
          <w:color w:val="000000"/>
          <w:sz w:val="22"/>
          <w:lang w:val="en-US"/>
        </w:rPr>
        <w:t>p value</w:t>
      </w:r>
      <w:r w:rsidR="005E3424">
        <w:rPr>
          <w:rFonts w:ascii="Calibri" w:eastAsia="Times New Roman" w:hAnsi="Calibri" w:cs="Calibri"/>
          <w:color w:val="000000"/>
          <w:sz w:val="22"/>
          <w:lang w:val="en-US"/>
        </w:rPr>
        <w:t xml:space="preserve"> of </w:t>
      </w:r>
      <w:r w:rsidR="00155D11">
        <w:rPr>
          <w:rFonts w:ascii="Calibri" w:eastAsia="Times New Roman" w:hAnsi="Calibri" w:cs="Calibri"/>
          <w:color w:val="000000"/>
          <w:sz w:val="22"/>
          <w:lang w:val="en-US"/>
        </w:rPr>
        <w:t>0.05</w:t>
      </w:r>
      <w:r w:rsidR="00155D11">
        <w:t>.</w:t>
      </w:r>
      <w:r w:rsidR="00231D98">
        <w:t xml:space="preserve"> </w:t>
      </w:r>
      <w:r w:rsidR="0029712A">
        <w:t xml:space="preserve">Public listed company can consider the adoption of </w:t>
      </w:r>
      <w:r w:rsidR="00E9440D">
        <w:t xml:space="preserve">bonus </w:t>
      </w:r>
      <w:r w:rsidR="0029712A">
        <w:t>remuneration strategies in improving their performance</w:t>
      </w:r>
      <w:r w:rsidR="00C64DEA">
        <w:t>. The remuneration strategies are associated with motivation of the employees to work towards the organisation goals and in return earn more from better performance of the organisation.</w:t>
      </w:r>
      <w:r w:rsidR="00CB09E0">
        <w:t xml:space="preserve"> </w:t>
      </w:r>
      <w:r w:rsidR="00550A05">
        <w:t xml:space="preserve">Bonus as an important predictor of financial </w:t>
      </w:r>
      <w:r w:rsidR="00635141">
        <w:t>performance</w:t>
      </w:r>
      <w:r w:rsidR="00550A05">
        <w:t xml:space="preserve"> is supported by </w:t>
      </w:r>
      <w:r w:rsidR="00635141">
        <w:rPr>
          <w:rFonts w:cs="Times New Roman"/>
          <w:szCs w:val="24"/>
        </w:rPr>
        <w:fldChar w:fldCharType="begin" w:fldLock="1"/>
      </w:r>
      <w:r w:rsidR="005F0052">
        <w:rPr>
          <w:rFonts w:cs="Times New Roman"/>
          <w:szCs w:val="24"/>
        </w:rPr>
        <w:instrText>ADDIN CSL_CITATION {"citationItems":[{"id":"ITEM-1","itemData":{"DOI":"10.1016/j.jaccpubpol.2008.07.006","author":[{"dropping-particle":"","family":"Jackson","given":"Scott B","non-dropping-particle":"","parse-names":false,"suffix":""},{"dropping-particle":"","family":"Lopez","given":"Thomas J","non-dropping-particle":"","parse-names":false,"suffix":""},{"dropping-particle":"","family":"Reitenga","given":"Austin L","non-dropping-particle":"","parse-names":false,"suffix":""}],"container-title":"J. Account. Public Policy","id":"ITEM-1","issued":{"date-parts":[["2008"]]},"page":"374-393","title":"Accounting fundamentals and CEO bonus compensation","type":"article-journal","volume":"27"},"uris":["http://www.mendeley.com/documents/?uuid=674298f1-4421-4494-9a33-997753965fd3"]}],"mendeley":{"formattedCitation":"(Jackson et al., 2008)","manualFormatting":"Jackson et al.( 2008)","plainTextFormattedCitation":"(Jackson et al., 2008)","previouslyFormattedCitation":"(Jackson et al., 2008)"},"properties":{"noteIndex":0},"schema":"https://github.com/citation-style-language/schema/raw/master/csl-citation.json"}</w:instrText>
      </w:r>
      <w:r w:rsidR="00635141">
        <w:rPr>
          <w:rFonts w:cs="Times New Roman"/>
          <w:szCs w:val="24"/>
        </w:rPr>
        <w:fldChar w:fldCharType="separate"/>
      </w:r>
      <w:r w:rsidR="00635141" w:rsidRPr="00351A01">
        <w:rPr>
          <w:rFonts w:cs="Times New Roman"/>
          <w:noProof/>
          <w:szCs w:val="24"/>
        </w:rPr>
        <w:t>Jackson et al.</w:t>
      </w:r>
      <w:r w:rsidR="00635141">
        <w:rPr>
          <w:rFonts w:cs="Times New Roman"/>
          <w:noProof/>
          <w:szCs w:val="24"/>
        </w:rPr>
        <w:t>(</w:t>
      </w:r>
      <w:r w:rsidR="00635141" w:rsidRPr="00351A01">
        <w:rPr>
          <w:rFonts w:cs="Times New Roman"/>
          <w:noProof/>
          <w:szCs w:val="24"/>
        </w:rPr>
        <w:t xml:space="preserve"> 2008)</w:t>
      </w:r>
      <w:r w:rsidR="00635141">
        <w:rPr>
          <w:rFonts w:cs="Times New Roman"/>
          <w:szCs w:val="24"/>
        </w:rPr>
        <w:fldChar w:fldCharType="end"/>
      </w:r>
      <w:r w:rsidR="00635141">
        <w:rPr>
          <w:rFonts w:cs="Times New Roman"/>
          <w:szCs w:val="24"/>
        </w:rPr>
        <w:t xml:space="preserve"> who point that bonus </w:t>
      </w:r>
      <w:r w:rsidR="00C1689D">
        <w:rPr>
          <w:rFonts w:cs="Times New Roman"/>
          <w:szCs w:val="24"/>
        </w:rPr>
        <w:t xml:space="preserve">is closely tied to the firm performance. Even so, </w:t>
      </w:r>
      <w:r w:rsidR="00C1689D">
        <w:rPr>
          <w:rFonts w:cs="Times New Roman"/>
          <w:szCs w:val="24"/>
        </w:rPr>
        <w:fldChar w:fldCharType="begin" w:fldLock="1"/>
      </w:r>
      <w:r w:rsidR="005F0052">
        <w:rPr>
          <w:rFonts w:cs="Times New Roman"/>
          <w:szCs w:val="24"/>
        </w:rPr>
        <w:instrText>ADDIN CSL_CITATION {"citationItems":[{"id":"ITEM-1","itemData":{"DOI":"10.1016/j.jaccpubpol.2008.07.006","author":[{"dropping-particle":"","family":"Jackson","given":"Scott B","non-dropping-particle":"","parse-names":false,"suffix":""},{"dropping-particle":"","family":"Lopez","given":"Thomas J","non-dropping-particle":"","parse-names":false,"suffix":""},{"dropping-particle":"","family":"Reitenga","given":"Austin L","non-dropping-particle":"","parse-names":false,"suffix":""}],"container-title":"J. Account. Public Policy","id":"ITEM-1","issued":{"date-parts":[["2008"]]},"page":"374-393","title":"Accounting fundamentals and CEO bonus compensation","type":"article-journal","volume":"27"},"uris":["http://www.mendeley.com/documents/?uuid=674298f1-4421-4494-9a33-997753965fd3"]}],"mendeley":{"formattedCitation":"(Jackson et al., 2008)","manualFormatting":"Jackson et al.( 2008)","plainTextFormattedCitation":"(Jackson et al., 2008)","previouslyFormattedCitation":"(Jackson et al., 2008)"},"properties":{"noteIndex":0},"schema":"https://github.com/citation-style-language/schema/raw/master/csl-citation.json"}</w:instrText>
      </w:r>
      <w:r w:rsidR="00C1689D">
        <w:rPr>
          <w:rFonts w:cs="Times New Roman"/>
          <w:szCs w:val="24"/>
        </w:rPr>
        <w:fldChar w:fldCharType="separate"/>
      </w:r>
      <w:r w:rsidR="00C1689D" w:rsidRPr="00351A01">
        <w:rPr>
          <w:rFonts w:cs="Times New Roman"/>
          <w:noProof/>
          <w:szCs w:val="24"/>
        </w:rPr>
        <w:t>Jackson et al.</w:t>
      </w:r>
      <w:r w:rsidR="00C1689D">
        <w:rPr>
          <w:rFonts w:cs="Times New Roman"/>
          <w:noProof/>
          <w:szCs w:val="24"/>
        </w:rPr>
        <w:t>(</w:t>
      </w:r>
      <w:r w:rsidR="00C1689D" w:rsidRPr="00351A01">
        <w:rPr>
          <w:rFonts w:cs="Times New Roman"/>
          <w:noProof/>
          <w:szCs w:val="24"/>
        </w:rPr>
        <w:t xml:space="preserve"> 2008)</w:t>
      </w:r>
      <w:r w:rsidR="00C1689D">
        <w:rPr>
          <w:rFonts w:cs="Times New Roman"/>
          <w:szCs w:val="24"/>
        </w:rPr>
        <w:fldChar w:fldCharType="end"/>
      </w:r>
      <w:r w:rsidR="00C1689D">
        <w:rPr>
          <w:rFonts w:cs="Times New Roman"/>
          <w:szCs w:val="24"/>
        </w:rPr>
        <w:t xml:space="preserve"> recognises that the association between CEO bonus and the financial performance weakens when the earning are negative or declining. </w:t>
      </w:r>
      <w:r w:rsidR="005F0052">
        <w:rPr>
          <w:rFonts w:cs="Times New Roman"/>
          <w:szCs w:val="24"/>
        </w:rPr>
        <w:fldChar w:fldCharType="begin" w:fldLock="1"/>
      </w:r>
      <w:r w:rsidR="004F74FA">
        <w:rPr>
          <w:rFonts w:cs="Times New Roman"/>
          <w:szCs w:val="24"/>
        </w:rPr>
        <w:instrText>ADDIN CSL_CITATION {"citationItems":[{"id":"ITEM-1","itemData":{"DOI":"10.15294/aaj.v7i1.18490","ISSN":"2252-6765","abstract":"The purpose of this study was to analyze the effect of bonus compensation, and lever- age to earnings management and financial performance as an intervening variable in the manufacturing companies listed in Indonesia Stock Exchange (BEI) in 2014-2015. This study using method purposive sampling with 102 unit analysis of a population of 150 manufacturing companies. While the sample in this research there are 51 manu- facturing companies. The analysis technique used in this research that Path Analysis. The analytical tool used was SPSS 21. The results showed that the bonus compensa- tion significantly negative effect on earnings management. Leverage has no effect on earnings management and financial performance. Financial performance significantly has a positive effect on earnings management. Bonus compensation significantly has a positive effect on financial performance. The conclusions from the results of this study showed that the variable of financial performance positively and significantly is able to mediate the relationship between compensation bonuses to earnings management. However, the financial performance variables cannot mediate the relationship between leverage to earnings management","author":[{"dropping-particle":"","family":"Prihastomo","given":"Eka Deny","non-dropping-particle":"","parse-names":false,"suffix":""},{"dropping-particle":"","family":"Khafid","given":"Muhammad","non-dropping-particle":"","parse-names":false,"suffix":""}],"container-title":"Accounting Analysis Journal","id":"ITEM-1","issue":"1","issued":{"date-parts":[["2018"]]},"page":"52-60","title":"The Effect of Bonus Compensation and Leverage on Earnings Management with Financial Performance as Intervening Variable","type":"article-journal","volume":"7"},"uris":["http://www.mendeley.com/documents/?uuid=9c079b17-bfa9-4be3-a8af-b9aedee1c67a"]}],"mendeley":{"formattedCitation":"(Prihastomo &amp; Khafid, 2018)","manualFormatting":"Prihastomo and Khafid (2018)","plainTextFormattedCitation":"(Prihastomo &amp; Khafid, 2018)","previouslyFormattedCitation":"(Prihastomo &amp; Khafid, 2018)"},"properties":{"noteIndex":0},"schema":"https://github.com/citation-style-language/schema/raw/master/csl-citation.json"}</w:instrText>
      </w:r>
      <w:r w:rsidR="005F0052">
        <w:rPr>
          <w:rFonts w:cs="Times New Roman"/>
          <w:szCs w:val="24"/>
        </w:rPr>
        <w:fldChar w:fldCharType="separate"/>
      </w:r>
      <w:r w:rsidR="005F0052" w:rsidRPr="005F0052">
        <w:rPr>
          <w:rFonts w:cs="Times New Roman"/>
          <w:noProof/>
          <w:szCs w:val="24"/>
        </w:rPr>
        <w:t xml:space="preserve">Prihastomo </w:t>
      </w:r>
      <w:r w:rsidR="005F0052">
        <w:rPr>
          <w:rFonts w:cs="Times New Roman"/>
          <w:noProof/>
          <w:szCs w:val="24"/>
        </w:rPr>
        <w:t>and</w:t>
      </w:r>
      <w:r w:rsidR="005F0052" w:rsidRPr="005F0052">
        <w:rPr>
          <w:rFonts w:cs="Times New Roman"/>
          <w:noProof/>
          <w:szCs w:val="24"/>
        </w:rPr>
        <w:t xml:space="preserve"> Khafid</w:t>
      </w:r>
      <w:r w:rsidR="005F0052">
        <w:rPr>
          <w:rFonts w:cs="Times New Roman"/>
          <w:noProof/>
          <w:szCs w:val="24"/>
        </w:rPr>
        <w:t xml:space="preserve"> (</w:t>
      </w:r>
      <w:r w:rsidR="005F0052" w:rsidRPr="005F0052">
        <w:rPr>
          <w:rFonts w:cs="Times New Roman"/>
          <w:noProof/>
          <w:szCs w:val="24"/>
        </w:rPr>
        <w:t>2018)</w:t>
      </w:r>
      <w:r w:rsidR="005F0052">
        <w:rPr>
          <w:rFonts w:cs="Times New Roman"/>
          <w:szCs w:val="24"/>
        </w:rPr>
        <w:fldChar w:fldCharType="end"/>
      </w:r>
      <w:r w:rsidR="005F0052">
        <w:rPr>
          <w:rFonts w:cs="Times New Roman"/>
          <w:szCs w:val="24"/>
        </w:rPr>
        <w:t xml:space="preserve"> </w:t>
      </w:r>
      <w:r w:rsidR="005411BF">
        <w:rPr>
          <w:rFonts w:cs="Times New Roman"/>
          <w:szCs w:val="24"/>
        </w:rPr>
        <w:t xml:space="preserve">also found that bonus had significant and positive effect on the financial performance that makes it an important predictor to financial performance. </w:t>
      </w:r>
    </w:p>
    <w:p w14:paraId="37C555C6" w14:textId="28680DD9" w:rsidR="004414DD" w:rsidRDefault="00C64DEA" w:rsidP="008A11CD">
      <w:pPr>
        <w:rPr>
          <w:rFonts w:cs="Times New Roman"/>
          <w:szCs w:val="24"/>
        </w:rPr>
        <w:sectPr w:rsidR="004414DD" w:rsidSect="00975779">
          <w:pgSz w:w="12240" w:h="15840"/>
          <w:pgMar w:top="1440" w:right="1440" w:bottom="1440" w:left="2160" w:header="720" w:footer="720" w:gutter="0"/>
          <w:cols w:space="720"/>
          <w:docGrid w:linePitch="360"/>
        </w:sectPr>
      </w:pPr>
      <w:r>
        <w:t xml:space="preserve"> </w:t>
      </w:r>
      <w:r w:rsidR="008A11CD" w:rsidRPr="00AE0B3D">
        <w:rPr>
          <w:rFonts w:cs="Times New Roman"/>
          <w:szCs w:val="24"/>
        </w:rPr>
        <w:br w:type="page"/>
      </w:r>
    </w:p>
    <w:p w14:paraId="6ED3D42B" w14:textId="4F7F572D" w:rsidR="007A354C" w:rsidRPr="00AE0B3D" w:rsidRDefault="00380015" w:rsidP="00CE1B92">
      <w:pPr>
        <w:pStyle w:val="Heading1"/>
        <w:rPr>
          <w:rStyle w:val="fontstyle01"/>
          <w:rFonts w:ascii="Times New Roman" w:hAnsi="Times New Roman"/>
          <w:color w:val="auto"/>
          <w:sz w:val="32"/>
          <w:szCs w:val="32"/>
        </w:rPr>
      </w:pPr>
      <w:bookmarkStart w:id="82" w:name="_Toc78067536"/>
      <w:bookmarkEnd w:id="81"/>
      <w:r w:rsidRPr="00AE0B3D">
        <w:rPr>
          <w:rStyle w:val="fontstyle01"/>
          <w:rFonts w:ascii="Times New Roman" w:hAnsi="Times New Roman"/>
          <w:color w:val="auto"/>
          <w:sz w:val="32"/>
          <w:szCs w:val="32"/>
        </w:rPr>
        <w:lastRenderedPageBreak/>
        <w:t>CHAPTER FIVE</w:t>
      </w:r>
      <w:bookmarkEnd w:id="82"/>
    </w:p>
    <w:p w14:paraId="49E47388" w14:textId="52179C4B" w:rsidR="00565484" w:rsidRPr="00AE0B3D" w:rsidRDefault="00565484" w:rsidP="00380015">
      <w:pPr>
        <w:pStyle w:val="Heading1"/>
        <w:rPr>
          <w:rFonts w:cs="Times New Roman"/>
        </w:rPr>
      </w:pPr>
      <w:bookmarkStart w:id="83" w:name="_Toc78067537"/>
      <w:r w:rsidRPr="00AE0B3D">
        <w:rPr>
          <w:rStyle w:val="fontstyle01"/>
          <w:rFonts w:ascii="Times New Roman" w:hAnsi="Times New Roman" w:cs="Times New Roman"/>
          <w:color w:val="auto"/>
        </w:rPr>
        <w:t>SUMMARY, CONCLUSIONS AND RECOMMENDATIONS</w:t>
      </w:r>
      <w:bookmarkEnd w:id="83"/>
    </w:p>
    <w:p w14:paraId="6062E856" w14:textId="129B9FCE" w:rsidR="00C70FD9" w:rsidRPr="00AE0B3D" w:rsidRDefault="009D4E0A" w:rsidP="00B46BF8">
      <w:r w:rsidRPr="00AE0B3D">
        <w:t xml:space="preserve">This chapter is going to present the summary, conclusion and recommendations that are associated with the research findings and analysis. </w:t>
      </w:r>
    </w:p>
    <w:p w14:paraId="4545E275" w14:textId="418444CD" w:rsidR="009D4E0A" w:rsidRPr="00AE0B3D" w:rsidRDefault="009D4E0A" w:rsidP="009D4E0A">
      <w:pPr>
        <w:pStyle w:val="Heading2"/>
      </w:pPr>
      <w:bookmarkStart w:id="84" w:name="_Toc78067538"/>
      <w:r w:rsidRPr="00AE0B3D">
        <w:t>Summary</w:t>
      </w:r>
      <w:bookmarkEnd w:id="84"/>
    </w:p>
    <w:p w14:paraId="02277A3D" w14:textId="1E9BAAC5" w:rsidR="0091410A" w:rsidRDefault="00B46BF8" w:rsidP="00BA326F">
      <w:pPr>
        <w:rPr>
          <w:rFonts w:cs="Times New Roman"/>
        </w:rPr>
      </w:pPr>
      <w:r w:rsidRPr="00AE0B3D">
        <w:t xml:space="preserve">The study aimed at evaluating the </w:t>
      </w:r>
      <w:r w:rsidR="00155D11">
        <w:t>effect</w:t>
      </w:r>
      <w:r w:rsidRPr="00AE0B3D">
        <w:t xml:space="preserve"> of management remuneration on the financial performance of public listed companies in Nairobi exchange market.</w:t>
      </w:r>
      <w:r w:rsidR="00387324" w:rsidRPr="00AE0B3D">
        <w:t xml:space="preserve"> The specific objective of the study was to assess the </w:t>
      </w:r>
      <w:r w:rsidR="00641274" w:rsidRPr="00AE0B3D">
        <w:rPr>
          <w:rFonts w:cs="Times New Roman"/>
        </w:rPr>
        <w:t xml:space="preserve">financial performance measured by </w:t>
      </w:r>
      <w:r w:rsidR="00FB0E7E" w:rsidRPr="00AE0B3D">
        <w:rPr>
          <w:rFonts w:cs="Times New Roman"/>
        </w:rPr>
        <w:t xml:space="preserve">the </w:t>
      </w:r>
      <w:r w:rsidR="006720C3">
        <w:t>ROA</w:t>
      </w:r>
      <w:r w:rsidR="006720C3" w:rsidRPr="00AE0B3D">
        <w:t xml:space="preserve"> </w:t>
      </w:r>
      <w:r w:rsidR="00FB0E7E" w:rsidRPr="00AE0B3D">
        <w:t xml:space="preserve">and </w:t>
      </w:r>
      <w:r w:rsidR="00FB0E7E" w:rsidRPr="00AE0B3D">
        <w:rPr>
          <w:rFonts w:cs="Times New Roman"/>
        </w:rPr>
        <w:t xml:space="preserve">ROE of the selected public listed </w:t>
      </w:r>
      <w:r w:rsidR="00FB0E7E" w:rsidRPr="00AE0B3D">
        <w:rPr>
          <w:rFonts w:cs="Times New Roman"/>
          <w:szCs w:val="24"/>
        </w:rPr>
        <w:t xml:space="preserve">companies in the Nairobi securities exchange </w:t>
      </w:r>
      <w:r w:rsidR="00075DEA" w:rsidRPr="00AE0B3D">
        <w:rPr>
          <w:rFonts w:cs="Times New Roman"/>
          <w:szCs w:val="24"/>
        </w:rPr>
        <w:t xml:space="preserve">between 2016 and 2018; </w:t>
      </w:r>
      <w:r w:rsidR="00FB0E7E" w:rsidRPr="00AE0B3D">
        <w:rPr>
          <w:rFonts w:cs="Times New Roman"/>
          <w:szCs w:val="24"/>
        </w:rPr>
        <w:t>level of management remuneration of the selected public listed companies in terms of salary, benefits, bonus</w:t>
      </w:r>
      <w:r w:rsidR="006720C3">
        <w:rPr>
          <w:rFonts w:cs="Times New Roman"/>
          <w:szCs w:val="24"/>
        </w:rPr>
        <w:t>,</w:t>
      </w:r>
      <w:r w:rsidR="002B5C76">
        <w:rPr>
          <w:rFonts w:cs="Times New Roman"/>
          <w:szCs w:val="24"/>
        </w:rPr>
        <w:t xml:space="preserve"> allowances,</w:t>
      </w:r>
      <w:r w:rsidR="00FB0E7E" w:rsidRPr="00AE0B3D">
        <w:rPr>
          <w:rFonts w:cs="Times New Roman"/>
          <w:szCs w:val="24"/>
        </w:rPr>
        <w:t xml:space="preserve"> shares</w:t>
      </w:r>
      <w:r w:rsidR="006720C3">
        <w:rPr>
          <w:rFonts w:cs="Times New Roman"/>
          <w:szCs w:val="24"/>
        </w:rPr>
        <w:t xml:space="preserve"> and employee performance share</w:t>
      </w:r>
      <w:r w:rsidR="00075DEA" w:rsidRPr="00AE0B3D">
        <w:rPr>
          <w:rFonts w:cs="Times New Roman"/>
          <w:szCs w:val="24"/>
        </w:rPr>
        <w:t xml:space="preserve">; </w:t>
      </w:r>
      <w:r w:rsidR="00FB0E7E" w:rsidRPr="00AE0B3D">
        <w:rPr>
          <w:rFonts w:cs="Times New Roman"/>
          <w:szCs w:val="24"/>
        </w:rPr>
        <w:t xml:space="preserve">relationship between management remuneration and financial performance of the selected public listed companies in the </w:t>
      </w:r>
      <w:r w:rsidR="00FB0E7E" w:rsidRPr="00AE0B3D">
        <w:rPr>
          <w:rFonts w:cs="Times New Roman"/>
        </w:rPr>
        <w:t>Nairobi securities exchange</w:t>
      </w:r>
      <w:r w:rsidR="00F268B2" w:rsidRPr="00AE0B3D">
        <w:rPr>
          <w:rFonts w:cs="Times New Roman"/>
          <w:szCs w:val="24"/>
        </w:rPr>
        <w:t xml:space="preserve">; and </w:t>
      </w:r>
      <w:r w:rsidR="00FB0E7E" w:rsidRPr="00AE0B3D">
        <w:rPr>
          <w:rFonts w:cs="Times New Roman"/>
          <w:szCs w:val="24"/>
        </w:rPr>
        <w:t xml:space="preserve">management remuneration strategies </w:t>
      </w:r>
      <w:r w:rsidR="00F1258D">
        <w:rPr>
          <w:rFonts w:cs="Times New Roman"/>
          <w:szCs w:val="24"/>
        </w:rPr>
        <w:t xml:space="preserve">that </w:t>
      </w:r>
      <w:r w:rsidR="00FB0E7E" w:rsidRPr="00AE0B3D">
        <w:rPr>
          <w:rFonts w:cs="Times New Roman"/>
          <w:szCs w:val="24"/>
        </w:rPr>
        <w:t xml:space="preserve">are the best predictors of financial performance </w:t>
      </w:r>
      <w:r w:rsidR="00FB0E7E" w:rsidRPr="00AE0B3D">
        <w:rPr>
          <w:rFonts w:cs="Times New Roman"/>
        </w:rPr>
        <w:t>of companies listed in the Nairobi securities exchange market</w:t>
      </w:r>
      <w:r w:rsidR="00F268B2" w:rsidRPr="00AE0B3D">
        <w:rPr>
          <w:rFonts w:cs="Times New Roman"/>
        </w:rPr>
        <w:t xml:space="preserve">. The listed companies were found to have </w:t>
      </w:r>
      <w:r w:rsidR="00F1258D">
        <w:rPr>
          <w:rFonts w:cs="Times New Roman"/>
        </w:rPr>
        <w:t>varying trend in ROA and ROE</w:t>
      </w:r>
      <w:r w:rsidR="00F268B2" w:rsidRPr="00AE0B3D">
        <w:rPr>
          <w:rFonts w:cs="Times New Roman"/>
        </w:rPr>
        <w:t xml:space="preserve"> performance </w:t>
      </w:r>
      <w:r w:rsidR="00D37C37" w:rsidRPr="00AE0B3D">
        <w:rPr>
          <w:rFonts w:cs="Times New Roman"/>
        </w:rPr>
        <w:t>in the three years studied</w:t>
      </w:r>
      <w:r w:rsidR="00F1258D">
        <w:rPr>
          <w:rFonts w:cs="Times New Roman"/>
        </w:rPr>
        <w:t xml:space="preserve"> that included increase over three years, decrease over the three years while other had </w:t>
      </w:r>
      <w:r w:rsidR="002F2D12">
        <w:rPr>
          <w:rFonts w:cs="Times New Roman"/>
        </w:rPr>
        <w:t>slight</w:t>
      </w:r>
      <w:r w:rsidR="00F1258D">
        <w:rPr>
          <w:rFonts w:cs="Times New Roman"/>
        </w:rPr>
        <w:t xml:space="preserve"> increase from 2016 to 2017 and then decrease in performance in 2018</w:t>
      </w:r>
      <w:r w:rsidR="00D37C37" w:rsidRPr="00AE0B3D">
        <w:rPr>
          <w:rFonts w:cs="Times New Roman"/>
        </w:rPr>
        <w:t xml:space="preserve">. </w:t>
      </w:r>
      <w:r w:rsidR="0091410A">
        <w:rPr>
          <w:rFonts w:cs="Times New Roman"/>
        </w:rPr>
        <w:t>Overall, the average annual ROA and ROE performance of the public limited companies decreased from 201</w:t>
      </w:r>
      <w:r w:rsidR="00155D11">
        <w:rPr>
          <w:rFonts w:cs="Times New Roman"/>
        </w:rPr>
        <w:t>6</w:t>
      </w:r>
      <w:r w:rsidR="0091410A">
        <w:rPr>
          <w:rFonts w:cs="Times New Roman"/>
        </w:rPr>
        <w:t xml:space="preserve"> to 2018. </w:t>
      </w:r>
      <w:r w:rsidR="0091410A" w:rsidRPr="00AE0B3D">
        <w:rPr>
          <w:rFonts w:cs="Times New Roman"/>
        </w:rPr>
        <w:t xml:space="preserve">The </w:t>
      </w:r>
      <w:r w:rsidR="0091410A">
        <w:rPr>
          <w:rFonts w:cs="Times New Roman"/>
        </w:rPr>
        <w:t xml:space="preserve">leading top management remuneration strategies utilised </w:t>
      </w:r>
      <w:r w:rsidR="00423875">
        <w:rPr>
          <w:rFonts w:cs="Times New Roman"/>
        </w:rPr>
        <w:t xml:space="preserve">by </w:t>
      </w:r>
      <w:r w:rsidR="00423875" w:rsidRPr="00AE0B3D">
        <w:rPr>
          <w:rFonts w:cs="Times New Roman"/>
        </w:rPr>
        <w:t>public listed</w:t>
      </w:r>
      <w:r w:rsidR="00423875">
        <w:rPr>
          <w:rFonts w:cs="Times New Roman"/>
        </w:rPr>
        <w:t xml:space="preserve"> companies were salary and benefits</w:t>
      </w:r>
      <w:r w:rsidR="00423875" w:rsidRPr="00AE0B3D">
        <w:rPr>
          <w:rFonts w:cs="Times New Roman"/>
        </w:rPr>
        <w:t>.</w:t>
      </w:r>
      <w:r w:rsidR="00423875">
        <w:rPr>
          <w:rFonts w:cs="Times New Roman"/>
        </w:rPr>
        <w:t xml:space="preserve"> </w:t>
      </w:r>
    </w:p>
    <w:p w14:paraId="3F893900" w14:textId="77777777" w:rsidR="0091410A" w:rsidRDefault="0091410A" w:rsidP="00BA326F">
      <w:pPr>
        <w:rPr>
          <w:rFonts w:cs="Times New Roman"/>
        </w:rPr>
        <w:sectPr w:rsidR="0091410A" w:rsidSect="0091410A">
          <w:pgSz w:w="12240" w:h="15840"/>
          <w:pgMar w:top="2160" w:right="1440" w:bottom="1440" w:left="2160" w:header="720" w:footer="720" w:gutter="0"/>
          <w:cols w:space="720"/>
          <w:docGrid w:linePitch="360"/>
        </w:sectPr>
      </w:pPr>
    </w:p>
    <w:p w14:paraId="0A503D06" w14:textId="0C025F3A" w:rsidR="0076380D" w:rsidRPr="00BA326F" w:rsidRDefault="00840BB3" w:rsidP="0091410A">
      <w:pPr>
        <w:ind w:firstLine="0"/>
        <w:rPr>
          <w:rFonts w:cs="Times New Roman"/>
        </w:rPr>
      </w:pPr>
      <w:r>
        <w:rPr>
          <w:rFonts w:cs="Times New Roman"/>
        </w:rPr>
        <w:lastRenderedPageBreak/>
        <w:t xml:space="preserve">Bonus was </w:t>
      </w:r>
      <w:r w:rsidRPr="00AE0B3D">
        <w:rPr>
          <w:rFonts w:cs="Times New Roman"/>
        </w:rPr>
        <w:t>found</w:t>
      </w:r>
      <w:r>
        <w:rPr>
          <w:rFonts w:cs="Times New Roman"/>
        </w:rPr>
        <w:t xml:space="preserve"> </w:t>
      </w:r>
      <w:r w:rsidRPr="00AE0B3D">
        <w:rPr>
          <w:rFonts w:cs="Times New Roman"/>
        </w:rPr>
        <w:t>to</w:t>
      </w:r>
      <w:r>
        <w:rPr>
          <w:rFonts w:cs="Times New Roman"/>
        </w:rPr>
        <w:t xml:space="preserve"> </w:t>
      </w:r>
      <w:r w:rsidRPr="00AE0B3D">
        <w:rPr>
          <w:rFonts w:cs="Times New Roman"/>
        </w:rPr>
        <w:t xml:space="preserve">have </w:t>
      </w:r>
      <w:r w:rsidR="00423875" w:rsidRPr="00AE0B3D">
        <w:rPr>
          <w:rFonts w:cs="Times New Roman"/>
        </w:rPr>
        <w:t xml:space="preserve">a positive </w:t>
      </w:r>
      <w:r w:rsidR="00423875">
        <w:rPr>
          <w:rFonts w:cs="Times New Roman"/>
        </w:rPr>
        <w:t>association</w:t>
      </w:r>
      <w:r w:rsidR="00423875" w:rsidRPr="00AE0B3D">
        <w:rPr>
          <w:rFonts w:cs="Times New Roman"/>
        </w:rPr>
        <w:t xml:space="preserve"> with</w:t>
      </w:r>
      <w:r w:rsidR="00423875">
        <w:rPr>
          <w:rFonts w:cs="Times New Roman"/>
        </w:rPr>
        <w:t xml:space="preserve"> ROA and ROE at </w:t>
      </w:r>
      <w:r w:rsidR="00155D11">
        <w:rPr>
          <w:rFonts w:cs="Times New Roman"/>
        </w:rPr>
        <w:t xml:space="preserve">p </w:t>
      </w:r>
      <w:r w:rsidR="00423875">
        <w:rPr>
          <w:rFonts w:cs="Times New Roman"/>
        </w:rPr>
        <w:t xml:space="preserve">value </w:t>
      </w:r>
      <w:r w:rsidR="00763A6D">
        <w:rPr>
          <w:rFonts w:cs="Times New Roman"/>
        </w:rPr>
        <w:t xml:space="preserve">of 0.1 and 0.05 </w:t>
      </w:r>
      <w:r w:rsidR="008F7818">
        <w:rPr>
          <w:rFonts w:cs="Times New Roman"/>
        </w:rPr>
        <w:t>respectively.</w:t>
      </w:r>
      <w:r w:rsidR="0064325E" w:rsidRPr="00AE0B3D">
        <w:rPr>
          <w:rFonts w:cs="Times New Roman"/>
        </w:rPr>
        <w:t xml:space="preserve"> </w:t>
      </w:r>
      <w:r w:rsidR="00C2461B">
        <w:rPr>
          <w:rFonts w:cs="Times New Roman"/>
        </w:rPr>
        <w:t>Bonus</w:t>
      </w:r>
      <w:r w:rsidR="00C2461B" w:rsidRPr="00AE0B3D">
        <w:rPr>
          <w:rFonts w:cs="Times New Roman"/>
        </w:rPr>
        <w:t xml:space="preserve"> </w:t>
      </w:r>
      <w:r w:rsidR="00C2461B">
        <w:rPr>
          <w:rFonts w:cs="Times New Roman"/>
        </w:rPr>
        <w:t>w</w:t>
      </w:r>
      <w:r w:rsidR="009025EB">
        <w:rPr>
          <w:rFonts w:cs="Times New Roman"/>
        </w:rPr>
        <w:t xml:space="preserve">as </w:t>
      </w:r>
      <w:r w:rsidR="00713175" w:rsidRPr="00AE0B3D">
        <w:rPr>
          <w:rFonts w:cs="Times New Roman"/>
        </w:rPr>
        <w:t>identified as the effective management remuneration strategy for public listed companies</w:t>
      </w:r>
      <w:r w:rsidR="00BA326F">
        <w:rPr>
          <w:rFonts w:cs="Times New Roman"/>
        </w:rPr>
        <w:t xml:space="preserve"> that influence financial performance. </w:t>
      </w:r>
    </w:p>
    <w:p w14:paraId="5CA2C14B" w14:textId="662764AB" w:rsidR="009D4E0A" w:rsidRPr="00AE0B3D" w:rsidRDefault="0076380D" w:rsidP="009D4E0A">
      <w:pPr>
        <w:pStyle w:val="Heading2"/>
      </w:pPr>
      <w:bookmarkStart w:id="85" w:name="_Toc78067539"/>
      <w:r w:rsidRPr="00AE0B3D">
        <w:t>Conclusion</w:t>
      </w:r>
      <w:bookmarkEnd w:id="85"/>
      <w:r w:rsidRPr="00AE0B3D">
        <w:t xml:space="preserve"> </w:t>
      </w:r>
    </w:p>
    <w:p w14:paraId="104DD2E9" w14:textId="454732CD" w:rsidR="0076380D" w:rsidRPr="00AE0B3D" w:rsidRDefault="00E42242" w:rsidP="00142F12">
      <w:r w:rsidRPr="00AE0B3D">
        <w:t xml:space="preserve">From the findings of the research there </w:t>
      </w:r>
      <w:r w:rsidR="00550678">
        <w:t xml:space="preserve">were </w:t>
      </w:r>
      <w:r w:rsidRPr="00AE0B3D">
        <w:t>various conclusions that were arrived</w:t>
      </w:r>
      <w:r w:rsidR="002C20BC" w:rsidRPr="00AE0B3D">
        <w:t xml:space="preserve"> at</w:t>
      </w:r>
      <w:r w:rsidRPr="00AE0B3D">
        <w:t>. First, the financial performance</w:t>
      </w:r>
      <w:r w:rsidR="00201C41">
        <w:t>,</w:t>
      </w:r>
      <w:r w:rsidRPr="00AE0B3D">
        <w:t xml:space="preserve"> </w:t>
      </w:r>
      <w:r w:rsidR="00BA326F">
        <w:t>measured by R</w:t>
      </w:r>
      <w:r w:rsidR="00201C41">
        <w:t xml:space="preserve">OA and ROE, </w:t>
      </w:r>
      <w:r w:rsidRPr="00AE0B3D">
        <w:t>of the public listed companies</w:t>
      </w:r>
      <w:r w:rsidR="005B784C" w:rsidRPr="00AE0B3D">
        <w:t xml:space="preserve"> differe</w:t>
      </w:r>
      <w:r w:rsidR="001276CA" w:rsidRPr="00AE0B3D">
        <w:t xml:space="preserve">d from one company to the </w:t>
      </w:r>
      <w:r w:rsidR="002F2D12" w:rsidRPr="00AE0B3D">
        <w:t xml:space="preserve">other. </w:t>
      </w:r>
      <w:r w:rsidRPr="00AE0B3D">
        <w:t xml:space="preserve">Secondly, the public listed companies were found to utilise more than one </w:t>
      </w:r>
      <w:r w:rsidR="005A6858" w:rsidRPr="00AE0B3D">
        <w:t>remuneration</w:t>
      </w:r>
      <w:r w:rsidRPr="00AE0B3D">
        <w:t xml:space="preserve"> strategies in compensating their top management that included bonuses, benefits, salary</w:t>
      </w:r>
      <w:r w:rsidR="00DC0A76">
        <w:t>,</w:t>
      </w:r>
      <w:r w:rsidR="00201C41">
        <w:t xml:space="preserve"> allowances,</w:t>
      </w:r>
      <w:r w:rsidR="00DC0A76">
        <w:t xml:space="preserve"> </w:t>
      </w:r>
      <w:r w:rsidRPr="00AE0B3D">
        <w:t>shares paid or allowed to be owned</w:t>
      </w:r>
      <w:r w:rsidR="00DC0A76">
        <w:t xml:space="preserve"> and </w:t>
      </w:r>
      <w:r w:rsidR="00DC0A76">
        <w:rPr>
          <w:rFonts w:cs="Times New Roman"/>
          <w:szCs w:val="24"/>
        </w:rPr>
        <w:t>employee performance share</w:t>
      </w:r>
      <w:r w:rsidRPr="00AE0B3D">
        <w:t xml:space="preserve">. Salary and benefits were the main remuneration strategies that were utilised by the listed companies. </w:t>
      </w:r>
      <w:r w:rsidR="00201C41">
        <w:t>Only bonus</w:t>
      </w:r>
      <w:r w:rsidRPr="00AE0B3D">
        <w:t xml:space="preserve"> was found to significantly influence the financial performance of the public listed companies that were measured as </w:t>
      </w:r>
      <w:r w:rsidR="002A79B4">
        <w:t xml:space="preserve">ROA </w:t>
      </w:r>
      <w:r w:rsidRPr="00AE0B3D">
        <w:t xml:space="preserve">and ROE. </w:t>
      </w:r>
      <w:r w:rsidR="00B23E87">
        <w:t xml:space="preserve">All the other remuneration had no significant influence on the financial performance of the public listed companies. </w:t>
      </w:r>
      <w:r w:rsidRPr="00AE0B3D">
        <w:t xml:space="preserve">Of the management remunerations evaluated, </w:t>
      </w:r>
      <w:r w:rsidR="009744BC">
        <w:rPr>
          <w:rFonts w:cs="Times New Roman"/>
        </w:rPr>
        <w:t>bonus</w:t>
      </w:r>
      <w:r w:rsidR="00550678">
        <w:rPr>
          <w:rFonts w:cs="Times New Roman"/>
        </w:rPr>
        <w:t xml:space="preserve"> was</w:t>
      </w:r>
      <w:r w:rsidRPr="00AE0B3D">
        <w:t xml:space="preserve"> identified as the best predictor of financial performance of the publicly listed companies. </w:t>
      </w:r>
    </w:p>
    <w:p w14:paraId="32E0B492" w14:textId="14A0DF82" w:rsidR="0076380D" w:rsidRPr="00AE0B3D" w:rsidRDefault="0076380D" w:rsidP="009D4E0A">
      <w:pPr>
        <w:pStyle w:val="Heading2"/>
      </w:pPr>
      <w:bookmarkStart w:id="86" w:name="_Toc78067540"/>
      <w:r w:rsidRPr="00AE0B3D">
        <w:t>Recommendations</w:t>
      </w:r>
      <w:bookmarkEnd w:id="86"/>
    </w:p>
    <w:p w14:paraId="20A7F11F" w14:textId="77777777" w:rsidR="00C83493" w:rsidRPr="00AE0B3D" w:rsidRDefault="00C83493" w:rsidP="00C83493">
      <w:r w:rsidRPr="00AE0B3D">
        <w:t>From the study, the following are the recommendations,</w:t>
      </w:r>
    </w:p>
    <w:p w14:paraId="65D9FCBD" w14:textId="48AB73B9" w:rsidR="00C83493" w:rsidRPr="00AE0B3D" w:rsidRDefault="00C83493" w:rsidP="00C83493">
      <w:r w:rsidRPr="00AE0B3D">
        <w:t>The financial performance of the selected companies was found to differ within the study period. It is thus recommended that further research to be undertaken to evaluate the reasons and factors that lead to the difference in</w:t>
      </w:r>
      <w:r w:rsidR="005E05A5">
        <w:t xml:space="preserve"> financial</w:t>
      </w:r>
      <w:r w:rsidRPr="00AE0B3D">
        <w:t xml:space="preserve"> performance among the public listed companies. </w:t>
      </w:r>
    </w:p>
    <w:p w14:paraId="76C1CDA0" w14:textId="49D027FD" w:rsidR="00C83493" w:rsidRPr="00AE0B3D" w:rsidRDefault="00C83493" w:rsidP="00C83493">
      <w:r w:rsidRPr="00AE0B3D">
        <w:lastRenderedPageBreak/>
        <w:t xml:space="preserve">The selected companies were found to utilise different management remuneration strategies for the top management. It is thus recommended further research to be undertaken on analysing the rational for selecting of different management </w:t>
      </w:r>
      <w:r w:rsidR="005A6858" w:rsidRPr="00AE0B3D">
        <w:t>remuneration</w:t>
      </w:r>
      <w:r w:rsidRPr="00AE0B3D">
        <w:t>s by the companies.</w:t>
      </w:r>
    </w:p>
    <w:p w14:paraId="3A358E8B" w14:textId="1D2C7E97" w:rsidR="00C83493" w:rsidRPr="00AE0B3D" w:rsidRDefault="005E05A5" w:rsidP="00C83493">
      <w:r>
        <w:t>Bonus</w:t>
      </w:r>
      <w:r w:rsidR="00C83493" w:rsidRPr="00AE0B3D">
        <w:t xml:space="preserve"> was found to influence the financial performance of the public listed companies. It is thus recommended that management of public listed companies to </w:t>
      </w:r>
      <w:r>
        <w:t>adopt bonus as part of top management</w:t>
      </w:r>
      <w:r w:rsidR="00C83493" w:rsidRPr="00AE0B3D">
        <w:t xml:space="preserve"> remuneration </w:t>
      </w:r>
      <w:r w:rsidR="00155D11">
        <w:t>measure</w:t>
      </w:r>
      <w:r w:rsidR="00C83493" w:rsidRPr="00AE0B3D">
        <w:t xml:space="preserve"> </w:t>
      </w:r>
      <w:r>
        <w:t>to influence improvement in financial</w:t>
      </w:r>
      <w:r w:rsidR="00C83493" w:rsidRPr="00AE0B3D">
        <w:t xml:space="preserve"> performance of the organisation. </w:t>
      </w:r>
    </w:p>
    <w:p w14:paraId="33AA2F48" w14:textId="59429E1E" w:rsidR="00C83493" w:rsidRPr="00AE0B3D" w:rsidRDefault="00AC056A" w:rsidP="00C83493">
      <w:r>
        <w:rPr>
          <w:rFonts w:cs="Times New Roman"/>
        </w:rPr>
        <w:t xml:space="preserve">Bonus </w:t>
      </w:r>
      <w:r>
        <w:t>w</w:t>
      </w:r>
      <w:r w:rsidR="00C75A85">
        <w:t>as</w:t>
      </w:r>
      <w:r w:rsidRPr="00AE0B3D">
        <w:t xml:space="preserve"> </w:t>
      </w:r>
      <w:r w:rsidR="00C83493" w:rsidRPr="00AE0B3D">
        <w:t xml:space="preserve">identified as the most appropriate predictor of the financial performance of public listed companies. It is recommended that organisations to adopt </w:t>
      </w:r>
      <w:r>
        <w:rPr>
          <w:rFonts w:cs="Times New Roman"/>
        </w:rPr>
        <w:t xml:space="preserve">bonus </w:t>
      </w:r>
      <w:r w:rsidR="00C83493" w:rsidRPr="00AE0B3D">
        <w:t xml:space="preserve">as the leading motivator and reward for top management to influence improvement in financial performance. </w:t>
      </w:r>
    </w:p>
    <w:p w14:paraId="7AAB2DCE" w14:textId="77777777" w:rsidR="0076380D" w:rsidRPr="00AE0B3D" w:rsidRDefault="0076380D" w:rsidP="0076380D"/>
    <w:p w14:paraId="0F9B7E57" w14:textId="77777777" w:rsidR="00FF090E" w:rsidRPr="00AE0B3D" w:rsidRDefault="00FF090E">
      <w:pPr>
        <w:spacing w:line="259" w:lineRule="auto"/>
        <w:ind w:firstLine="0"/>
        <w:jc w:val="left"/>
        <w:rPr>
          <w:rFonts w:cs="Times New Roman"/>
        </w:rPr>
      </w:pPr>
      <w:r w:rsidRPr="00AE0B3D">
        <w:rPr>
          <w:rFonts w:cs="Times New Roman"/>
        </w:rPr>
        <w:br w:type="page"/>
      </w:r>
    </w:p>
    <w:p w14:paraId="16C23977" w14:textId="7DA4D908" w:rsidR="00FF090E" w:rsidRPr="00AE0B3D" w:rsidRDefault="00B004BB" w:rsidP="00FF090E">
      <w:pPr>
        <w:pStyle w:val="Heading1"/>
      </w:pPr>
      <w:bookmarkStart w:id="87" w:name="_Toc78067541"/>
      <w:r w:rsidRPr="00AE0B3D">
        <w:lastRenderedPageBreak/>
        <w:t>REFERENCES</w:t>
      </w:r>
      <w:bookmarkEnd w:id="87"/>
    </w:p>
    <w:p w14:paraId="4CEE297D" w14:textId="79B7DECF" w:rsidR="00F021FB" w:rsidRPr="00F021FB" w:rsidRDefault="00FF090E" w:rsidP="00F021FB">
      <w:pPr>
        <w:widowControl w:val="0"/>
        <w:autoSpaceDE w:val="0"/>
        <w:autoSpaceDN w:val="0"/>
        <w:adjustRightInd w:val="0"/>
        <w:spacing w:before="240" w:after="0"/>
        <w:ind w:left="480" w:hanging="480"/>
        <w:rPr>
          <w:rFonts w:cs="Times New Roman"/>
          <w:noProof/>
          <w:szCs w:val="24"/>
        </w:rPr>
      </w:pPr>
      <w:r w:rsidRPr="00AE0B3D">
        <w:fldChar w:fldCharType="begin" w:fldLock="1"/>
      </w:r>
      <w:r w:rsidRPr="00AE0B3D">
        <w:instrText xml:space="preserve">ADDIN Mendeley Bibliography CSL_BIBLIOGRAPHY </w:instrText>
      </w:r>
      <w:r w:rsidRPr="00AE0B3D">
        <w:fldChar w:fldCharType="separate"/>
      </w:r>
      <w:r w:rsidR="00F021FB" w:rsidRPr="00F021FB">
        <w:rPr>
          <w:rFonts w:cs="Times New Roman"/>
          <w:noProof/>
          <w:szCs w:val="24"/>
        </w:rPr>
        <w:t xml:space="preserve">Adeoye, A. O., &amp; Fields, Z. (2014). </w:t>
      </w:r>
      <w:r w:rsidR="00677B54" w:rsidRPr="00F021FB">
        <w:rPr>
          <w:rFonts w:cs="Times New Roman"/>
          <w:noProof/>
          <w:szCs w:val="24"/>
        </w:rPr>
        <w:t>Compensation management and employee job satisfaction</w:t>
      </w:r>
      <w:r w:rsidR="00F021FB" w:rsidRPr="00F021FB">
        <w:rPr>
          <w:rFonts w:cs="Times New Roman"/>
          <w:noProof/>
          <w:szCs w:val="24"/>
        </w:rPr>
        <w:t xml:space="preserve">: </w:t>
      </w:r>
      <w:r w:rsidR="0032136C" w:rsidRPr="00F021FB">
        <w:rPr>
          <w:rFonts w:cs="Times New Roman"/>
          <w:noProof/>
          <w:szCs w:val="24"/>
        </w:rPr>
        <w:t>a ca</w:t>
      </w:r>
      <w:r w:rsidR="00F021FB" w:rsidRPr="00F021FB">
        <w:rPr>
          <w:rFonts w:cs="Times New Roman"/>
          <w:noProof/>
          <w:szCs w:val="24"/>
        </w:rPr>
        <w:t xml:space="preserve">se of Nigeria. </w:t>
      </w:r>
      <w:r w:rsidR="00F021FB" w:rsidRPr="00F021FB">
        <w:rPr>
          <w:rFonts w:cs="Times New Roman"/>
          <w:i/>
          <w:iCs/>
          <w:noProof/>
          <w:szCs w:val="24"/>
        </w:rPr>
        <w:t>Journal of Social Sciences</w:t>
      </w:r>
      <w:r w:rsidR="00F021FB" w:rsidRPr="00F021FB">
        <w:rPr>
          <w:rFonts w:cs="Times New Roman"/>
          <w:noProof/>
          <w:szCs w:val="24"/>
        </w:rPr>
        <w:t xml:space="preserve">, </w:t>
      </w:r>
      <w:r w:rsidR="00F021FB" w:rsidRPr="00F021FB">
        <w:rPr>
          <w:rFonts w:cs="Times New Roman"/>
          <w:i/>
          <w:iCs/>
          <w:noProof/>
          <w:szCs w:val="24"/>
        </w:rPr>
        <w:t>41</w:t>
      </w:r>
      <w:r w:rsidR="00F021FB" w:rsidRPr="00F021FB">
        <w:rPr>
          <w:rFonts w:cs="Times New Roman"/>
          <w:noProof/>
          <w:szCs w:val="24"/>
        </w:rPr>
        <w:t>(3), 345–352. https://doi.org/10.1080/09718923.2014.11893369</w:t>
      </w:r>
    </w:p>
    <w:p w14:paraId="67BA7347" w14:textId="6ED728B2"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Aguenza, B. B., &amp; Som, A. P. M. (2012). </w:t>
      </w:r>
      <w:r w:rsidR="00677B54" w:rsidRPr="00F021FB">
        <w:rPr>
          <w:rFonts w:cs="Times New Roman"/>
          <w:i/>
          <w:iCs/>
          <w:noProof/>
          <w:szCs w:val="24"/>
        </w:rPr>
        <w:t>Motivational factors of employee retention and engagement in organizations</w:t>
      </w:r>
      <w:r w:rsidRPr="00F021FB">
        <w:rPr>
          <w:rFonts w:cs="Times New Roman"/>
          <w:noProof/>
          <w:szCs w:val="24"/>
        </w:rPr>
        <w:t>. 1–32.</w:t>
      </w:r>
    </w:p>
    <w:p w14:paraId="76E566F2" w14:textId="7DE1F20C"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Ahammad, F. M., Lee, S. M., Malul, M., &amp; Shoham, A. (2015). Behavioral ambidexterity: </w:t>
      </w:r>
      <w:r w:rsidR="0032136C" w:rsidRPr="00F021FB">
        <w:rPr>
          <w:rFonts w:cs="Times New Roman"/>
          <w:noProof/>
          <w:szCs w:val="24"/>
        </w:rPr>
        <w:t>th</w:t>
      </w:r>
      <w:r w:rsidRPr="00F021FB">
        <w:rPr>
          <w:rFonts w:cs="Times New Roman"/>
          <w:noProof/>
          <w:szCs w:val="24"/>
        </w:rPr>
        <w:t xml:space="preserve">e impact of incentive schemes on productivity, motivation, and performance of employees in commercial banks. </w:t>
      </w:r>
      <w:r w:rsidRPr="00F021FB">
        <w:rPr>
          <w:rFonts w:cs="Times New Roman"/>
          <w:i/>
          <w:iCs/>
          <w:noProof/>
          <w:szCs w:val="24"/>
        </w:rPr>
        <w:t>Human Resource Management</w:t>
      </w:r>
      <w:r w:rsidRPr="00F021FB">
        <w:rPr>
          <w:rFonts w:cs="Times New Roman"/>
          <w:noProof/>
          <w:szCs w:val="24"/>
        </w:rPr>
        <w:t xml:space="preserve">, </w:t>
      </w:r>
      <w:r w:rsidRPr="00F021FB">
        <w:rPr>
          <w:rFonts w:cs="Times New Roman"/>
          <w:i/>
          <w:iCs/>
          <w:noProof/>
          <w:szCs w:val="24"/>
        </w:rPr>
        <w:t>54</w:t>
      </w:r>
      <w:r w:rsidRPr="00F021FB">
        <w:rPr>
          <w:rFonts w:cs="Times New Roman"/>
          <w:noProof/>
          <w:szCs w:val="24"/>
        </w:rPr>
        <w:t>(1), s45–s62. https://doi.org/10.1002/hrm</w:t>
      </w:r>
    </w:p>
    <w:p w14:paraId="59AB514A" w14:textId="6F967775"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Aktar, S. (2012). </w:t>
      </w:r>
      <w:r w:rsidR="00677B54" w:rsidRPr="0032136C">
        <w:rPr>
          <w:rFonts w:cs="Times New Roman"/>
          <w:noProof/>
          <w:szCs w:val="24"/>
        </w:rPr>
        <w:t xml:space="preserve">The impact of rewards on employee performance in commercial banks of </w:t>
      </w:r>
      <w:r w:rsidR="00467E98" w:rsidRPr="0032136C">
        <w:rPr>
          <w:rFonts w:cs="Times New Roman"/>
          <w:noProof/>
          <w:szCs w:val="24"/>
        </w:rPr>
        <w:t>B</w:t>
      </w:r>
      <w:r w:rsidR="00677B54" w:rsidRPr="0032136C">
        <w:rPr>
          <w:rFonts w:cs="Times New Roman"/>
          <w:noProof/>
          <w:szCs w:val="24"/>
        </w:rPr>
        <w:t xml:space="preserve">angladesh: </w:t>
      </w:r>
      <w:r w:rsidR="0032136C" w:rsidRPr="0032136C">
        <w:rPr>
          <w:rFonts w:cs="Times New Roman"/>
          <w:noProof/>
          <w:szCs w:val="24"/>
        </w:rPr>
        <w:t>an</w:t>
      </w:r>
      <w:r w:rsidR="00677B54" w:rsidRPr="0032136C">
        <w:rPr>
          <w:rFonts w:cs="Times New Roman"/>
          <w:noProof/>
          <w:szCs w:val="24"/>
        </w:rPr>
        <w:t xml:space="preserve"> empirical s</w:t>
      </w:r>
      <w:r w:rsidRPr="0032136C">
        <w:rPr>
          <w:rFonts w:cs="Times New Roman"/>
          <w:noProof/>
          <w:szCs w:val="24"/>
        </w:rPr>
        <w:t>tudy.</w:t>
      </w:r>
      <w:r w:rsidRPr="00F021FB">
        <w:rPr>
          <w:rFonts w:cs="Times New Roman"/>
          <w:noProof/>
          <w:szCs w:val="24"/>
        </w:rPr>
        <w:t xml:space="preserve"> </w:t>
      </w:r>
      <w:r w:rsidRPr="00F021FB">
        <w:rPr>
          <w:rFonts w:cs="Times New Roman"/>
          <w:i/>
          <w:iCs/>
          <w:noProof/>
          <w:szCs w:val="24"/>
        </w:rPr>
        <w:t>IOSR Journal of Business and Management</w:t>
      </w:r>
      <w:r w:rsidRPr="00F021FB">
        <w:rPr>
          <w:rFonts w:cs="Times New Roman"/>
          <w:noProof/>
          <w:szCs w:val="24"/>
        </w:rPr>
        <w:t xml:space="preserve">, </w:t>
      </w:r>
      <w:r w:rsidRPr="00F021FB">
        <w:rPr>
          <w:rFonts w:cs="Times New Roman"/>
          <w:i/>
          <w:iCs/>
          <w:noProof/>
          <w:szCs w:val="24"/>
        </w:rPr>
        <w:t>6</w:t>
      </w:r>
      <w:r w:rsidRPr="00F021FB">
        <w:rPr>
          <w:rFonts w:cs="Times New Roman"/>
          <w:noProof/>
          <w:szCs w:val="24"/>
        </w:rPr>
        <w:t>(2), 9–15. https://doi.org/10.9790/487x-0620915</w:t>
      </w:r>
    </w:p>
    <w:p w14:paraId="1C5A7BFF" w14:textId="02EC5B9E"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Al-Najjar, B. (2017). Corporate governance</w:t>
      </w:r>
      <w:r w:rsidR="00A76287">
        <w:rPr>
          <w:rFonts w:cs="Times New Roman"/>
          <w:noProof/>
          <w:szCs w:val="24"/>
        </w:rPr>
        <w:t xml:space="preserve"> and CEO pay: </w:t>
      </w:r>
      <w:r w:rsidR="0032136C">
        <w:rPr>
          <w:rFonts w:cs="Times New Roman"/>
          <w:noProof/>
          <w:szCs w:val="24"/>
        </w:rPr>
        <w:t>evi</w:t>
      </w:r>
      <w:r w:rsidR="00A76287">
        <w:rPr>
          <w:rFonts w:cs="Times New Roman"/>
          <w:noProof/>
          <w:szCs w:val="24"/>
        </w:rPr>
        <w:t>dence from UK travel and l</w:t>
      </w:r>
      <w:r w:rsidRPr="00F021FB">
        <w:rPr>
          <w:rFonts w:cs="Times New Roman"/>
          <w:noProof/>
          <w:szCs w:val="24"/>
        </w:rPr>
        <w:t xml:space="preserve">eisure listed firms. </w:t>
      </w:r>
      <w:r w:rsidRPr="00F021FB">
        <w:rPr>
          <w:rFonts w:cs="Times New Roman"/>
          <w:i/>
          <w:iCs/>
          <w:noProof/>
          <w:szCs w:val="24"/>
        </w:rPr>
        <w:t>Tourism Management</w:t>
      </w:r>
      <w:r w:rsidRPr="00F021FB">
        <w:rPr>
          <w:rFonts w:cs="Times New Roman"/>
          <w:noProof/>
          <w:szCs w:val="24"/>
        </w:rPr>
        <w:t xml:space="preserve">, </w:t>
      </w:r>
      <w:r w:rsidRPr="00F021FB">
        <w:rPr>
          <w:rFonts w:cs="Times New Roman"/>
          <w:i/>
          <w:iCs/>
          <w:noProof/>
          <w:szCs w:val="24"/>
        </w:rPr>
        <w:t>60</w:t>
      </w:r>
      <w:r w:rsidRPr="00F021FB">
        <w:rPr>
          <w:rFonts w:cs="Times New Roman"/>
          <w:noProof/>
          <w:szCs w:val="24"/>
        </w:rPr>
        <w:t>, 9–14. https://doi.org/10.1016/j.tourman.2016.11.005</w:t>
      </w:r>
    </w:p>
    <w:p w14:paraId="56539FA1" w14:textId="5E5C1985"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Ameer, R., &amp; Othman, R. (2012). </w:t>
      </w:r>
      <w:r w:rsidR="0032136C" w:rsidRPr="00F021FB">
        <w:rPr>
          <w:rFonts w:cs="Times New Roman"/>
          <w:noProof/>
          <w:szCs w:val="24"/>
        </w:rPr>
        <w:t>Sustainability practices and corporate financial performance: a study based on the top global corporations.</w:t>
      </w:r>
      <w:r w:rsidRPr="00F021FB">
        <w:rPr>
          <w:rFonts w:cs="Times New Roman"/>
          <w:noProof/>
          <w:szCs w:val="24"/>
        </w:rPr>
        <w:t xml:space="preserve"> </w:t>
      </w:r>
      <w:r w:rsidRPr="00F021FB">
        <w:rPr>
          <w:rFonts w:cs="Times New Roman"/>
          <w:i/>
          <w:iCs/>
          <w:noProof/>
          <w:szCs w:val="24"/>
        </w:rPr>
        <w:t>Journal of Business Ethics</w:t>
      </w:r>
      <w:r w:rsidRPr="00F021FB">
        <w:rPr>
          <w:rFonts w:cs="Times New Roman"/>
          <w:noProof/>
          <w:szCs w:val="24"/>
        </w:rPr>
        <w:t xml:space="preserve">, </w:t>
      </w:r>
      <w:r w:rsidRPr="00F021FB">
        <w:rPr>
          <w:rFonts w:cs="Times New Roman"/>
          <w:i/>
          <w:iCs/>
          <w:noProof/>
          <w:szCs w:val="24"/>
        </w:rPr>
        <w:t>108</w:t>
      </w:r>
      <w:r w:rsidRPr="00F021FB">
        <w:rPr>
          <w:rFonts w:cs="Times New Roman"/>
          <w:noProof/>
          <w:szCs w:val="24"/>
        </w:rPr>
        <w:t>(1), 61–79. https://doi.org/10.1007/s10551-011-1063-y</w:t>
      </w:r>
    </w:p>
    <w:p w14:paraId="611FD3F4"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Audretsch, D., Lehmann, E., &amp; Wright, E. (2014). Technology transfer in a global </w:t>
      </w:r>
      <w:r w:rsidRPr="00F021FB">
        <w:rPr>
          <w:rFonts w:cs="Times New Roman"/>
          <w:noProof/>
          <w:szCs w:val="24"/>
        </w:rPr>
        <w:lastRenderedPageBreak/>
        <w:t xml:space="preserve">economy. </w:t>
      </w:r>
      <w:r w:rsidRPr="00F021FB">
        <w:rPr>
          <w:rFonts w:cs="Times New Roman"/>
          <w:i/>
          <w:iCs/>
          <w:noProof/>
          <w:szCs w:val="24"/>
        </w:rPr>
        <w:t>The Journal of Technology Transfer</w:t>
      </w:r>
      <w:r w:rsidRPr="00F021FB">
        <w:rPr>
          <w:rFonts w:cs="Times New Roman"/>
          <w:noProof/>
          <w:szCs w:val="24"/>
        </w:rPr>
        <w:t xml:space="preserve">, </w:t>
      </w:r>
      <w:r w:rsidRPr="00F021FB">
        <w:rPr>
          <w:rFonts w:cs="Times New Roman"/>
          <w:i/>
          <w:iCs/>
          <w:noProof/>
          <w:szCs w:val="24"/>
        </w:rPr>
        <w:t>39</w:t>
      </w:r>
      <w:r w:rsidRPr="00F021FB">
        <w:rPr>
          <w:rFonts w:cs="Times New Roman"/>
          <w:noProof/>
          <w:szCs w:val="24"/>
        </w:rPr>
        <w:t>(3), 301–312. https://link.springer.com/article/10.1007/s10961-012-9283-6</w:t>
      </w:r>
    </w:p>
    <w:p w14:paraId="1D132A22" w14:textId="1B128398"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Bach, S. (2009). </w:t>
      </w:r>
      <w:r w:rsidRPr="00F021FB">
        <w:rPr>
          <w:rFonts w:cs="Times New Roman"/>
          <w:i/>
          <w:iCs/>
          <w:noProof/>
          <w:szCs w:val="24"/>
        </w:rPr>
        <w:t>Managing human resources: personnel management in transition</w:t>
      </w:r>
      <w:r w:rsidRPr="00F021FB">
        <w:rPr>
          <w:rFonts w:cs="Times New Roman"/>
          <w:noProof/>
          <w:szCs w:val="24"/>
        </w:rPr>
        <w:t xml:space="preserve">. </w:t>
      </w:r>
    </w:p>
    <w:p w14:paraId="034422D0" w14:textId="1A19EDD4"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Beauvais, A. M., Stewart, J. G., DeNisco, S., &amp; Beauvais, J. E. (2014). Factors related to academic success among nursing studen</w:t>
      </w:r>
      <w:r w:rsidR="004B113B" w:rsidRPr="00F021FB">
        <w:rPr>
          <w:rFonts w:cs="Times New Roman"/>
          <w:noProof/>
          <w:szCs w:val="24"/>
        </w:rPr>
        <w:t>ts: a d</w:t>
      </w:r>
      <w:r w:rsidRPr="00F021FB">
        <w:rPr>
          <w:rFonts w:cs="Times New Roman"/>
          <w:noProof/>
          <w:szCs w:val="24"/>
        </w:rPr>
        <w:t xml:space="preserve">escriptive correlational research study. </w:t>
      </w:r>
      <w:r w:rsidRPr="00F021FB">
        <w:rPr>
          <w:rFonts w:cs="Times New Roman"/>
          <w:i/>
          <w:iCs/>
          <w:noProof/>
          <w:szCs w:val="24"/>
        </w:rPr>
        <w:t>Nurse Education Today</w:t>
      </w:r>
      <w:r w:rsidRPr="00F021FB">
        <w:rPr>
          <w:rFonts w:cs="Times New Roman"/>
          <w:noProof/>
          <w:szCs w:val="24"/>
        </w:rPr>
        <w:t xml:space="preserve">, </w:t>
      </w:r>
      <w:r w:rsidRPr="00F021FB">
        <w:rPr>
          <w:rFonts w:cs="Times New Roman"/>
          <w:i/>
          <w:iCs/>
          <w:noProof/>
          <w:szCs w:val="24"/>
        </w:rPr>
        <w:t>34</w:t>
      </w:r>
      <w:r w:rsidRPr="00F021FB">
        <w:rPr>
          <w:rFonts w:cs="Times New Roman"/>
          <w:noProof/>
          <w:szCs w:val="24"/>
        </w:rPr>
        <w:t>(6), 918–923. https://doi.org/10.1016/j.nedt.2013.12.005</w:t>
      </w:r>
    </w:p>
    <w:p w14:paraId="67F82B79"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Bennett, B., Bettis, J. C., Gopalan, R., &amp; Milbourn, T. (2017). Compensation goals and firm performance. </w:t>
      </w:r>
      <w:r w:rsidRPr="00F021FB">
        <w:rPr>
          <w:rFonts w:cs="Times New Roman"/>
          <w:i/>
          <w:iCs/>
          <w:noProof/>
          <w:szCs w:val="24"/>
        </w:rPr>
        <w:t>Journal of Financial Economics</w:t>
      </w:r>
      <w:r w:rsidRPr="00F021FB">
        <w:rPr>
          <w:rFonts w:cs="Times New Roman"/>
          <w:noProof/>
          <w:szCs w:val="24"/>
        </w:rPr>
        <w:t xml:space="preserve">, </w:t>
      </w:r>
      <w:r w:rsidRPr="00F021FB">
        <w:rPr>
          <w:rFonts w:cs="Times New Roman"/>
          <w:i/>
          <w:iCs/>
          <w:noProof/>
          <w:szCs w:val="24"/>
        </w:rPr>
        <w:t>124</w:t>
      </w:r>
      <w:r w:rsidRPr="00F021FB">
        <w:rPr>
          <w:rFonts w:cs="Times New Roman"/>
          <w:noProof/>
          <w:szCs w:val="24"/>
        </w:rPr>
        <w:t>(2), 307–330. https://doi.org/10.1016/j.jfineco.2017.01.010</w:t>
      </w:r>
    </w:p>
    <w:p w14:paraId="36A8BDB7"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Bernsten, C., Andersson, K., Gariepy, Y., &amp; Simoens, S. (2010). A comparative analysis of remuneration models for pharmaceutical professional services. </w:t>
      </w:r>
      <w:r w:rsidRPr="00F021FB">
        <w:rPr>
          <w:rFonts w:cs="Times New Roman"/>
          <w:i/>
          <w:iCs/>
          <w:noProof/>
          <w:szCs w:val="24"/>
        </w:rPr>
        <w:t>Health Policy</w:t>
      </w:r>
      <w:r w:rsidRPr="00F021FB">
        <w:rPr>
          <w:rFonts w:cs="Times New Roman"/>
          <w:noProof/>
          <w:szCs w:val="24"/>
        </w:rPr>
        <w:t xml:space="preserve">, </w:t>
      </w:r>
      <w:r w:rsidRPr="00F021FB">
        <w:rPr>
          <w:rFonts w:cs="Times New Roman"/>
          <w:i/>
          <w:iCs/>
          <w:noProof/>
          <w:szCs w:val="24"/>
        </w:rPr>
        <w:t>95</w:t>
      </w:r>
      <w:r w:rsidRPr="00F021FB">
        <w:rPr>
          <w:rFonts w:cs="Times New Roman"/>
          <w:noProof/>
          <w:szCs w:val="24"/>
        </w:rPr>
        <w:t>(1), 1–9. https://doi.org/10.1016/j.healthpol.2009.11.008</w:t>
      </w:r>
    </w:p>
    <w:p w14:paraId="0282F086"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Borrego, M., Douglas, E. P., &amp; Amelink, C. T. (2009). Quantitative, qualitative, and mixed research methods in engineering education. </w:t>
      </w:r>
      <w:r w:rsidRPr="00F021FB">
        <w:rPr>
          <w:rFonts w:cs="Times New Roman"/>
          <w:i/>
          <w:iCs/>
          <w:noProof/>
          <w:szCs w:val="24"/>
        </w:rPr>
        <w:t>Journal of Engineering Education</w:t>
      </w:r>
      <w:r w:rsidRPr="00F021FB">
        <w:rPr>
          <w:rFonts w:cs="Times New Roman"/>
          <w:noProof/>
          <w:szCs w:val="24"/>
        </w:rPr>
        <w:t xml:space="preserve">, </w:t>
      </w:r>
      <w:r w:rsidRPr="00F021FB">
        <w:rPr>
          <w:rFonts w:cs="Times New Roman"/>
          <w:i/>
          <w:iCs/>
          <w:noProof/>
          <w:szCs w:val="24"/>
        </w:rPr>
        <w:t>98</w:t>
      </w:r>
      <w:r w:rsidRPr="00F021FB">
        <w:rPr>
          <w:rFonts w:cs="Times New Roman"/>
          <w:noProof/>
          <w:szCs w:val="24"/>
        </w:rPr>
        <w:t>(1), 53–66. https://doi.org/10.1002/j.2168-9830.2009.tb01005.x</w:t>
      </w:r>
    </w:p>
    <w:p w14:paraId="7451EC64" w14:textId="3F94F5E6"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Brick, I. E., Palmon, O., &amp; Wald, J. K. (2006). CEO </w:t>
      </w:r>
      <w:r w:rsidR="00A76287" w:rsidRPr="00F021FB">
        <w:rPr>
          <w:rFonts w:cs="Times New Roman"/>
          <w:noProof/>
          <w:szCs w:val="24"/>
        </w:rPr>
        <w:t>compensation, director compensation, and firm performance</w:t>
      </w:r>
      <w:r w:rsidRPr="00F021FB">
        <w:rPr>
          <w:rFonts w:cs="Times New Roman"/>
          <w:noProof/>
          <w:szCs w:val="24"/>
        </w:rPr>
        <w:t xml:space="preserve">. </w:t>
      </w:r>
      <w:r w:rsidRPr="00F021FB">
        <w:rPr>
          <w:rFonts w:cs="Times New Roman"/>
          <w:i/>
          <w:iCs/>
          <w:noProof/>
          <w:szCs w:val="24"/>
        </w:rPr>
        <w:t>Journal of Corporate Finance</w:t>
      </w:r>
      <w:r w:rsidRPr="00F021FB">
        <w:rPr>
          <w:rFonts w:cs="Times New Roman"/>
          <w:noProof/>
          <w:szCs w:val="24"/>
        </w:rPr>
        <w:t xml:space="preserve">, </w:t>
      </w:r>
      <w:r w:rsidRPr="00F021FB">
        <w:rPr>
          <w:rFonts w:cs="Times New Roman"/>
          <w:i/>
          <w:iCs/>
          <w:noProof/>
          <w:szCs w:val="24"/>
        </w:rPr>
        <w:t>12</w:t>
      </w:r>
      <w:r w:rsidRPr="00F021FB">
        <w:rPr>
          <w:rFonts w:cs="Times New Roman"/>
          <w:noProof/>
          <w:szCs w:val="24"/>
        </w:rPr>
        <w:t>(3), 403–423.</w:t>
      </w:r>
    </w:p>
    <w:p w14:paraId="05E69C83"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Bussin, M. (2015). CEO pay-performance sensitivity in the South African context. </w:t>
      </w:r>
      <w:r w:rsidRPr="00F021FB">
        <w:rPr>
          <w:rFonts w:cs="Times New Roman"/>
          <w:i/>
          <w:iCs/>
          <w:noProof/>
          <w:szCs w:val="24"/>
        </w:rPr>
        <w:t>South African Journal of Economic and Management Sciences</w:t>
      </w:r>
      <w:r w:rsidRPr="00F021FB">
        <w:rPr>
          <w:rFonts w:cs="Times New Roman"/>
          <w:noProof/>
          <w:szCs w:val="24"/>
        </w:rPr>
        <w:t xml:space="preserve">, </w:t>
      </w:r>
      <w:r w:rsidRPr="00F021FB">
        <w:rPr>
          <w:rFonts w:cs="Times New Roman"/>
          <w:i/>
          <w:iCs/>
          <w:noProof/>
          <w:szCs w:val="24"/>
        </w:rPr>
        <w:t>18</w:t>
      </w:r>
      <w:r w:rsidRPr="00F021FB">
        <w:rPr>
          <w:rFonts w:cs="Times New Roman"/>
          <w:noProof/>
          <w:szCs w:val="24"/>
        </w:rPr>
        <w:t>(2), 232–244. https://doi.org/10.17159/2222-3436/2015/v18n2a7</w:t>
      </w:r>
    </w:p>
    <w:p w14:paraId="7B0F1272" w14:textId="091AE412"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lastRenderedPageBreak/>
        <w:t xml:space="preserve">Bussin, M., &amp; Modau, M. F. (2015). The relationship between </w:t>
      </w:r>
      <w:r w:rsidR="004B113B" w:rsidRPr="00F021FB">
        <w:rPr>
          <w:rFonts w:cs="Times New Roman"/>
          <w:noProof/>
          <w:szCs w:val="24"/>
        </w:rPr>
        <w:t>chief executive o</w:t>
      </w:r>
      <w:r w:rsidRPr="00F021FB">
        <w:rPr>
          <w:rFonts w:cs="Times New Roman"/>
          <w:noProof/>
          <w:szCs w:val="24"/>
        </w:rPr>
        <w:t xml:space="preserve">fficer remuneration and financial performance in South Africa between 2006 and 2012. </w:t>
      </w:r>
      <w:r w:rsidRPr="00F021FB">
        <w:rPr>
          <w:rFonts w:cs="Times New Roman"/>
          <w:i/>
          <w:iCs/>
          <w:noProof/>
          <w:szCs w:val="24"/>
        </w:rPr>
        <w:t>SA Journal of Human Resource Management</w:t>
      </w:r>
      <w:r w:rsidRPr="00F021FB">
        <w:rPr>
          <w:rFonts w:cs="Times New Roman"/>
          <w:noProof/>
          <w:szCs w:val="24"/>
        </w:rPr>
        <w:t xml:space="preserve">, </w:t>
      </w:r>
      <w:r w:rsidRPr="00F021FB">
        <w:rPr>
          <w:rFonts w:cs="Times New Roman"/>
          <w:i/>
          <w:iCs/>
          <w:noProof/>
          <w:szCs w:val="24"/>
        </w:rPr>
        <w:t>13</w:t>
      </w:r>
      <w:r w:rsidRPr="00F021FB">
        <w:rPr>
          <w:rFonts w:cs="Times New Roman"/>
          <w:noProof/>
          <w:szCs w:val="24"/>
        </w:rPr>
        <w:t>(1), 1–18. https://doi.org/10.4102/sajhrm.v13i1.668</w:t>
      </w:r>
    </w:p>
    <w:p w14:paraId="0C439CD9" w14:textId="32E8A0CA"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Cao, Z., Chen, J., &amp; Song, Y. (2013). </w:t>
      </w:r>
      <w:r w:rsidR="00A76287" w:rsidRPr="00F021FB">
        <w:rPr>
          <w:rFonts w:cs="Times New Roman"/>
          <w:noProof/>
          <w:szCs w:val="24"/>
        </w:rPr>
        <w:t>Does total rewards reduce the core employees’ turnover intention</w:t>
      </w:r>
      <w:r w:rsidRPr="00F021FB">
        <w:rPr>
          <w:rFonts w:cs="Times New Roman"/>
          <w:noProof/>
          <w:szCs w:val="24"/>
        </w:rPr>
        <w:t xml:space="preserve">? </w:t>
      </w:r>
      <w:r w:rsidRPr="00F021FB">
        <w:rPr>
          <w:rFonts w:cs="Times New Roman"/>
          <w:i/>
          <w:iCs/>
          <w:noProof/>
          <w:szCs w:val="24"/>
        </w:rPr>
        <w:t>International Journal of Business and Management</w:t>
      </w:r>
      <w:r w:rsidRPr="00F021FB">
        <w:rPr>
          <w:rFonts w:cs="Times New Roman"/>
          <w:noProof/>
          <w:szCs w:val="24"/>
        </w:rPr>
        <w:t xml:space="preserve">, </w:t>
      </w:r>
      <w:r w:rsidRPr="00F021FB">
        <w:rPr>
          <w:rFonts w:cs="Times New Roman"/>
          <w:i/>
          <w:iCs/>
          <w:noProof/>
          <w:szCs w:val="24"/>
        </w:rPr>
        <w:t>8</w:t>
      </w:r>
      <w:r w:rsidRPr="00F021FB">
        <w:rPr>
          <w:rFonts w:cs="Times New Roman"/>
          <w:noProof/>
          <w:szCs w:val="24"/>
        </w:rPr>
        <w:t>(20), 62–75. https://doi.org/10.5539/ijbm.v8n20p62</w:t>
      </w:r>
    </w:p>
    <w:p w14:paraId="18E4E702" w14:textId="12181521"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Chiang, F. F. T., &amp; Birtch, T. A. (2012). The </w:t>
      </w:r>
      <w:r w:rsidR="00E20E41" w:rsidRPr="00F021FB">
        <w:rPr>
          <w:rFonts w:cs="Times New Roman"/>
          <w:noProof/>
          <w:szCs w:val="24"/>
        </w:rPr>
        <w:t xml:space="preserve">performance implications of financial and non-financial rewards: an </w:t>
      </w:r>
      <w:r w:rsidR="00872394" w:rsidRPr="00F021FB">
        <w:rPr>
          <w:rFonts w:cs="Times New Roman"/>
          <w:noProof/>
          <w:szCs w:val="24"/>
        </w:rPr>
        <w:t>A</w:t>
      </w:r>
      <w:r w:rsidR="00E20E41" w:rsidRPr="00F021FB">
        <w:rPr>
          <w:rFonts w:cs="Times New Roman"/>
          <w:noProof/>
          <w:szCs w:val="24"/>
        </w:rPr>
        <w:t>sian nordic comparison</w:t>
      </w:r>
      <w:r w:rsidRPr="00F021FB">
        <w:rPr>
          <w:rFonts w:cs="Times New Roman"/>
          <w:noProof/>
          <w:szCs w:val="24"/>
        </w:rPr>
        <w:t xml:space="preserve">. </w:t>
      </w:r>
      <w:r w:rsidRPr="00F021FB">
        <w:rPr>
          <w:rFonts w:cs="Times New Roman"/>
          <w:i/>
          <w:iCs/>
          <w:noProof/>
          <w:szCs w:val="24"/>
        </w:rPr>
        <w:t>Journal of Management Studies</w:t>
      </w:r>
      <w:r w:rsidRPr="00F021FB">
        <w:rPr>
          <w:rFonts w:cs="Times New Roman"/>
          <w:noProof/>
          <w:szCs w:val="24"/>
        </w:rPr>
        <w:t xml:space="preserve">, </w:t>
      </w:r>
      <w:r w:rsidRPr="00F021FB">
        <w:rPr>
          <w:rFonts w:cs="Times New Roman"/>
          <w:i/>
          <w:iCs/>
          <w:noProof/>
          <w:szCs w:val="24"/>
        </w:rPr>
        <w:t>49</w:t>
      </w:r>
      <w:r w:rsidRPr="00F021FB">
        <w:rPr>
          <w:rFonts w:cs="Times New Roman"/>
          <w:noProof/>
          <w:szCs w:val="24"/>
        </w:rPr>
        <w:t>(3), 538–570. https://doi.org/10.1111/j.1467-6486.2011.01018.x</w:t>
      </w:r>
    </w:p>
    <w:p w14:paraId="207EF7B8" w14:textId="0DD05F69"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Chng, D. H. M., Rodgers, M. S., Shih, E., &amp; Song, X.-B. (2012). </w:t>
      </w:r>
      <w:r w:rsidR="00E20E41" w:rsidRPr="00F021FB">
        <w:rPr>
          <w:rFonts w:cs="Times New Roman"/>
          <w:noProof/>
          <w:szCs w:val="24"/>
        </w:rPr>
        <w:t>Using panel data</w:t>
      </w:r>
      <w:r w:rsidR="00E20E41">
        <w:rPr>
          <w:rFonts w:cs="Times New Roman"/>
          <w:noProof/>
          <w:szCs w:val="24"/>
        </w:rPr>
        <w:t xml:space="preserve"> DEA to m</w:t>
      </w:r>
      <w:r w:rsidRPr="00F021FB">
        <w:rPr>
          <w:rFonts w:cs="Times New Roman"/>
          <w:noProof/>
          <w:szCs w:val="24"/>
        </w:rPr>
        <w:t xml:space="preserve">easure CEOS ’ </w:t>
      </w:r>
      <w:r w:rsidR="00E20E41" w:rsidRPr="00F021FB">
        <w:rPr>
          <w:rFonts w:cs="Times New Roman"/>
          <w:noProof/>
          <w:szCs w:val="24"/>
        </w:rPr>
        <w:t>focus of attention: an application to the study of cognitive group membership and performance.</w:t>
      </w:r>
      <w:r w:rsidRPr="00F021FB">
        <w:rPr>
          <w:rFonts w:cs="Times New Roman"/>
          <w:noProof/>
          <w:szCs w:val="24"/>
        </w:rPr>
        <w:t xml:space="preserve"> </w:t>
      </w:r>
      <w:r w:rsidRPr="00F021FB">
        <w:rPr>
          <w:rFonts w:cs="Times New Roman"/>
          <w:i/>
          <w:iCs/>
          <w:noProof/>
          <w:szCs w:val="24"/>
        </w:rPr>
        <w:t>Strategic Management Journal</w:t>
      </w:r>
      <w:r w:rsidRPr="00F021FB">
        <w:rPr>
          <w:rFonts w:cs="Times New Roman"/>
          <w:noProof/>
          <w:szCs w:val="24"/>
        </w:rPr>
        <w:t xml:space="preserve">, </w:t>
      </w:r>
      <w:r w:rsidRPr="00F021FB">
        <w:rPr>
          <w:rFonts w:cs="Times New Roman"/>
          <w:i/>
          <w:iCs/>
          <w:noProof/>
          <w:szCs w:val="24"/>
        </w:rPr>
        <w:t>August</w:t>
      </w:r>
      <w:r w:rsidRPr="00F021FB">
        <w:rPr>
          <w:rFonts w:cs="Times New Roman"/>
          <w:noProof/>
          <w:szCs w:val="24"/>
        </w:rPr>
        <w:t>. https://doi.org/10.1002/smj</w:t>
      </w:r>
    </w:p>
    <w:p w14:paraId="41F205F7"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Cordeiro, J. J., He, L., Conyon, M., &amp; Shaw, T. S. (2013). Informativeness of performance measures and Chinese executive compensation. </w:t>
      </w:r>
      <w:r w:rsidRPr="00F021FB">
        <w:rPr>
          <w:rFonts w:cs="Times New Roman"/>
          <w:i/>
          <w:iCs/>
          <w:noProof/>
          <w:szCs w:val="24"/>
        </w:rPr>
        <w:t>Asia Pacific Journal of Management</w:t>
      </w:r>
      <w:r w:rsidRPr="00F021FB">
        <w:rPr>
          <w:rFonts w:cs="Times New Roman"/>
          <w:noProof/>
          <w:szCs w:val="24"/>
        </w:rPr>
        <w:t xml:space="preserve">, </w:t>
      </w:r>
      <w:r w:rsidRPr="00F021FB">
        <w:rPr>
          <w:rFonts w:cs="Times New Roman"/>
          <w:i/>
          <w:iCs/>
          <w:noProof/>
          <w:szCs w:val="24"/>
        </w:rPr>
        <w:t>30</w:t>
      </w:r>
      <w:r w:rsidRPr="00F021FB">
        <w:rPr>
          <w:rFonts w:cs="Times New Roman"/>
          <w:noProof/>
          <w:szCs w:val="24"/>
        </w:rPr>
        <w:t>(4), 1031–1058. https://doi.org/10.1007/s10490-013-9353-9</w:t>
      </w:r>
    </w:p>
    <w:p w14:paraId="7CDBB070" w14:textId="0C9B96DD"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Cuevas-Rodríguez, G., Gomez-Mejia, L. R., &amp; Wiseman, R. M. (2012). </w:t>
      </w:r>
      <w:r w:rsidR="001A0C8D" w:rsidRPr="00F021FB">
        <w:rPr>
          <w:rFonts w:cs="Times New Roman"/>
          <w:noProof/>
          <w:szCs w:val="24"/>
        </w:rPr>
        <w:t>Has agency theory run its course?: making the theory more flexible to inform the management of reward systems.</w:t>
      </w:r>
      <w:r w:rsidRPr="00F021FB">
        <w:rPr>
          <w:rFonts w:cs="Times New Roman"/>
          <w:noProof/>
          <w:szCs w:val="24"/>
        </w:rPr>
        <w:t xml:space="preserve"> </w:t>
      </w:r>
      <w:r w:rsidRPr="00F021FB">
        <w:rPr>
          <w:rFonts w:cs="Times New Roman"/>
          <w:i/>
          <w:iCs/>
          <w:noProof/>
          <w:szCs w:val="24"/>
        </w:rPr>
        <w:t>Corporate Governance: An International Review</w:t>
      </w:r>
      <w:r w:rsidRPr="00F021FB">
        <w:rPr>
          <w:rFonts w:cs="Times New Roman"/>
          <w:noProof/>
          <w:szCs w:val="24"/>
        </w:rPr>
        <w:t xml:space="preserve">, </w:t>
      </w:r>
      <w:r w:rsidRPr="00F021FB">
        <w:rPr>
          <w:rFonts w:cs="Times New Roman"/>
          <w:i/>
          <w:iCs/>
          <w:noProof/>
          <w:szCs w:val="24"/>
        </w:rPr>
        <w:t>20</w:t>
      </w:r>
      <w:r w:rsidRPr="00F021FB">
        <w:rPr>
          <w:rFonts w:cs="Times New Roman"/>
          <w:noProof/>
          <w:szCs w:val="24"/>
        </w:rPr>
        <w:t>(6), 526–546. https://doi.org/10.1111/corg.12004</w:t>
      </w:r>
    </w:p>
    <w:p w14:paraId="130CC57B"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lastRenderedPageBreak/>
        <w:t xml:space="preserve">De Gieter, S., &amp; Hofmans, J. (2015). How reward satisfaction affects employees’ turnover intentions and performance: an individual differences approach. </w:t>
      </w:r>
      <w:r w:rsidRPr="00F021FB">
        <w:rPr>
          <w:rFonts w:cs="Times New Roman"/>
          <w:i/>
          <w:iCs/>
          <w:noProof/>
          <w:szCs w:val="24"/>
        </w:rPr>
        <w:t>Human Resource Management Journal</w:t>
      </w:r>
      <w:r w:rsidRPr="00F021FB">
        <w:rPr>
          <w:rFonts w:cs="Times New Roman"/>
          <w:noProof/>
          <w:szCs w:val="24"/>
        </w:rPr>
        <w:t xml:space="preserve">, </w:t>
      </w:r>
      <w:r w:rsidRPr="00F021FB">
        <w:rPr>
          <w:rFonts w:cs="Times New Roman"/>
          <w:i/>
          <w:iCs/>
          <w:noProof/>
          <w:szCs w:val="24"/>
        </w:rPr>
        <w:t>25</w:t>
      </w:r>
      <w:r w:rsidRPr="00F021FB">
        <w:rPr>
          <w:rFonts w:cs="Times New Roman"/>
          <w:noProof/>
          <w:szCs w:val="24"/>
        </w:rPr>
        <w:t>(2), 200–216. https://doi.org/10.1111/1748-8583.12072</w:t>
      </w:r>
    </w:p>
    <w:p w14:paraId="6C00BED9" w14:textId="6BF4971A"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Depken, C. A., Sarkar, K. S., &amp; Nguyen, G. X. (2013). </w:t>
      </w:r>
      <w:r w:rsidR="001A0C8D" w:rsidRPr="00F021FB">
        <w:rPr>
          <w:rFonts w:cs="Times New Roman"/>
          <w:noProof/>
          <w:szCs w:val="24"/>
        </w:rPr>
        <w:t>Agency costs, executive compensation, bonding and monitoring: a stochastic frontier approach</w:t>
      </w:r>
      <w:r w:rsidRPr="00F021FB">
        <w:rPr>
          <w:rFonts w:cs="Times New Roman"/>
          <w:noProof/>
          <w:szCs w:val="24"/>
        </w:rPr>
        <w:t xml:space="preserve">. </w:t>
      </w:r>
      <w:r w:rsidRPr="00F021FB">
        <w:rPr>
          <w:rFonts w:cs="Times New Roman"/>
          <w:i/>
          <w:iCs/>
          <w:noProof/>
          <w:szCs w:val="24"/>
        </w:rPr>
        <w:t>ResearchGate</w:t>
      </w:r>
      <w:r w:rsidRPr="00F021FB">
        <w:rPr>
          <w:rFonts w:cs="Times New Roman"/>
          <w:noProof/>
          <w:szCs w:val="24"/>
        </w:rPr>
        <w:t xml:space="preserve">, </w:t>
      </w:r>
      <w:r w:rsidRPr="00F021FB">
        <w:rPr>
          <w:rFonts w:cs="Times New Roman"/>
          <w:i/>
          <w:iCs/>
          <w:noProof/>
          <w:szCs w:val="24"/>
        </w:rPr>
        <w:t>817</w:t>
      </w:r>
      <w:r w:rsidRPr="00F021FB">
        <w:rPr>
          <w:rFonts w:cs="Times New Roman"/>
          <w:noProof/>
          <w:szCs w:val="24"/>
        </w:rPr>
        <w:t>. https://www.researchgate.net/publication/228420375</w:t>
      </w:r>
    </w:p>
    <w:p w14:paraId="73A66964"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Deysel, B., &amp; Kruger, J. (2015). The relationship between South African CEO compensation and company performance in the banking industry. </w:t>
      </w:r>
      <w:r w:rsidRPr="00F021FB">
        <w:rPr>
          <w:rFonts w:cs="Times New Roman"/>
          <w:i/>
          <w:iCs/>
          <w:noProof/>
          <w:szCs w:val="24"/>
        </w:rPr>
        <w:t>Southern African Business Review</w:t>
      </w:r>
      <w:r w:rsidRPr="00F021FB">
        <w:rPr>
          <w:rFonts w:cs="Times New Roman"/>
          <w:noProof/>
          <w:szCs w:val="24"/>
        </w:rPr>
        <w:t xml:space="preserve">, </w:t>
      </w:r>
      <w:r w:rsidRPr="00F021FB">
        <w:rPr>
          <w:rFonts w:cs="Times New Roman"/>
          <w:i/>
          <w:iCs/>
          <w:noProof/>
          <w:szCs w:val="24"/>
        </w:rPr>
        <w:t>19</w:t>
      </w:r>
      <w:r w:rsidRPr="00F021FB">
        <w:rPr>
          <w:rFonts w:cs="Times New Roman"/>
          <w:noProof/>
          <w:szCs w:val="24"/>
        </w:rPr>
        <w:t>(1), 169. https://www.ajol.info/index.php/sabr/article/viewFile/116955/106523</w:t>
      </w:r>
    </w:p>
    <w:p w14:paraId="52260428" w14:textId="53F7CE30"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Donaldson, L., &amp; Davis, J. H. (1991). Stewardship </w:t>
      </w:r>
      <w:r w:rsidR="001A0C8D" w:rsidRPr="00F021FB">
        <w:rPr>
          <w:rFonts w:cs="Times New Roman"/>
          <w:noProof/>
          <w:szCs w:val="24"/>
        </w:rPr>
        <w:t>theory or agency theory: CEO governance and shareholder returns</w:t>
      </w:r>
      <w:r w:rsidRPr="00F021FB">
        <w:rPr>
          <w:rFonts w:cs="Times New Roman"/>
          <w:noProof/>
          <w:szCs w:val="24"/>
        </w:rPr>
        <w:t xml:space="preserve">. </w:t>
      </w:r>
      <w:r w:rsidRPr="00F021FB">
        <w:rPr>
          <w:rFonts w:cs="Times New Roman"/>
          <w:i/>
          <w:iCs/>
          <w:noProof/>
          <w:szCs w:val="24"/>
        </w:rPr>
        <w:t>Australian Journal of Management</w:t>
      </w:r>
      <w:r w:rsidRPr="00F021FB">
        <w:rPr>
          <w:rFonts w:cs="Times New Roman"/>
          <w:noProof/>
          <w:szCs w:val="24"/>
        </w:rPr>
        <w:t xml:space="preserve">, </w:t>
      </w:r>
      <w:r w:rsidRPr="00F021FB">
        <w:rPr>
          <w:rFonts w:cs="Times New Roman"/>
          <w:i/>
          <w:iCs/>
          <w:noProof/>
          <w:szCs w:val="24"/>
        </w:rPr>
        <w:t>16</w:t>
      </w:r>
      <w:r w:rsidRPr="00F021FB">
        <w:rPr>
          <w:rFonts w:cs="Times New Roman"/>
          <w:noProof/>
          <w:szCs w:val="24"/>
        </w:rPr>
        <w:t>(1), 49–66.</w:t>
      </w:r>
    </w:p>
    <w:p w14:paraId="177A62DA" w14:textId="7EE1845D"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Edirisooriya, W. A. (2014). Impact o</w:t>
      </w:r>
      <w:r w:rsidR="001A0C8D" w:rsidRPr="00F021FB">
        <w:rPr>
          <w:rFonts w:cs="Times New Roman"/>
          <w:noProof/>
          <w:szCs w:val="24"/>
        </w:rPr>
        <w:t xml:space="preserve">f rewards on employee performance </w:t>
      </w:r>
      <w:r w:rsidRPr="00F021FB">
        <w:rPr>
          <w:rFonts w:cs="Times New Roman"/>
          <w:noProof/>
          <w:szCs w:val="24"/>
        </w:rPr>
        <w:t xml:space="preserve">(ElectriCo.). </w:t>
      </w:r>
      <w:r w:rsidRPr="00F021FB">
        <w:rPr>
          <w:rFonts w:cs="Times New Roman"/>
          <w:i/>
          <w:iCs/>
          <w:noProof/>
          <w:szCs w:val="24"/>
        </w:rPr>
        <w:t>Proceedings of the 3rd International Conference on Management and Economics</w:t>
      </w:r>
      <w:r w:rsidRPr="00F021FB">
        <w:rPr>
          <w:rFonts w:cs="Times New Roman"/>
          <w:noProof/>
          <w:szCs w:val="24"/>
        </w:rPr>
        <w:t xml:space="preserve">, </w:t>
      </w:r>
      <w:r w:rsidRPr="00F021FB">
        <w:rPr>
          <w:rFonts w:cs="Times New Roman"/>
          <w:i/>
          <w:iCs/>
          <w:noProof/>
          <w:szCs w:val="24"/>
        </w:rPr>
        <w:t>February</w:t>
      </w:r>
      <w:r w:rsidRPr="00F021FB">
        <w:rPr>
          <w:rFonts w:cs="Times New Roman"/>
          <w:noProof/>
          <w:szCs w:val="24"/>
        </w:rPr>
        <w:t>, 311–318. http://www.mgt.ruh.ac.lk/pubs/pdf/ICME2014_OP_p311.pdf</w:t>
      </w:r>
    </w:p>
    <w:p w14:paraId="4D2F0363" w14:textId="25792ECE"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Erick, T. K., Kefah, </w:t>
      </w:r>
      <w:r w:rsidR="001A0C8D">
        <w:rPr>
          <w:rFonts w:cs="Times New Roman"/>
          <w:noProof/>
          <w:szCs w:val="24"/>
        </w:rPr>
        <w:t>B. A., &amp; Nyaoga, R. B. (2014). T</w:t>
      </w:r>
      <w:r w:rsidRPr="00F021FB">
        <w:rPr>
          <w:rFonts w:cs="Times New Roman"/>
          <w:noProof/>
          <w:szCs w:val="24"/>
        </w:rPr>
        <w:t xml:space="preserve">he </w:t>
      </w:r>
      <w:r w:rsidR="001A0C8D" w:rsidRPr="00F021FB">
        <w:rPr>
          <w:rFonts w:cs="Times New Roman"/>
          <w:noProof/>
          <w:szCs w:val="24"/>
        </w:rPr>
        <w:t>relationship betw</w:t>
      </w:r>
      <w:r w:rsidR="00D10F60" w:rsidRPr="00F021FB">
        <w:rPr>
          <w:rFonts w:cs="Times New Roman"/>
          <w:noProof/>
          <w:szCs w:val="24"/>
        </w:rPr>
        <w:t>een li</w:t>
      </w:r>
      <w:r w:rsidR="001A0C8D" w:rsidRPr="00F021FB">
        <w:rPr>
          <w:rFonts w:cs="Times New Roman"/>
          <w:noProof/>
          <w:szCs w:val="24"/>
        </w:rPr>
        <w:t xml:space="preserve">quidity and profitability of insurance companies in </w:t>
      </w:r>
      <w:r w:rsidR="002B0A26" w:rsidRPr="00F021FB">
        <w:rPr>
          <w:rFonts w:cs="Times New Roman"/>
          <w:noProof/>
          <w:szCs w:val="24"/>
        </w:rPr>
        <w:t>K</w:t>
      </w:r>
      <w:r w:rsidR="001A0C8D" w:rsidRPr="00F021FB">
        <w:rPr>
          <w:rFonts w:cs="Times New Roman"/>
          <w:noProof/>
          <w:szCs w:val="24"/>
        </w:rPr>
        <w:t>enya</w:t>
      </w:r>
      <w:r w:rsidRPr="00F021FB">
        <w:rPr>
          <w:rFonts w:cs="Times New Roman"/>
          <w:noProof/>
          <w:szCs w:val="24"/>
        </w:rPr>
        <w:t xml:space="preserve">. </w:t>
      </w:r>
      <w:r w:rsidRPr="00F021FB">
        <w:rPr>
          <w:rFonts w:cs="Times New Roman"/>
          <w:i/>
          <w:iCs/>
          <w:noProof/>
          <w:szCs w:val="24"/>
        </w:rPr>
        <w:t>Research Journal of Finance and Accounting</w:t>
      </w:r>
      <w:r w:rsidRPr="00F021FB">
        <w:rPr>
          <w:rFonts w:cs="Times New Roman"/>
          <w:noProof/>
          <w:szCs w:val="24"/>
        </w:rPr>
        <w:t xml:space="preserve">, </w:t>
      </w:r>
      <w:r w:rsidRPr="00F021FB">
        <w:rPr>
          <w:rFonts w:cs="Times New Roman"/>
          <w:i/>
          <w:iCs/>
          <w:noProof/>
          <w:szCs w:val="24"/>
        </w:rPr>
        <w:t>5</w:t>
      </w:r>
      <w:r w:rsidRPr="00F021FB">
        <w:rPr>
          <w:rFonts w:cs="Times New Roman"/>
          <w:noProof/>
          <w:szCs w:val="24"/>
        </w:rPr>
        <w:t>(1), 113.</w:t>
      </w:r>
    </w:p>
    <w:p w14:paraId="1FA1BDAA" w14:textId="5082B7DA"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Essen, M. Van, Otten, J., &amp; Carberry, E. J. (2012). Assessing </w:t>
      </w:r>
      <w:r w:rsidR="001A0C8D" w:rsidRPr="00F021FB">
        <w:rPr>
          <w:rFonts w:cs="Times New Roman"/>
          <w:noProof/>
          <w:szCs w:val="24"/>
        </w:rPr>
        <w:t>managerial power theory</w:t>
      </w:r>
      <w:r w:rsidRPr="00F021FB">
        <w:rPr>
          <w:rFonts w:cs="Times New Roman"/>
          <w:noProof/>
          <w:szCs w:val="24"/>
        </w:rPr>
        <w:t xml:space="preserve">. </w:t>
      </w:r>
      <w:r w:rsidRPr="00F021FB">
        <w:rPr>
          <w:rFonts w:cs="Times New Roman"/>
          <w:i/>
          <w:iCs/>
          <w:noProof/>
          <w:szCs w:val="24"/>
        </w:rPr>
        <w:t>Journal of Management</w:t>
      </w:r>
      <w:r w:rsidRPr="00F021FB">
        <w:rPr>
          <w:rFonts w:cs="Times New Roman"/>
          <w:noProof/>
          <w:szCs w:val="24"/>
        </w:rPr>
        <w:t xml:space="preserve">, </w:t>
      </w:r>
      <w:r w:rsidRPr="00F021FB">
        <w:rPr>
          <w:rFonts w:cs="Times New Roman"/>
          <w:i/>
          <w:iCs/>
          <w:noProof/>
          <w:szCs w:val="24"/>
        </w:rPr>
        <w:t>41</w:t>
      </w:r>
      <w:r w:rsidRPr="00F021FB">
        <w:rPr>
          <w:rFonts w:cs="Times New Roman"/>
          <w:noProof/>
          <w:szCs w:val="24"/>
        </w:rPr>
        <w:t>(1), 164–202. https://doi.org/10.1177/0149206311429378</w:t>
      </w:r>
    </w:p>
    <w:p w14:paraId="1AF5EE4A" w14:textId="6696A563"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lastRenderedPageBreak/>
        <w:t>Fong, E. A., &amp; Tosi, H. L. (2007). Effort, performance, and conscientiousness</w:t>
      </w:r>
      <w:r w:rsidR="00D10F60" w:rsidRPr="00F021FB">
        <w:rPr>
          <w:rFonts w:cs="Times New Roman"/>
          <w:noProof/>
          <w:szCs w:val="24"/>
        </w:rPr>
        <w:t>: an</w:t>
      </w:r>
      <w:r w:rsidRPr="00F021FB">
        <w:rPr>
          <w:rFonts w:cs="Times New Roman"/>
          <w:noProof/>
          <w:szCs w:val="24"/>
        </w:rPr>
        <w:t xml:space="preserve"> agency theory perspective. </w:t>
      </w:r>
      <w:r w:rsidRPr="00F021FB">
        <w:rPr>
          <w:rFonts w:cs="Times New Roman"/>
          <w:i/>
          <w:iCs/>
          <w:noProof/>
          <w:szCs w:val="24"/>
        </w:rPr>
        <w:t>Journal of Management</w:t>
      </w:r>
      <w:r w:rsidRPr="00F021FB">
        <w:rPr>
          <w:rFonts w:cs="Times New Roman"/>
          <w:noProof/>
          <w:szCs w:val="24"/>
        </w:rPr>
        <w:t xml:space="preserve">, </w:t>
      </w:r>
      <w:r w:rsidRPr="00F021FB">
        <w:rPr>
          <w:rFonts w:cs="Times New Roman"/>
          <w:i/>
          <w:iCs/>
          <w:noProof/>
          <w:szCs w:val="24"/>
        </w:rPr>
        <w:t>33</w:t>
      </w:r>
      <w:r w:rsidRPr="00F021FB">
        <w:rPr>
          <w:rFonts w:cs="Times New Roman"/>
          <w:noProof/>
          <w:szCs w:val="24"/>
        </w:rPr>
        <w:t>(2), 161–179. https://doi.org/10.1177/0149206306298658</w:t>
      </w:r>
    </w:p>
    <w:p w14:paraId="67C343F4" w14:textId="2324B031"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Gakeri, J</w:t>
      </w:r>
      <w:r w:rsidR="00E25D6E">
        <w:rPr>
          <w:rFonts w:cs="Times New Roman"/>
          <w:noProof/>
          <w:szCs w:val="24"/>
        </w:rPr>
        <w:t>. K. (2012). Regulating Kenya’</w:t>
      </w:r>
      <w:r w:rsidRPr="00F021FB">
        <w:rPr>
          <w:rFonts w:cs="Times New Roman"/>
          <w:noProof/>
          <w:szCs w:val="24"/>
        </w:rPr>
        <w:t xml:space="preserve">s </w:t>
      </w:r>
      <w:r w:rsidR="00E25D6E" w:rsidRPr="00F021FB">
        <w:rPr>
          <w:rFonts w:cs="Times New Roman"/>
          <w:noProof/>
          <w:szCs w:val="24"/>
        </w:rPr>
        <w:t>securities markets : an assessment of the capital markets authority ’ s enforcement jurisprudence</w:t>
      </w:r>
      <w:r w:rsidRPr="00F021FB">
        <w:rPr>
          <w:rFonts w:cs="Times New Roman"/>
          <w:noProof/>
          <w:szCs w:val="24"/>
        </w:rPr>
        <w:t xml:space="preserve">. </w:t>
      </w:r>
      <w:r w:rsidRPr="00F021FB">
        <w:rPr>
          <w:rFonts w:cs="Times New Roman"/>
          <w:i/>
          <w:iCs/>
          <w:noProof/>
          <w:szCs w:val="24"/>
        </w:rPr>
        <w:t>International Journal of Humanities and Social Science</w:t>
      </w:r>
      <w:r w:rsidRPr="00F021FB">
        <w:rPr>
          <w:rFonts w:cs="Times New Roman"/>
          <w:noProof/>
          <w:szCs w:val="24"/>
        </w:rPr>
        <w:t xml:space="preserve">, </w:t>
      </w:r>
      <w:r w:rsidRPr="00F021FB">
        <w:rPr>
          <w:rFonts w:cs="Times New Roman"/>
          <w:i/>
          <w:iCs/>
          <w:noProof/>
          <w:szCs w:val="24"/>
        </w:rPr>
        <w:t>2</w:t>
      </w:r>
      <w:r w:rsidRPr="00F021FB">
        <w:rPr>
          <w:rFonts w:cs="Times New Roman"/>
          <w:noProof/>
          <w:szCs w:val="24"/>
        </w:rPr>
        <w:t>(20), 265–291.</w:t>
      </w:r>
    </w:p>
    <w:p w14:paraId="4912D4E3" w14:textId="281DB0F4"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Garbers, Y., &amp; Konradt, U. (2014). The ef</w:t>
      </w:r>
      <w:r w:rsidR="00D10F60" w:rsidRPr="00F021FB">
        <w:rPr>
          <w:rFonts w:cs="Times New Roman"/>
          <w:noProof/>
          <w:szCs w:val="24"/>
        </w:rPr>
        <w:t>fect of financial incentives on performance: a quantitative review of individual and team-base</w:t>
      </w:r>
      <w:r w:rsidRPr="00F021FB">
        <w:rPr>
          <w:rFonts w:cs="Times New Roman"/>
          <w:noProof/>
          <w:szCs w:val="24"/>
        </w:rPr>
        <w:t xml:space="preserve">d financial incentives. </w:t>
      </w:r>
      <w:r w:rsidRPr="00F021FB">
        <w:rPr>
          <w:rFonts w:cs="Times New Roman"/>
          <w:i/>
          <w:iCs/>
          <w:noProof/>
          <w:szCs w:val="24"/>
        </w:rPr>
        <w:t>Journal of Occupational and Organizational Psychology</w:t>
      </w:r>
      <w:r w:rsidRPr="00F021FB">
        <w:rPr>
          <w:rFonts w:cs="Times New Roman"/>
          <w:noProof/>
          <w:szCs w:val="24"/>
        </w:rPr>
        <w:t xml:space="preserve">, </w:t>
      </w:r>
      <w:r w:rsidRPr="00F021FB">
        <w:rPr>
          <w:rFonts w:cs="Times New Roman"/>
          <w:i/>
          <w:iCs/>
          <w:noProof/>
          <w:szCs w:val="24"/>
        </w:rPr>
        <w:t>87</w:t>
      </w:r>
      <w:r w:rsidRPr="00F021FB">
        <w:rPr>
          <w:rFonts w:cs="Times New Roman"/>
          <w:noProof/>
          <w:szCs w:val="24"/>
        </w:rPr>
        <w:t>(1), 102–137. https://doi.org/10.1111/joop.12039</w:t>
      </w:r>
    </w:p>
    <w:p w14:paraId="727DDBDB" w14:textId="6CD8D542"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Geiler, P. (2013). Executive </w:t>
      </w:r>
      <w:r w:rsidR="00E25D6E" w:rsidRPr="00F021FB">
        <w:rPr>
          <w:rFonts w:cs="Times New Roman"/>
          <w:noProof/>
          <w:szCs w:val="24"/>
        </w:rPr>
        <w:t>remuneration and the payout decision</w:t>
      </w:r>
      <w:r w:rsidRPr="00F021FB">
        <w:rPr>
          <w:rFonts w:cs="Times New Roman"/>
          <w:noProof/>
          <w:szCs w:val="24"/>
        </w:rPr>
        <w:t xml:space="preserve">. </w:t>
      </w:r>
      <w:r w:rsidRPr="00F021FB">
        <w:rPr>
          <w:rFonts w:cs="Times New Roman"/>
          <w:i/>
          <w:iCs/>
          <w:noProof/>
          <w:szCs w:val="24"/>
        </w:rPr>
        <w:t>Corporate Governance: An International Review</w:t>
      </w:r>
      <w:r w:rsidRPr="00F021FB">
        <w:rPr>
          <w:rFonts w:cs="Times New Roman"/>
          <w:noProof/>
          <w:szCs w:val="24"/>
        </w:rPr>
        <w:t xml:space="preserve">, </w:t>
      </w:r>
      <w:r w:rsidRPr="00F021FB">
        <w:rPr>
          <w:rFonts w:cs="Times New Roman"/>
          <w:i/>
          <w:iCs/>
          <w:noProof/>
          <w:szCs w:val="24"/>
        </w:rPr>
        <w:t>33</w:t>
      </w:r>
      <w:r w:rsidRPr="00F021FB">
        <w:rPr>
          <w:rFonts w:cs="Times New Roman"/>
          <w:noProof/>
          <w:szCs w:val="24"/>
        </w:rPr>
        <w:t>. https://doi.org/10.1111/corg.12127</w:t>
      </w:r>
    </w:p>
    <w:p w14:paraId="61686721" w14:textId="0AAC6244"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Gong, Y., Huang, J.-C., &amp; Farh., J.-L. (2009). Employee learning orientation, transformational leadership, and employee creativity: </w:t>
      </w:r>
      <w:r w:rsidR="00D10F60" w:rsidRPr="00F021FB">
        <w:rPr>
          <w:rFonts w:cs="Times New Roman"/>
          <w:noProof/>
          <w:szCs w:val="24"/>
        </w:rPr>
        <w:t>the</w:t>
      </w:r>
      <w:r w:rsidRPr="00F021FB">
        <w:rPr>
          <w:rFonts w:cs="Times New Roman"/>
          <w:noProof/>
          <w:szCs w:val="24"/>
        </w:rPr>
        <w:t xml:space="preserve"> mediating role of employee creative self-efficacy. </w:t>
      </w:r>
      <w:r w:rsidRPr="00F021FB">
        <w:rPr>
          <w:rFonts w:cs="Times New Roman"/>
          <w:i/>
          <w:iCs/>
          <w:noProof/>
          <w:szCs w:val="24"/>
        </w:rPr>
        <w:t>Academy of Management Journal</w:t>
      </w:r>
      <w:r w:rsidRPr="00F021FB">
        <w:rPr>
          <w:rFonts w:cs="Times New Roman"/>
          <w:noProof/>
          <w:szCs w:val="24"/>
        </w:rPr>
        <w:t xml:space="preserve">, </w:t>
      </w:r>
      <w:r w:rsidRPr="00F021FB">
        <w:rPr>
          <w:rFonts w:cs="Times New Roman"/>
          <w:i/>
          <w:iCs/>
          <w:noProof/>
          <w:szCs w:val="24"/>
        </w:rPr>
        <w:t>52</w:t>
      </w:r>
      <w:r w:rsidRPr="00F021FB">
        <w:rPr>
          <w:rFonts w:cs="Times New Roman"/>
          <w:noProof/>
          <w:szCs w:val="24"/>
        </w:rPr>
        <w:t>(4), 765–778. https://doi.org/10.1017/S0376892900032720</w:t>
      </w:r>
    </w:p>
    <w:p w14:paraId="7D493F84"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Gopal, D. M. (2016). A comparative study of leadership, strategic direction and reward on employment perfomance. </w:t>
      </w:r>
      <w:r w:rsidRPr="00F021FB">
        <w:rPr>
          <w:rFonts w:cs="Times New Roman"/>
          <w:i/>
          <w:iCs/>
          <w:noProof/>
          <w:szCs w:val="24"/>
        </w:rPr>
        <w:t>University of Johannesburg</w:t>
      </w:r>
      <w:r w:rsidRPr="00F021FB">
        <w:rPr>
          <w:rFonts w:cs="Times New Roman"/>
          <w:noProof/>
          <w:szCs w:val="24"/>
        </w:rPr>
        <w:t>.</w:t>
      </w:r>
    </w:p>
    <w:p w14:paraId="7E16A5AF" w14:textId="4D77F625"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Grissom, J. A., &amp; Mitani, H. (2016). Salary, </w:t>
      </w:r>
      <w:r w:rsidR="00E25D6E" w:rsidRPr="00F021FB">
        <w:rPr>
          <w:rFonts w:cs="Times New Roman"/>
          <w:noProof/>
          <w:szCs w:val="24"/>
        </w:rPr>
        <w:t xml:space="preserve">performance, and superintendent turnover. </w:t>
      </w:r>
      <w:r w:rsidRPr="00F021FB">
        <w:rPr>
          <w:rFonts w:cs="Times New Roman"/>
          <w:i/>
          <w:iCs/>
          <w:noProof/>
          <w:szCs w:val="24"/>
        </w:rPr>
        <w:t>Educational Administration Quarterly</w:t>
      </w:r>
      <w:r w:rsidRPr="00F021FB">
        <w:rPr>
          <w:rFonts w:cs="Times New Roman"/>
          <w:noProof/>
          <w:szCs w:val="24"/>
        </w:rPr>
        <w:t xml:space="preserve">, </w:t>
      </w:r>
      <w:r w:rsidRPr="00F021FB">
        <w:rPr>
          <w:rFonts w:cs="Times New Roman"/>
          <w:i/>
          <w:iCs/>
          <w:noProof/>
          <w:szCs w:val="24"/>
        </w:rPr>
        <w:t>52</w:t>
      </w:r>
      <w:r w:rsidRPr="00F021FB">
        <w:rPr>
          <w:rFonts w:cs="Times New Roman"/>
          <w:noProof/>
          <w:szCs w:val="24"/>
        </w:rPr>
        <w:t>(3), 351–391. https://doi.org/10.1177/0013161X15627677</w:t>
      </w:r>
    </w:p>
    <w:p w14:paraId="45DF18CB" w14:textId="7B59E433"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lastRenderedPageBreak/>
        <w:t xml:space="preserve">Grosse, M., Kean, S., &amp; Scott, T. (2017). Shareholder say on pay and CEO compensation: three strikes and the board is out. </w:t>
      </w:r>
      <w:r w:rsidRPr="00F021FB">
        <w:rPr>
          <w:rFonts w:cs="Times New Roman"/>
          <w:i/>
          <w:iCs/>
          <w:noProof/>
          <w:szCs w:val="24"/>
        </w:rPr>
        <w:t>Accounting &amp; Finance</w:t>
      </w:r>
      <w:r w:rsidRPr="00F021FB">
        <w:rPr>
          <w:rFonts w:cs="Times New Roman"/>
          <w:noProof/>
          <w:szCs w:val="24"/>
        </w:rPr>
        <w:t xml:space="preserve">, </w:t>
      </w:r>
      <w:r w:rsidRPr="00F021FB">
        <w:rPr>
          <w:rFonts w:cs="Times New Roman"/>
          <w:i/>
          <w:iCs/>
          <w:noProof/>
          <w:szCs w:val="24"/>
        </w:rPr>
        <w:t>57</w:t>
      </w:r>
      <w:r w:rsidRPr="00F021FB">
        <w:rPr>
          <w:rFonts w:cs="Times New Roman"/>
          <w:noProof/>
          <w:szCs w:val="24"/>
        </w:rPr>
        <w:t>(3), 701–725. https://doi.org/10.1111/acfi.12176/abstract.</w:t>
      </w:r>
    </w:p>
    <w:p w14:paraId="1AC70515" w14:textId="588D7FB6"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Halvorsen, P. A., Steinert, S., &amp; Aaraas, I. J. (2012). Remuneration and organization in general practice: </w:t>
      </w:r>
      <w:r w:rsidR="004A4775" w:rsidRPr="00F021FB">
        <w:rPr>
          <w:rFonts w:cs="Times New Roman"/>
          <w:noProof/>
          <w:szCs w:val="24"/>
        </w:rPr>
        <w:t>do</w:t>
      </w:r>
      <w:r w:rsidRPr="00F021FB">
        <w:rPr>
          <w:rFonts w:cs="Times New Roman"/>
          <w:noProof/>
          <w:szCs w:val="24"/>
        </w:rPr>
        <w:t xml:space="preserve"> GPs prefer private practice or salaried positions? </w:t>
      </w:r>
      <w:r w:rsidRPr="00F021FB">
        <w:rPr>
          <w:rFonts w:cs="Times New Roman"/>
          <w:i/>
          <w:iCs/>
          <w:noProof/>
          <w:szCs w:val="24"/>
        </w:rPr>
        <w:t>Scandinavian Journal of Primary Health Care</w:t>
      </w:r>
      <w:r w:rsidRPr="00F021FB">
        <w:rPr>
          <w:rFonts w:cs="Times New Roman"/>
          <w:noProof/>
          <w:szCs w:val="24"/>
        </w:rPr>
        <w:t xml:space="preserve">, </w:t>
      </w:r>
      <w:r w:rsidRPr="00F021FB">
        <w:rPr>
          <w:rFonts w:cs="Times New Roman"/>
          <w:i/>
          <w:iCs/>
          <w:noProof/>
          <w:szCs w:val="24"/>
        </w:rPr>
        <w:t>30</w:t>
      </w:r>
      <w:r w:rsidRPr="00F021FB">
        <w:rPr>
          <w:rFonts w:cs="Times New Roman"/>
          <w:noProof/>
          <w:szCs w:val="24"/>
        </w:rPr>
        <w:t>(4), 229–233. https://doi.org/10.3109/02813432.2012.711191</w:t>
      </w:r>
    </w:p>
    <w:p w14:paraId="601AA83B" w14:textId="2B406DEE"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Harper, A. H., &amp; Jin, Z. (2016). The </w:t>
      </w:r>
      <w:r w:rsidR="004A4775" w:rsidRPr="00F021FB">
        <w:rPr>
          <w:rFonts w:cs="Times New Roman"/>
          <w:noProof/>
          <w:szCs w:val="24"/>
        </w:rPr>
        <w:t>determinants o</w:t>
      </w:r>
      <w:r w:rsidRPr="00F021FB">
        <w:rPr>
          <w:rFonts w:cs="Times New Roman"/>
          <w:noProof/>
          <w:szCs w:val="24"/>
        </w:rPr>
        <w:t xml:space="preserve">f CEO </w:t>
      </w:r>
      <w:r w:rsidR="00E25D6E" w:rsidRPr="00F021FB">
        <w:rPr>
          <w:rFonts w:cs="Times New Roman"/>
          <w:noProof/>
          <w:szCs w:val="24"/>
        </w:rPr>
        <w:t>compensation i</w:t>
      </w:r>
      <w:r w:rsidRPr="00F021FB">
        <w:rPr>
          <w:rFonts w:cs="Times New Roman"/>
          <w:noProof/>
          <w:szCs w:val="24"/>
        </w:rPr>
        <w:t xml:space="preserve">n the U.S. </w:t>
      </w:r>
      <w:r w:rsidR="00E25D6E" w:rsidRPr="00F021FB">
        <w:rPr>
          <w:rFonts w:cs="Times New Roman"/>
          <w:noProof/>
          <w:szCs w:val="24"/>
        </w:rPr>
        <w:t>general merchandise sector.</w:t>
      </w:r>
      <w:r w:rsidRPr="00F021FB">
        <w:rPr>
          <w:rFonts w:cs="Times New Roman"/>
          <w:noProof/>
          <w:szCs w:val="24"/>
        </w:rPr>
        <w:t xml:space="preserve"> </w:t>
      </w:r>
      <w:r w:rsidRPr="00F021FB">
        <w:rPr>
          <w:rFonts w:cs="Times New Roman"/>
          <w:i/>
          <w:iCs/>
          <w:noProof/>
          <w:szCs w:val="24"/>
        </w:rPr>
        <w:t>Journal of Finance Issues Fall</w:t>
      </w:r>
      <w:r w:rsidRPr="00F021FB">
        <w:rPr>
          <w:rFonts w:cs="Times New Roman"/>
          <w:noProof/>
          <w:szCs w:val="24"/>
        </w:rPr>
        <w:t xml:space="preserve">, </w:t>
      </w:r>
      <w:r w:rsidRPr="00F021FB">
        <w:rPr>
          <w:rFonts w:cs="Times New Roman"/>
          <w:i/>
          <w:iCs/>
          <w:noProof/>
          <w:szCs w:val="24"/>
        </w:rPr>
        <w:t>48</w:t>
      </w:r>
      <w:r w:rsidRPr="00F021FB">
        <w:rPr>
          <w:rFonts w:cs="Times New Roman"/>
          <w:noProof/>
          <w:szCs w:val="24"/>
        </w:rPr>
        <w:t>.</w:t>
      </w:r>
    </w:p>
    <w:p w14:paraId="79B4C2B6" w14:textId="7A13F602"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Homburg, C., Artz, M., &amp; Wieseke, J. (2012). Marketing </w:t>
      </w:r>
      <w:r w:rsidR="00E25D6E" w:rsidRPr="00F021FB">
        <w:rPr>
          <w:rFonts w:cs="Times New Roman"/>
          <w:noProof/>
          <w:szCs w:val="24"/>
        </w:rPr>
        <w:t>performance measurement systems: does comprehensiveness really improve performance</w:t>
      </w:r>
      <w:r w:rsidRPr="00F021FB">
        <w:rPr>
          <w:rFonts w:cs="Times New Roman"/>
          <w:noProof/>
          <w:szCs w:val="24"/>
        </w:rPr>
        <w:t xml:space="preserve">? </w:t>
      </w:r>
      <w:r w:rsidRPr="00F021FB">
        <w:rPr>
          <w:rFonts w:cs="Times New Roman"/>
          <w:i/>
          <w:iCs/>
          <w:noProof/>
          <w:szCs w:val="24"/>
        </w:rPr>
        <w:t>Journal of Marketing</w:t>
      </w:r>
      <w:r w:rsidRPr="00F021FB">
        <w:rPr>
          <w:rFonts w:cs="Times New Roman"/>
          <w:noProof/>
          <w:szCs w:val="24"/>
        </w:rPr>
        <w:t xml:space="preserve">, </w:t>
      </w:r>
      <w:r w:rsidRPr="00F021FB">
        <w:rPr>
          <w:rFonts w:cs="Times New Roman"/>
          <w:i/>
          <w:iCs/>
          <w:noProof/>
          <w:szCs w:val="24"/>
        </w:rPr>
        <w:t>76</w:t>
      </w:r>
      <w:r w:rsidRPr="00F021FB">
        <w:rPr>
          <w:rFonts w:cs="Times New Roman"/>
          <w:noProof/>
          <w:szCs w:val="24"/>
        </w:rPr>
        <w:t>(3), 56–77. https://doi.org/10.1509/jm.09.0487</w:t>
      </w:r>
    </w:p>
    <w:p w14:paraId="269EB3CF" w14:textId="6DD0130A"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Hung, E., &amp; Wang, K. (2017). What are the </w:t>
      </w:r>
      <w:r w:rsidR="00E25D6E" w:rsidRPr="00F021FB">
        <w:rPr>
          <w:rFonts w:cs="Times New Roman"/>
          <w:noProof/>
          <w:szCs w:val="24"/>
        </w:rPr>
        <w:t xml:space="preserve">best in class non-monetary ( e . g . non-bonus , non-stock , or non-salary ) benefits for innovation based companies ? </w:t>
      </w:r>
      <w:r w:rsidRPr="00F021FB">
        <w:rPr>
          <w:rFonts w:cs="Times New Roman"/>
          <w:i/>
          <w:iCs/>
          <w:noProof/>
          <w:szCs w:val="24"/>
        </w:rPr>
        <w:t>Cornell University</w:t>
      </w:r>
      <w:r w:rsidRPr="00F021FB">
        <w:rPr>
          <w:rFonts w:cs="Times New Roman"/>
          <w:noProof/>
          <w:szCs w:val="24"/>
        </w:rPr>
        <w:t>.</w:t>
      </w:r>
    </w:p>
    <w:p w14:paraId="3164D10F"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Indjejikian, R. J., &amp; Nanda, D. (2002). Executive target bonuses and what they imply about performance standards. </w:t>
      </w:r>
      <w:r w:rsidRPr="00F021FB">
        <w:rPr>
          <w:rFonts w:cs="Times New Roman"/>
          <w:i/>
          <w:iCs/>
          <w:noProof/>
          <w:szCs w:val="24"/>
        </w:rPr>
        <w:t>Accounting Review</w:t>
      </w:r>
      <w:r w:rsidRPr="00F021FB">
        <w:rPr>
          <w:rFonts w:cs="Times New Roman"/>
          <w:noProof/>
          <w:szCs w:val="24"/>
        </w:rPr>
        <w:t xml:space="preserve">, </w:t>
      </w:r>
      <w:r w:rsidRPr="00F021FB">
        <w:rPr>
          <w:rFonts w:cs="Times New Roman"/>
          <w:i/>
          <w:iCs/>
          <w:noProof/>
          <w:szCs w:val="24"/>
        </w:rPr>
        <w:t>77</w:t>
      </w:r>
      <w:r w:rsidRPr="00F021FB">
        <w:rPr>
          <w:rFonts w:cs="Times New Roman"/>
          <w:noProof/>
          <w:szCs w:val="24"/>
        </w:rPr>
        <w:t>(4), 793–819. https://doi.org/10.2308/accr.2002.77.4.793</w:t>
      </w:r>
    </w:p>
    <w:p w14:paraId="03B50385" w14:textId="51E6F8BD"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Jaafar, S., Wahab, E., &amp; James, K. (2012). Director remuneration and performance in Malaysia family firms: an expropriation matter? </w:t>
      </w:r>
      <w:r w:rsidRPr="00F021FB">
        <w:rPr>
          <w:rFonts w:cs="Times New Roman"/>
          <w:i/>
          <w:iCs/>
          <w:noProof/>
          <w:szCs w:val="24"/>
        </w:rPr>
        <w:t>World Review of Business</w:t>
      </w:r>
      <w:r w:rsidRPr="00F021FB">
        <w:rPr>
          <w:rFonts w:cs="Times New Roman"/>
          <w:noProof/>
          <w:szCs w:val="24"/>
        </w:rPr>
        <w:t xml:space="preserve">, </w:t>
      </w:r>
      <w:r w:rsidRPr="00F021FB">
        <w:rPr>
          <w:rFonts w:cs="Times New Roman"/>
          <w:i/>
          <w:iCs/>
          <w:noProof/>
          <w:szCs w:val="24"/>
        </w:rPr>
        <w:t>2</w:t>
      </w:r>
      <w:r w:rsidRPr="00F021FB">
        <w:rPr>
          <w:rFonts w:cs="Times New Roman"/>
          <w:noProof/>
          <w:szCs w:val="24"/>
        </w:rPr>
        <w:t xml:space="preserve">(4), 204–222. </w:t>
      </w:r>
    </w:p>
    <w:p w14:paraId="5254BB57"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lastRenderedPageBreak/>
        <w:t xml:space="preserve">Jackson, S. B., Lopez, T. J., &amp; Reitenga, A. L. (2008). Accounting fundamentals and CEO bonus compensation. </w:t>
      </w:r>
      <w:r w:rsidRPr="00F021FB">
        <w:rPr>
          <w:rFonts w:cs="Times New Roman"/>
          <w:i/>
          <w:iCs/>
          <w:noProof/>
          <w:szCs w:val="24"/>
        </w:rPr>
        <w:t>J. Account. Public Policy</w:t>
      </w:r>
      <w:r w:rsidRPr="00F021FB">
        <w:rPr>
          <w:rFonts w:cs="Times New Roman"/>
          <w:noProof/>
          <w:szCs w:val="24"/>
        </w:rPr>
        <w:t xml:space="preserve">, </w:t>
      </w:r>
      <w:r w:rsidRPr="00F021FB">
        <w:rPr>
          <w:rFonts w:cs="Times New Roman"/>
          <w:i/>
          <w:iCs/>
          <w:noProof/>
          <w:szCs w:val="24"/>
        </w:rPr>
        <w:t>27</w:t>
      </w:r>
      <w:r w:rsidRPr="00F021FB">
        <w:rPr>
          <w:rFonts w:cs="Times New Roman"/>
          <w:noProof/>
          <w:szCs w:val="24"/>
        </w:rPr>
        <w:t>, 374–393. https://doi.org/10.1016/j.jaccpubpol.2008.07.006</w:t>
      </w:r>
    </w:p>
    <w:p w14:paraId="17A3D106" w14:textId="048AB0C0"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Johnson, N. B., &amp; Droege, S. (2004). Reflections on the generalization of agency theory: </w:t>
      </w:r>
      <w:r w:rsidR="004A4775" w:rsidRPr="00F021FB">
        <w:rPr>
          <w:rFonts w:cs="Times New Roman"/>
          <w:noProof/>
          <w:szCs w:val="24"/>
        </w:rPr>
        <w:t>cross</w:t>
      </w:r>
      <w:r w:rsidRPr="00F021FB">
        <w:rPr>
          <w:rFonts w:cs="Times New Roman"/>
          <w:noProof/>
          <w:szCs w:val="24"/>
        </w:rPr>
        <w:t xml:space="preserve">-cultural considerations. </w:t>
      </w:r>
      <w:r w:rsidRPr="00F021FB">
        <w:rPr>
          <w:rFonts w:cs="Times New Roman"/>
          <w:i/>
          <w:iCs/>
          <w:noProof/>
          <w:szCs w:val="24"/>
        </w:rPr>
        <w:t>Human Resource Management Review</w:t>
      </w:r>
      <w:r w:rsidRPr="00F021FB">
        <w:rPr>
          <w:rFonts w:cs="Times New Roman"/>
          <w:noProof/>
          <w:szCs w:val="24"/>
        </w:rPr>
        <w:t xml:space="preserve">, </w:t>
      </w:r>
      <w:r w:rsidRPr="00F021FB">
        <w:rPr>
          <w:rFonts w:cs="Times New Roman"/>
          <w:i/>
          <w:iCs/>
          <w:noProof/>
          <w:szCs w:val="24"/>
        </w:rPr>
        <w:t>14</w:t>
      </w:r>
      <w:r w:rsidRPr="00F021FB">
        <w:rPr>
          <w:rFonts w:cs="Times New Roman"/>
          <w:noProof/>
          <w:szCs w:val="24"/>
        </w:rPr>
        <w:t>(3), 325–335. https://doi.org/10.1016/j.hrmr.2004.06.003</w:t>
      </w:r>
    </w:p>
    <w:p w14:paraId="0296938C" w14:textId="0BD03E13"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Jordi, S., Diego, P., &amp; Gine, J. A. T. (2014). Using</w:t>
      </w:r>
      <w:r w:rsidR="007C5048" w:rsidRPr="00F021FB">
        <w:rPr>
          <w:rFonts w:cs="Times New Roman"/>
          <w:noProof/>
          <w:szCs w:val="24"/>
        </w:rPr>
        <w:t xml:space="preserve"> panel data</w:t>
      </w:r>
      <w:r w:rsidRPr="00F021FB">
        <w:rPr>
          <w:rFonts w:cs="Times New Roman"/>
          <w:noProof/>
          <w:szCs w:val="24"/>
        </w:rPr>
        <w:t xml:space="preserve"> DEA t</w:t>
      </w:r>
      <w:r w:rsidR="007C5048" w:rsidRPr="00F021FB">
        <w:rPr>
          <w:rFonts w:cs="Times New Roman"/>
          <w:noProof/>
          <w:szCs w:val="24"/>
        </w:rPr>
        <w:t xml:space="preserve">o measure </w:t>
      </w:r>
      <w:r w:rsidRPr="00F021FB">
        <w:rPr>
          <w:rFonts w:cs="Times New Roman"/>
          <w:noProof/>
          <w:szCs w:val="24"/>
        </w:rPr>
        <w:t xml:space="preserve">CEOS ’ </w:t>
      </w:r>
      <w:r w:rsidR="007C5048" w:rsidRPr="00F021FB">
        <w:rPr>
          <w:rFonts w:cs="Times New Roman"/>
          <w:noProof/>
          <w:szCs w:val="24"/>
        </w:rPr>
        <w:t>focus of attention: an application to the study of cognitive group membership and performance.</w:t>
      </w:r>
      <w:r w:rsidRPr="00F021FB">
        <w:rPr>
          <w:rFonts w:cs="Times New Roman"/>
          <w:noProof/>
          <w:szCs w:val="24"/>
        </w:rPr>
        <w:t xml:space="preserve"> </w:t>
      </w:r>
      <w:r w:rsidRPr="00F021FB">
        <w:rPr>
          <w:rFonts w:cs="Times New Roman"/>
          <w:i/>
          <w:iCs/>
          <w:noProof/>
          <w:szCs w:val="24"/>
        </w:rPr>
        <w:t>Strategic Management Journal</w:t>
      </w:r>
      <w:r w:rsidRPr="00F021FB">
        <w:rPr>
          <w:rFonts w:cs="Times New Roman"/>
          <w:noProof/>
          <w:szCs w:val="24"/>
        </w:rPr>
        <w:t xml:space="preserve">, </w:t>
      </w:r>
      <w:r w:rsidRPr="00F021FB">
        <w:rPr>
          <w:rFonts w:cs="Times New Roman"/>
          <w:i/>
          <w:iCs/>
          <w:noProof/>
          <w:szCs w:val="24"/>
        </w:rPr>
        <w:t>1214</w:t>
      </w:r>
      <w:r w:rsidRPr="00F021FB">
        <w:rPr>
          <w:rFonts w:cs="Times New Roman"/>
          <w:noProof/>
          <w:szCs w:val="24"/>
        </w:rPr>
        <w:t>(August), 1194–1214. https://doi.org/10.1002/smj</w:t>
      </w:r>
    </w:p>
    <w:p w14:paraId="65A71675" w14:textId="1B346550"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Kang, S. H., Kumar, P., &amp; Lee, H. (2006). Agency and corporate investment:</w:t>
      </w:r>
      <w:r w:rsidR="00AF287C" w:rsidRPr="00F021FB">
        <w:rPr>
          <w:rFonts w:cs="Times New Roman"/>
          <w:noProof/>
          <w:szCs w:val="24"/>
        </w:rPr>
        <w:t xml:space="preserve"> the </w:t>
      </w:r>
      <w:r w:rsidRPr="00F021FB">
        <w:rPr>
          <w:rFonts w:cs="Times New Roman"/>
          <w:noProof/>
          <w:szCs w:val="24"/>
        </w:rPr>
        <w:t xml:space="preserve">role of executive compensation and corporate governance. </w:t>
      </w:r>
      <w:r w:rsidRPr="00F021FB">
        <w:rPr>
          <w:rFonts w:cs="Times New Roman"/>
          <w:i/>
          <w:iCs/>
          <w:noProof/>
          <w:szCs w:val="24"/>
        </w:rPr>
        <w:t>Journal of Business</w:t>
      </w:r>
      <w:r w:rsidRPr="00F021FB">
        <w:rPr>
          <w:rFonts w:cs="Times New Roman"/>
          <w:noProof/>
          <w:szCs w:val="24"/>
        </w:rPr>
        <w:t xml:space="preserve">, </w:t>
      </w:r>
      <w:r w:rsidRPr="00F021FB">
        <w:rPr>
          <w:rFonts w:cs="Times New Roman"/>
          <w:i/>
          <w:iCs/>
          <w:noProof/>
          <w:szCs w:val="24"/>
        </w:rPr>
        <w:t>79</w:t>
      </w:r>
      <w:r w:rsidRPr="00F021FB">
        <w:rPr>
          <w:rFonts w:cs="Times New Roman"/>
          <w:noProof/>
          <w:szCs w:val="24"/>
        </w:rPr>
        <w:t>(3), 1127–1147. https://doi.org/10.1086/500671</w:t>
      </w:r>
    </w:p>
    <w:p w14:paraId="561573FA" w14:textId="03387972"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Karmel, R. S. (2005). Mutual funds, pension funds, hedge funds and stock market volatility - </w:t>
      </w:r>
      <w:r w:rsidR="00AF287C" w:rsidRPr="00F021FB">
        <w:rPr>
          <w:rFonts w:cs="Times New Roman"/>
          <w:noProof/>
          <w:szCs w:val="24"/>
        </w:rPr>
        <w:t>what regulation by the securities and exchange commission is appropriat</w:t>
      </w:r>
      <w:r w:rsidRPr="00F021FB">
        <w:rPr>
          <w:rFonts w:cs="Times New Roman"/>
          <w:noProof/>
          <w:szCs w:val="24"/>
        </w:rPr>
        <w:t xml:space="preserve">e? </w:t>
      </w:r>
      <w:r w:rsidRPr="00F021FB">
        <w:rPr>
          <w:rFonts w:cs="Times New Roman"/>
          <w:i/>
          <w:iCs/>
          <w:noProof/>
          <w:szCs w:val="24"/>
        </w:rPr>
        <w:t>Notre Dame Law Review</w:t>
      </w:r>
      <w:r w:rsidRPr="00F021FB">
        <w:rPr>
          <w:rFonts w:cs="Times New Roman"/>
          <w:noProof/>
          <w:szCs w:val="24"/>
        </w:rPr>
        <w:t xml:space="preserve">, </w:t>
      </w:r>
      <w:r w:rsidRPr="00F021FB">
        <w:rPr>
          <w:rFonts w:cs="Times New Roman"/>
          <w:i/>
          <w:iCs/>
          <w:noProof/>
          <w:szCs w:val="24"/>
        </w:rPr>
        <w:t>80</w:t>
      </w:r>
      <w:r w:rsidRPr="00F021FB">
        <w:rPr>
          <w:rFonts w:cs="Times New Roman"/>
          <w:noProof/>
          <w:szCs w:val="24"/>
        </w:rPr>
        <w:t>(3), 909–949.</w:t>
      </w:r>
    </w:p>
    <w:p w14:paraId="100F16C3" w14:textId="1349F15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Kayindu, V., Asiimwe, S., Bisaso, R., &amp; Nakiyingi, S. (2020). Association between </w:t>
      </w:r>
      <w:r w:rsidR="007C5048" w:rsidRPr="00F021FB">
        <w:rPr>
          <w:rFonts w:cs="Times New Roman"/>
          <w:noProof/>
          <w:szCs w:val="24"/>
        </w:rPr>
        <w:t>remuneration and employee performance : the case of teachers in private secondary schools in</w:t>
      </w:r>
      <w:r w:rsidRPr="00F021FB">
        <w:rPr>
          <w:rFonts w:cs="Times New Roman"/>
          <w:noProof/>
          <w:szCs w:val="24"/>
        </w:rPr>
        <w:t xml:space="preserve"> Buikwe </w:t>
      </w:r>
      <w:r w:rsidR="007C5048" w:rsidRPr="00F021FB">
        <w:rPr>
          <w:rFonts w:cs="Times New Roman"/>
          <w:noProof/>
          <w:szCs w:val="24"/>
        </w:rPr>
        <w:t>distric</w:t>
      </w:r>
      <w:r w:rsidRPr="00F021FB">
        <w:rPr>
          <w:rFonts w:cs="Times New Roman"/>
          <w:noProof/>
          <w:szCs w:val="24"/>
        </w:rPr>
        <w:t xml:space="preserve">t , Uganda. </w:t>
      </w:r>
      <w:r w:rsidRPr="00F021FB">
        <w:rPr>
          <w:rFonts w:cs="Times New Roman"/>
          <w:i/>
          <w:iCs/>
          <w:noProof/>
          <w:szCs w:val="24"/>
        </w:rPr>
        <w:t>International Journal of Research and Innovation in Social Science</w:t>
      </w:r>
      <w:r w:rsidRPr="00F021FB">
        <w:rPr>
          <w:rFonts w:cs="Times New Roman"/>
          <w:noProof/>
          <w:szCs w:val="24"/>
        </w:rPr>
        <w:t xml:space="preserve">, </w:t>
      </w:r>
      <w:r w:rsidRPr="00F021FB">
        <w:rPr>
          <w:rFonts w:cs="Times New Roman"/>
          <w:i/>
          <w:iCs/>
          <w:noProof/>
          <w:szCs w:val="24"/>
        </w:rPr>
        <w:t>4</w:t>
      </w:r>
      <w:r w:rsidRPr="00F021FB">
        <w:rPr>
          <w:rFonts w:cs="Times New Roman"/>
          <w:noProof/>
          <w:szCs w:val="24"/>
        </w:rPr>
        <w:t xml:space="preserve">(3), 41–45. </w:t>
      </w:r>
    </w:p>
    <w:p w14:paraId="2DE9019F" w14:textId="53A33492"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Kemboi, D. K., &amp; Tarus, J. K. (2012). Macroeconomic </w:t>
      </w:r>
      <w:r w:rsidR="007C5048" w:rsidRPr="00F021FB">
        <w:rPr>
          <w:rFonts w:cs="Times New Roman"/>
          <w:noProof/>
          <w:szCs w:val="24"/>
        </w:rPr>
        <w:t xml:space="preserve">determinants of stock market </w:t>
      </w:r>
      <w:r w:rsidR="007C5048" w:rsidRPr="00F021FB">
        <w:rPr>
          <w:rFonts w:cs="Times New Roman"/>
          <w:noProof/>
          <w:szCs w:val="24"/>
        </w:rPr>
        <w:lastRenderedPageBreak/>
        <w:t xml:space="preserve">development in emerging markets: evidence from </w:t>
      </w:r>
      <w:r w:rsidRPr="00F021FB">
        <w:rPr>
          <w:rFonts w:cs="Times New Roman"/>
          <w:noProof/>
          <w:szCs w:val="24"/>
        </w:rPr>
        <w:t xml:space="preserve">Kenya. </w:t>
      </w:r>
      <w:r w:rsidRPr="00F021FB">
        <w:rPr>
          <w:rFonts w:cs="Times New Roman"/>
          <w:i/>
          <w:iCs/>
          <w:noProof/>
          <w:szCs w:val="24"/>
        </w:rPr>
        <w:t>Research Journal of Finance and Accounting</w:t>
      </w:r>
      <w:r w:rsidRPr="00F021FB">
        <w:rPr>
          <w:rFonts w:cs="Times New Roman"/>
          <w:noProof/>
          <w:szCs w:val="24"/>
        </w:rPr>
        <w:t xml:space="preserve">, </w:t>
      </w:r>
      <w:r w:rsidRPr="00F021FB">
        <w:rPr>
          <w:rFonts w:cs="Times New Roman"/>
          <w:i/>
          <w:iCs/>
          <w:noProof/>
          <w:szCs w:val="24"/>
        </w:rPr>
        <w:t>3</w:t>
      </w:r>
      <w:r w:rsidRPr="00F021FB">
        <w:rPr>
          <w:rFonts w:cs="Times New Roman"/>
          <w:noProof/>
          <w:szCs w:val="24"/>
        </w:rPr>
        <w:t>(5), 1–14. https://doi.org/10.5296/ifb.v3i2.9555</w:t>
      </w:r>
    </w:p>
    <w:p w14:paraId="5EEFEEE0" w14:textId="2B581A8E"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Kessler, I. (2015). Remuneration</w:t>
      </w:r>
      <w:r w:rsidR="00843E7B" w:rsidRPr="00F021FB">
        <w:rPr>
          <w:rFonts w:cs="Times New Roman"/>
          <w:noProof/>
          <w:szCs w:val="24"/>
        </w:rPr>
        <w:t xml:space="preserve"> sys</w:t>
      </w:r>
      <w:r w:rsidRPr="00F021FB">
        <w:rPr>
          <w:rFonts w:cs="Times New Roman"/>
          <w:noProof/>
          <w:szCs w:val="24"/>
        </w:rPr>
        <w:t xml:space="preserve">tems. In </w:t>
      </w:r>
      <w:r w:rsidR="00843E7B" w:rsidRPr="00F021FB">
        <w:rPr>
          <w:rFonts w:cs="Times New Roman"/>
          <w:i/>
          <w:iCs/>
          <w:noProof/>
          <w:szCs w:val="24"/>
        </w:rPr>
        <w:t>managing human resources</w:t>
      </w:r>
      <w:r w:rsidR="00843E7B" w:rsidRPr="00F021FB">
        <w:rPr>
          <w:rFonts w:cs="Times New Roman"/>
          <w:noProof/>
          <w:szCs w:val="24"/>
        </w:rPr>
        <w:t xml:space="preserve"> </w:t>
      </w:r>
      <w:r w:rsidRPr="00F021FB">
        <w:rPr>
          <w:rFonts w:cs="Times New Roman"/>
          <w:noProof/>
          <w:szCs w:val="24"/>
        </w:rPr>
        <w:t>(pp. 243–267). John Wiley &amp; Sons, Inc. https://doi.org/10.1002/9781119208235.ch12</w:t>
      </w:r>
    </w:p>
    <w:p w14:paraId="35ABF778" w14:textId="617C1891"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Khan, I., Ghauri, T. A., &amp; Akram, K. (2012). Relationship be</w:t>
      </w:r>
      <w:r w:rsidR="00843E7B" w:rsidRPr="00F021FB">
        <w:rPr>
          <w:rFonts w:cs="Times New Roman"/>
          <w:noProof/>
          <w:szCs w:val="24"/>
        </w:rPr>
        <w:t xml:space="preserve">tween job satisfaction and </w:t>
      </w:r>
      <w:r w:rsidR="00AF287C" w:rsidRPr="00F021FB">
        <w:rPr>
          <w:rFonts w:cs="Times New Roman"/>
          <w:noProof/>
          <w:szCs w:val="24"/>
        </w:rPr>
        <w:t>HR</w:t>
      </w:r>
      <w:r w:rsidR="00843E7B" w:rsidRPr="00F021FB">
        <w:rPr>
          <w:rFonts w:cs="Times New Roman"/>
          <w:noProof/>
          <w:szCs w:val="24"/>
        </w:rPr>
        <w:t xml:space="preserve"> practices, an empirical research of different sectors of university teachers in </w:t>
      </w:r>
      <w:r w:rsidRPr="00F021FB">
        <w:rPr>
          <w:rFonts w:cs="Times New Roman"/>
          <w:noProof/>
          <w:szCs w:val="24"/>
        </w:rPr>
        <w:t xml:space="preserve">Pakistan. </w:t>
      </w:r>
      <w:r w:rsidRPr="00F021FB">
        <w:rPr>
          <w:rFonts w:cs="Times New Roman"/>
          <w:i/>
          <w:iCs/>
          <w:noProof/>
          <w:szCs w:val="24"/>
        </w:rPr>
        <w:t>International Journal of Learning and Development</w:t>
      </w:r>
      <w:r w:rsidRPr="00F021FB">
        <w:rPr>
          <w:rFonts w:cs="Times New Roman"/>
          <w:noProof/>
          <w:szCs w:val="24"/>
        </w:rPr>
        <w:t xml:space="preserve">, </w:t>
      </w:r>
      <w:r w:rsidRPr="00F021FB">
        <w:rPr>
          <w:rFonts w:cs="Times New Roman"/>
          <w:i/>
          <w:iCs/>
          <w:noProof/>
          <w:szCs w:val="24"/>
        </w:rPr>
        <w:t>2</w:t>
      </w:r>
      <w:r w:rsidRPr="00F021FB">
        <w:rPr>
          <w:rFonts w:cs="Times New Roman"/>
          <w:noProof/>
          <w:szCs w:val="24"/>
        </w:rPr>
        <w:t>(3), 25–33. https://doi.org/10.5296/ijld.v2i3.1756</w:t>
      </w:r>
    </w:p>
    <w:p w14:paraId="2141863F" w14:textId="2DABDDA1" w:rsidR="00F021FB" w:rsidRPr="00F021FB" w:rsidRDefault="002A4945" w:rsidP="00F021FB">
      <w:pPr>
        <w:widowControl w:val="0"/>
        <w:autoSpaceDE w:val="0"/>
        <w:autoSpaceDN w:val="0"/>
        <w:adjustRightInd w:val="0"/>
        <w:spacing w:before="240" w:after="0"/>
        <w:ind w:left="480" w:hanging="480"/>
        <w:rPr>
          <w:rFonts w:cs="Times New Roman"/>
          <w:noProof/>
          <w:szCs w:val="24"/>
        </w:rPr>
      </w:pPr>
      <w:r>
        <w:rPr>
          <w:rFonts w:cs="Times New Roman"/>
          <w:noProof/>
          <w:szCs w:val="24"/>
        </w:rPr>
        <w:t>Kim, H. K. (2014). Work- l</w:t>
      </w:r>
      <w:r w:rsidR="00F021FB" w:rsidRPr="00F021FB">
        <w:rPr>
          <w:rFonts w:cs="Times New Roman"/>
          <w:noProof/>
          <w:szCs w:val="24"/>
        </w:rPr>
        <w:t xml:space="preserve">ife balance and employees’ performance : </w:t>
      </w:r>
      <w:r w:rsidR="00AF287C" w:rsidRPr="00F021FB">
        <w:rPr>
          <w:rFonts w:cs="Times New Roman"/>
          <w:noProof/>
          <w:szCs w:val="24"/>
        </w:rPr>
        <w:t>the m</w:t>
      </w:r>
      <w:r w:rsidR="00F021FB" w:rsidRPr="00F021FB">
        <w:rPr>
          <w:rFonts w:cs="Times New Roman"/>
          <w:noProof/>
          <w:szCs w:val="24"/>
        </w:rPr>
        <w:t xml:space="preserve">ediating role of affective commitment. </w:t>
      </w:r>
      <w:r w:rsidR="00F021FB" w:rsidRPr="00F021FB">
        <w:rPr>
          <w:rFonts w:cs="Times New Roman"/>
          <w:i/>
          <w:iCs/>
          <w:noProof/>
          <w:szCs w:val="24"/>
        </w:rPr>
        <w:t>Global Business &amp; Management Research:An International Journal</w:t>
      </w:r>
      <w:r w:rsidR="00F021FB" w:rsidRPr="00F021FB">
        <w:rPr>
          <w:rFonts w:cs="Times New Roman"/>
          <w:noProof/>
          <w:szCs w:val="24"/>
        </w:rPr>
        <w:t xml:space="preserve">, </w:t>
      </w:r>
      <w:r w:rsidR="00F021FB" w:rsidRPr="00F021FB">
        <w:rPr>
          <w:rFonts w:cs="Times New Roman"/>
          <w:i/>
          <w:iCs/>
          <w:noProof/>
          <w:szCs w:val="24"/>
        </w:rPr>
        <w:t>6</w:t>
      </w:r>
      <w:r w:rsidR="00F021FB" w:rsidRPr="00F021FB">
        <w:rPr>
          <w:rFonts w:cs="Times New Roman"/>
          <w:noProof/>
          <w:szCs w:val="24"/>
        </w:rPr>
        <w:t>(1), 37–51.</w:t>
      </w:r>
    </w:p>
    <w:p w14:paraId="69C7D595"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Kirsten, E., &amp; Du Toit, E. (2018). The relationship between remuneration and financial performance for companies listed on the Johannesburg Stock Exchange. </w:t>
      </w:r>
      <w:r w:rsidRPr="00F021FB">
        <w:rPr>
          <w:rFonts w:cs="Times New Roman"/>
          <w:i/>
          <w:iCs/>
          <w:noProof/>
          <w:szCs w:val="24"/>
        </w:rPr>
        <w:t>South African Journal of Economic and Management Sciences</w:t>
      </w:r>
      <w:r w:rsidRPr="00F021FB">
        <w:rPr>
          <w:rFonts w:cs="Times New Roman"/>
          <w:noProof/>
          <w:szCs w:val="24"/>
        </w:rPr>
        <w:t xml:space="preserve">, </w:t>
      </w:r>
      <w:r w:rsidRPr="00F021FB">
        <w:rPr>
          <w:rFonts w:cs="Times New Roman"/>
          <w:i/>
          <w:iCs/>
          <w:noProof/>
          <w:szCs w:val="24"/>
        </w:rPr>
        <w:t>21</w:t>
      </w:r>
      <w:r w:rsidRPr="00F021FB">
        <w:rPr>
          <w:rFonts w:cs="Times New Roman"/>
          <w:noProof/>
          <w:szCs w:val="24"/>
        </w:rPr>
        <w:t>(1), 1–10. https://doi.org/10.4102/sajems.v21i1.2004</w:t>
      </w:r>
    </w:p>
    <w:p w14:paraId="3259A5E6" w14:textId="1EECB6EE"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Klonoski, R. (2016). Defining </w:t>
      </w:r>
      <w:r w:rsidR="00843E7B" w:rsidRPr="00F021FB">
        <w:rPr>
          <w:rFonts w:cs="Times New Roman"/>
          <w:noProof/>
          <w:szCs w:val="24"/>
        </w:rPr>
        <w:t>employee benefits: a managerial perspective.</w:t>
      </w:r>
      <w:r w:rsidRPr="00F021FB">
        <w:rPr>
          <w:rFonts w:cs="Times New Roman"/>
          <w:noProof/>
          <w:szCs w:val="24"/>
        </w:rPr>
        <w:t xml:space="preserve"> </w:t>
      </w:r>
      <w:r w:rsidRPr="00F021FB">
        <w:rPr>
          <w:rFonts w:cs="Times New Roman"/>
          <w:i/>
          <w:iCs/>
          <w:noProof/>
          <w:szCs w:val="24"/>
        </w:rPr>
        <w:t>International Journal of Human Resource Studies</w:t>
      </w:r>
      <w:r w:rsidRPr="00F021FB">
        <w:rPr>
          <w:rFonts w:cs="Times New Roman"/>
          <w:noProof/>
          <w:szCs w:val="24"/>
        </w:rPr>
        <w:t xml:space="preserve">, </w:t>
      </w:r>
      <w:r w:rsidRPr="00F021FB">
        <w:rPr>
          <w:rFonts w:cs="Times New Roman"/>
          <w:i/>
          <w:iCs/>
          <w:noProof/>
          <w:szCs w:val="24"/>
        </w:rPr>
        <w:t>6</w:t>
      </w:r>
      <w:r w:rsidRPr="00F021FB">
        <w:rPr>
          <w:rFonts w:cs="Times New Roman"/>
          <w:noProof/>
          <w:szCs w:val="24"/>
        </w:rPr>
        <w:t>(2), 52. https://doi.org/10.5296/ijhrs.v6i2.9314</w:t>
      </w:r>
    </w:p>
    <w:p w14:paraId="343E2A31" w14:textId="3CF089AF"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Kostyuk, A., Stiglbauer, M., &amp; Govorun, D. (2016). </w:t>
      </w:r>
      <w:r w:rsidRPr="00F021FB">
        <w:rPr>
          <w:rFonts w:cs="Times New Roman"/>
          <w:i/>
          <w:iCs/>
          <w:noProof/>
          <w:szCs w:val="24"/>
        </w:rPr>
        <w:t xml:space="preserve">The </w:t>
      </w:r>
      <w:r w:rsidR="00843E7B" w:rsidRPr="00F021FB">
        <w:rPr>
          <w:rFonts w:cs="Times New Roman"/>
          <w:i/>
          <w:iCs/>
          <w:noProof/>
          <w:szCs w:val="24"/>
        </w:rPr>
        <w:t>theory and practice of directors’ remuneration: new challenges and opportunities</w:t>
      </w:r>
      <w:r w:rsidR="00843E7B" w:rsidRPr="00F021FB">
        <w:rPr>
          <w:rFonts w:cs="Times New Roman"/>
          <w:noProof/>
          <w:szCs w:val="24"/>
        </w:rPr>
        <w:t>.</w:t>
      </w:r>
      <w:r w:rsidRPr="00F021FB">
        <w:rPr>
          <w:rFonts w:cs="Times New Roman"/>
          <w:noProof/>
          <w:szCs w:val="24"/>
        </w:rPr>
        <w:t xml:space="preserve"> https://www.emeraldinsight.com/doi/full/10.1108/978-1-78560-683-020151020</w:t>
      </w:r>
    </w:p>
    <w:p w14:paraId="4FE57823"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lastRenderedPageBreak/>
        <w:t xml:space="preserve">Kurniawan, A. (2021). Analysis of the effect of return on asset, debt to equity ratio, and total asset turnover on share return. </w:t>
      </w:r>
      <w:r w:rsidRPr="00F021FB">
        <w:rPr>
          <w:rFonts w:cs="Times New Roman"/>
          <w:i/>
          <w:iCs/>
          <w:noProof/>
          <w:szCs w:val="24"/>
        </w:rPr>
        <w:t>Journal of Industrial Engineering &amp; Management Research</w:t>
      </w:r>
      <w:r w:rsidRPr="00F021FB">
        <w:rPr>
          <w:rFonts w:cs="Times New Roman"/>
          <w:noProof/>
          <w:szCs w:val="24"/>
        </w:rPr>
        <w:t xml:space="preserve">, </w:t>
      </w:r>
      <w:r w:rsidRPr="00F021FB">
        <w:rPr>
          <w:rFonts w:cs="Times New Roman"/>
          <w:i/>
          <w:iCs/>
          <w:noProof/>
          <w:szCs w:val="24"/>
        </w:rPr>
        <w:t>4</w:t>
      </w:r>
      <w:r w:rsidRPr="00F021FB">
        <w:rPr>
          <w:rFonts w:cs="Times New Roman"/>
          <w:noProof/>
          <w:szCs w:val="24"/>
        </w:rPr>
        <w:t>(1), 524–530. https://doi.org/10.7777/JIEMAR.V2I1.114</w:t>
      </w:r>
    </w:p>
    <w:p w14:paraId="313EA47E" w14:textId="12BB61DA"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Lam, K. C. K., Mcguinness, P. B., &amp; Paulo, J. (2013). CEO gender </w:t>
      </w:r>
      <w:r w:rsidR="00AF287C">
        <w:rPr>
          <w:rFonts w:cs="Times New Roman"/>
          <w:noProof/>
          <w:szCs w:val="24"/>
        </w:rPr>
        <w:t>, executive compensation and fi</w:t>
      </w:r>
      <w:r w:rsidRPr="00F021FB">
        <w:rPr>
          <w:rFonts w:cs="Times New Roman"/>
          <w:noProof/>
          <w:szCs w:val="24"/>
        </w:rPr>
        <w:t xml:space="preserve">rm performance in Chinese ‐ listed enterprises . </w:t>
      </w:r>
      <w:r w:rsidRPr="00F021FB">
        <w:rPr>
          <w:rFonts w:cs="Times New Roman"/>
          <w:i/>
          <w:iCs/>
          <w:noProof/>
          <w:szCs w:val="24"/>
        </w:rPr>
        <w:t>Pacific-Basin Finance Journal</w:t>
      </w:r>
      <w:r w:rsidRPr="00F021FB">
        <w:rPr>
          <w:rFonts w:cs="Times New Roman"/>
          <w:noProof/>
          <w:szCs w:val="24"/>
        </w:rPr>
        <w:t xml:space="preserve">, </w:t>
      </w:r>
      <w:r w:rsidRPr="00F021FB">
        <w:rPr>
          <w:rFonts w:cs="Times New Roman"/>
          <w:i/>
          <w:iCs/>
          <w:noProof/>
          <w:szCs w:val="24"/>
        </w:rPr>
        <w:t>21</w:t>
      </w:r>
      <w:r w:rsidRPr="00F021FB">
        <w:rPr>
          <w:rFonts w:cs="Times New Roman"/>
          <w:noProof/>
          <w:szCs w:val="24"/>
        </w:rPr>
        <w:t>(1), 1136–1159. https://doi.org/10.1016/j.pacfin.2012.08.006</w:t>
      </w:r>
    </w:p>
    <w:p w14:paraId="4B393E14" w14:textId="200A35E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Latorre, F., Guest, D., Ramos, J., &amp; Gracia, F. (2016). High commitment HR practices, the employment relationship and job performance</w:t>
      </w:r>
      <w:r w:rsidR="00AF287C" w:rsidRPr="00F021FB">
        <w:rPr>
          <w:rFonts w:cs="Times New Roman"/>
          <w:noProof/>
          <w:szCs w:val="24"/>
        </w:rPr>
        <w:t>: a t</w:t>
      </w:r>
      <w:r w:rsidRPr="00F021FB">
        <w:rPr>
          <w:rFonts w:cs="Times New Roman"/>
          <w:noProof/>
          <w:szCs w:val="24"/>
        </w:rPr>
        <w:t xml:space="preserve">est of a mediation model. </w:t>
      </w:r>
      <w:r w:rsidRPr="00F021FB">
        <w:rPr>
          <w:rFonts w:cs="Times New Roman"/>
          <w:i/>
          <w:iCs/>
          <w:noProof/>
          <w:szCs w:val="24"/>
        </w:rPr>
        <w:t>European Management Journal</w:t>
      </w:r>
      <w:r w:rsidRPr="00F021FB">
        <w:rPr>
          <w:rFonts w:cs="Times New Roman"/>
          <w:noProof/>
          <w:szCs w:val="24"/>
        </w:rPr>
        <w:t xml:space="preserve">, </w:t>
      </w:r>
      <w:r w:rsidRPr="00F021FB">
        <w:rPr>
          <w:rFonts w:cs="Times New Roman"/>
          <w:i/>
          <w:iCs/>
          <w:noProof/>
          <w:szCs w:val="24"/>
        </w:rPr>
        <w:t>34</w:t>
      </w:r>
      <w:r w:rsidRPr="00F021FB">
        <w:rPr>
          <w:rFonts w:cs="Times New Roman"/>
          <w:noProof/>
          <w:szCs w:val="24"/>
        </w:rPr>
        <w:t>(4), 328–337. https://www.sciencedirect.com/science/article/pii/S0263237316300573</w:t>
      </w:r>
    </w:p>
    <w:p w14:paraId="6E0F69F7" w14:textId="3ECFEED8"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Lee, S. P., &amp; Isa, M. (2014). Directors’ remuneration, governance and performance</w:t>
      </w:r>
      <w:r w:rsidR="00AF287C" w:rsidRPr="00F021FB">
        <w:rPr>
          <w:rFonts w:cs="Times New Roman"/>
          <w:noProof/>
          <w:szCs w:val="24"/>
        </w:rPr>
        <w:t xml:space="preserve">: the </w:t>
      </w:r>
      <w:r w:rsidRPr="00F021FB">
        <w:rPr>
          <w:rFonts w:cs="Times New Roman"/>
          <w:noProof/>
          <w:szCs w:val="24"/>
        </w:rPr>
        <w:t xml:space="preserve">case of Malaysian banks. </w:t>
      </w:r>
      <w:r w:rsidRPr="00F021FB">
        <w:rPr>
          <w:rFonts w:cs="Times New Roman"/>
          <w:i/>
          <w:iCs/>
          <w:noProof/>
          <w:szCs w:val="24"/>
        </w:rPr>
        <w:t>Managerial Finance</w:t>
      </w:r>
      <w:r w:rsidRPr="00F021FB">
        <w:rPr>
          <w:rFonts w:cs="Times New Roman"/>
          <w:noProof/>
          <w:szCs w:val="24"/>
        </w:rPr>
        <w:t xml:space="preserve">, </w:t>
      </w:r>
      <w:r w:rsidRPr="00F021FB">
        <w:rPr>
          <w:rFonts w:cs="Times New Roman"/>
          <w:i/>
          <w:iCs/>
          <w:noProof/>
          <w:szCs w:val="24"/>
        </w:rPr>
        <w:t>41</w:t>
      </w:r>
      <w:r w:rsidRPr="00F021FB">
        <w:rPr>
          <w:rFonts w:cs="Times New Roman"/>
          <w:noProof/>
          <w:szCs w:val="24"/>
        </w:rPr>
        <w:t>(1), 26–44. https://doi.org/http://dx.doi.org/10.1108/MRR-09-2015-0216</w:t>
      </w:r>
    </w:p>
    <w:p w14:paraId="60612DBA" w14:textId="7CEB05F2"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Li, Y., &amp; Singal, M. (2018). Firm </w:t>
      </w:r>
      <w:r w:rsidR="0062310E" w:rsidRPr="00F021FB">
        <w:rPr>
          <w:rFonts w:cs="Times New Roman"/>
          <w:noProof/>
          <w:szCs w:val="24"/>
        </w:rPr>
        <w:t>performance in the hospitality industry: do</w:t>
      </w:r>
      <w:r w:rsidR="00420DE3" w:rsidRPr="00F021FB">
        <w:rPr>
          <w:rFonts w:cs="Times New Roman"/>
          <w:noProof/>
          <w:szCs w:val="24"/>
        </w:rPr>
        <w:t xml:space="preserve"> CEO</w:t>
      </w:r>
      <w:r w:rsidR="0062310E" w:rsidRPr="00F021FB">
        <w:rPr>
          <w:rFonts w:cs="Times New Roman"/>
          <w:noProof/>
          <w:szCs w:val="24"/>
        </w:rPr>
        <w:t xml:space="preserve"> attributes and compensation matter</w:t>
      </w:r>
      <w:r w:rsidRPr="00F021FB">
        <w:rPr>
          <w:rFonts w:cs="Times New Roman"/>
          <w:noProof/>
          <w:szCs w:val="24"/>
        </w:rPr>
        <w:t xml:space="preserve">? </w:t>
      </w:r>
      <w:r w:rsidRPr="00F021FB">
        <w:rPr>
          <w:rFonts w:cs="Times New Roman"/>
          <w:i/>
          <w:iCs/>
          <w:noProof/>
          <w:szCs w:val="24"/>
        </w:rPr>
        <w:t>Journal of Hospitality and Tourism Research</w:t>
      </w:r>
      <w:r w:rsidRPr="00F021FB">
        <w:rPr>
          <w:rFonts w:cs="Times New Roman"/>
          <w:noProof/>
          <w:szCs w:val="24"/>
        </w:rPr>
        <w:t xml:space="preserve">, </w:t>
      </w:r>
      <w:r w:rsidRPr="00F021FB">
        <w:rPr>
          <w:rFonts w:cs="Times New Roman"/>
          <w:i/>
          <w:iCs/>
          <w:noProof/>
          <w:szCs w:val="24"/>
        </w:rPr>
        <w:t>XX</w:t>
      </w:r>
      <w:r w:rsidRPr="00F021FB">
        <w:rPr>
          <w:rFonts w:cs="Times New Roman"/>
          <w:noProof/>
          <w:szCs w:val="24"/>
        </w:rPr>
        <w:t>(X), 1–11. https://doi.org/10.1177/1096348018776453</w:t>
      </w:r>
    </w:p>
    <w:p w14:paraId="0B24224C" w14:textId="1D7B0053"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Lim, E. N. K., &amp; McCann, B. T. (2013). Performance </w:t>
      </w:r>
      <w:r w:rsidR="0062310E" w:rsidRPr="00F021FB">
        <w:rPr>
          <w:rFonts w:cs="Times New Roman"/>
          <w:noProof/>
          <w:szCs w:val="24"/>
        </w:rPr>
        <w:t xml:space="preserve">feedback and firm risk taking: the moderating effects of </w:t>
      </w:r>
      <w:r w:rsidR="00420DE3" w:rsidRPr="00F021FB">
        <w:rPr>
          <w:rFonts w:cs="Times New Roman"/>
          <w:noProof/>
          <w:szCs w:val="24"/>
        </w:rPr>
        <w:t xml:space="preserve">CEO </w:t>
      </w:r>
      <w:r w:rsidR="0062310E" w:rsidRPr="00F021FB">
        <w:rPr>
          <w:rFonts w:cs="Times New Roman"/>
          <w:noProof/>
          <w:szCs w:val="24"/>
        </w:rPr>
        <w:t>and outside director stock options</w:t>
      </w:r>
      <w:r w:rsidRPr="00F021FB">
        <w:rPr>
          <w:rFonts w:cs="Times New Roman"/>
          <w:noProof/>
          <w:szCs w:val="24"/>
        </w:rPr>
        <w:t xml:space="preserve">. </w:t>
      </w:r>
      <w:r w:rsidRPr="00F021FB">
        <w:rPr>
          <w:rFonts w:cs="Times New Roman"/>
          <w:i/>
          <w:iCs/>
          <w:noProof/>
          <w:szCs w:val="24"/>
        </w:rPr>
        <w:t>Organization Science</w:t>
      </w:r>
      <w:r w:rsidRPr="00F021FB">
        <w:rPr>
          <w:rFonts w:cs="Times New Roman"/>
          <w:noProof/>
          <w:szCs w:val="24"/>
        </w:rPr>
        <w:t xml:space="preserve">, </w:t>
      </w:r>
      <w:r w:rsidRPr="00F021FB">
        <w:rPr>
          <w:rFonts w:cs="Times New Roman"/>
          <w:i/>
          <w:iCs/>
          <w:noProof/>
          <w:szCs w:val="24"/>
        </w:rPr>
        <w:t>25</w:t>
      </w:r>
      <w:r w:rsidRPr="00F021FB">
        <w:rPr>
          <w:rFonts w:cs="Times New Roman"/>
          <w:noProof/>
          <w:szCs w:val="24"/>
        </w:rPr>
        <w:t>(1), 262–282. https://doi.org/10.1287/orsc.2013.0830</w:t>
      </w:r>
    </w:p>
    <w:p w14:paraId="04447C67" w14:textId="0457DCF0"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Lin, D., Kuo, H., &amp; Wang, L. (2013). Chief executive compensation: </w:t>
      </w:r>
      <w:r w:rsidR="00420DE3" w:rsidRPr="00F021FB">
        <w:rPr>
          <w:rFonts w:cs="Times New Roman"/>
          <w:noProof/>
          <w:szCs w:val="24"/>
        </w:rPr>
        <w:t>an</w:t>
      </w:r>
      <w:r w:rsidRPr="00F021FB">
        <w:rPr>
          <w:rFonts w:cs="Times New Roman"/>
          <w:noProof/>
          <w:szCs w:val="24"/>
        </w:rPr>
        <w:t xml:space="preserve"> empirical study of fat cat CEOs. </w:t>
      </w:r>
      <w:r w:rsidRPr="00F021FB">
        <w:rPr>
          <w:rFonts w:cs="Times New Roman"/>
          <w:i/>
          <w:iCs/>
          <w:noProof/>
          <w:szCs w:val="24"/>
        </w:rPr>
        <w:t>International Journal of Business and Finance Research</w:t>
      </w:r>
      <w:r w:rsidRPr="00F021FB">
        <w:rPr>
          <w:rFonts w:cs="Times New Roman"/>
          <w:noProof/>
          <w:szCs w:val="24"/>
        </w:rPr>
        <w:t xml:space="preserve">, </w:t>
      </w:r>
      <w:r w:rsidRPr="00F021FB">
        <w:rPr>
          <w:rFonts w:cs="Times New Roman"/>
          <w:i/>
          <w:iCs/>
          <w:noProof/>
          <w:szCs w:val="24"/>
        </w:rPr>
        <w:t>7</w:t>
      </w:r>
      <w:r w:rsidRPr="00F021FB">
        <w:rPr>
          <w:rFonts w:cs="Times New Roman"/>
          <w:noProof/>
          <w:szCs w:val="24"/>
        </w:rPr>
        <w:t xml:space="preserve">(2), 27–42. </w:t>
      </w:r>
    </w:p>
    <w:p w14:paraId="52653723" w14:textId="42269924"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lastRenderedPageBreak/>
        <w:t xml:space="preserve">Lindström, A., &amp; Svensson, J. (2016). </w:t>
      </w:r>
      <w:r w:rsidRPr="00F021FB">
        <w:rPr>
          <w:rFonts w:cs="Times New Roman"/>
          <w:i/>
          <w:iCs/>
          <w:noProof/>
          <w:szCs w:val="24"/>
        </w:rPr>
        <w:t xml:space="preserve">Top management compensation and firm performance - </w:t>
      </w:r>
      <w:r w:rsidR="00C50A0C" w:rsidRPr="00F021FB">
        <w:rPr>
          <w:rFonts w:cs="Times New Roman"/>
          <w:i/>
          <w:iCs/>
          <w:noProof/>
          <w:szCs w:val="24"/>
        </w:rPr>
        <w:t xml:space="preserve">a </w:t>
      </w:r>
      <w:r w:rsidRPr="00F021FB">
        <w:rPr>
          <w:rFonts w:cs="Times New Roman"/>
          <w:i/>
          <w:iCs/>
          <w:noProof/>
          <w:szCs w:val="24"/>
        </w:rPr>
        <w:t>matter of context ?</w:t>
      </w:r>
    </w:p>
    <w:p w14:paraId="10010AA4" w14:textId="321361BE"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Long, R. J., &amp; Fang, T. W. (2012). Do </w:t>
      </w:r>
      <w:r w:rsidR="0062310E" w:rsidRPr="00F021FB">
        <w:rPr>
          <w:rFonts w:cs="Times New Roman"/>
          <w:noProof/>
          <w:szCs w:val="24"/>
        </w:rPr>
        <w:t xml:space="preserve">employees profit from profit sharing? evidence from </w:t>
      </w:r>
      <w:r w:rsidR="006953EC" w:rsidRPr="00F021FB">
        <w:rPr>
          <w:rFonts w:cs="Times New Roman"/>
          <w:noProof/>
          <w:szCs w:val="24"/>
        </w:rPr>
        <w:t>Ca</w:t>
      </w:r>
      <w:r w:rsidR="0062310E" w:rsidRPr="00F021FB">
        <w:rPr>
          <w:rFonts w:cs="Times New Roman"/>
          <w:noProof/>
          <w:szCs w:val="24"/>
        </w:rPr>
        <w:t>nadian panel data.</w:t>
      </w:r>
      <w:r w:rsidRPr="00F021FB">
        <w:rPr>
          <w:rFonts w:cs="Times New Roman"/>
          <w:noProof/>
          <w:szCs w:val="24"/>
        </w:rPr>
        <w:t xml:space="preserve"> </w:t>
      </w:r>
      <w:r w:rsidRPr="00F021FB">
        <w:rPr>
          <w:rFonts w:cs="Times New Roman"/>
          <w:i/>
          <w:iCs/>
          <w:noProof/>
          <w:szCs w:val="24"/>
        </w:rPr>
        <w:t>ILR Review</w:t>
      </w:r>
      <w:r w:rsidRPr="00F021FB">
        <w:rPr>
          <w:rFonts w:cs="Times New Roman"/>
          <w:noProof/>
          <w:szCs w:val="24"/>
        </w:rPr>
        <w:t xml:space="preserve">, </w:t>
      </w:r>
      <w:r w:rsidRPr="00F021FB">
        <w:rPr>
          <w:rFonts w:cs="Times New Roman"/>
          <w:i/>
          <w:iCs/>
          <w:noProof/>
          <w:szCs w:val="24"/>
        </w:rPr>
        <w:t>65</w:t>
      </w:r>
      <w:r w:rsidRPr="00F021FB">
        <w:rPr>
          <w:rFonts w:cs="Times New Roman"/>
          <w:noProof/>
          <w:szCs w:val="24"/>
        </w:rPr>
        <w:t xml:space="preserve">(4), 899–927. </w:t>
      </w:r>
    </w:p>
    <w:p w14:paraId="1301EFA7" w14:textId="7832D8CD"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Lotto, J., &amp; Kakozi, E. (2019). Determinants </w:t>
      </w:r>
      <w:r w:rsidR="0062310E" w:rsidRPr="00F021FB">
        <w:rPr>
          <w:rFonts w:cs="Times New Roman"/>
          <w:noProof/>
          <w:szCs w:val="24"/>
        </w:rPr>
        <w:t xml:space="preserve">of financial performance of </w:t>
      </w:r>
      <w:r w:rsidRPr="00F021FB">
        <w:rPr>
          <w:rFonts w:cs="Times New Roman"/>
          <w:noProof/>
          <w:szCs w:val="24"/>
        </w:rPr>
        <w:t xml:space="preserve">Tanzanian </w:t>
      </w:r>
      <w:r w:rsidR="0062310E">
        <w:rPr>
          <w:rFonts w:cs="Times New Roman"/>
          <w:noProof/>
          <w:szCs w:val="24"/>
        </w:rPr>
        <w:t>b</w:t>
      </w:r>
      <w:r w:rsidRPr="00F021FB">
        <w:rPr>
          <w:rFonts w:cs="Times New Roman"/>
          <w:noProof/>
          <w:szCs w:val="24"/>
        </w:rPr>
        <w:t xml:space="preserve">anks. </w:t>
      </w:r>
      <w:r w:rsidRPr="00F021FB">
        <w:rPr>
          <w:rFonts w:cs="Times New Roman"/>
          <w:i/>
          <w:iCs/>
          <w:noProof/>
          <w:szCs w:val="24"/>
        </w:rPr>
        <w:t>The African Journal of Finance and Management</w:t>
      </w:r>
      <w:r w:rsidRPr="00F021FB">
        <w:rPr>
          <w:rFonts w:cs="Times New Roman"/>
          <w:noProof/>
          <w:szCs w:val="24"/>
        </w:rPr>
        <w:t xml:space="preserve">, </w:t>
      </w:r>
      <w:r w:rsidRPr="00F021FB">
        <w:rPr>
          <w:rFonts w:cs="Times New Roman"/>
          <w:i/>
          <w:iCs/>
          <w:noProof/>
          <w:szCs w:val="24"/>
        </w:rPr>
        <w:t>25</w:t>
      </w:r>
      <w:r w:rsidRPr="00F021FB">
        <w:rPr>
          <w:rFonts w:cs="Times New Roman"/>
          <w:noProof/>
          <w:szCs w:val="24"/>
        </w:rPr>
        <w:t>(1), 55–65.</w:t>
      </w:r>
    </w:p>
    <w:p w14:paraId="4C538460"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Luo, Y. (2015). CEO power, ownership structure and pay performance in Chinese banking. </w:t>
      </w:r>
      <w:r w:rsidRPr="00F021FB">
        <w:rPr>
          <w:rFonts w:cs="Times New Roman"/>
          <w:i/>
          <w:iCs/>
          <w:noProof/>
          <w:szCs w:val="24"/>
        </w:rPr>
        <w:t>Journal of Economics and Business</w:t>
      </w:r>
      <w:r w:rsidRPr="00F021FB">
        <w:rPr>
          <w:rFonts w:cs="Times New Roman"/>
          <w:noProof/>
          <w:szCs w:val="24"/>
        </w:rPr>
        <w:t xml:space="preserve">, </w:t>
      </w:r>
      <w:r w:rsidRPr="00F021FB">
        <w:rPr>
          <w:rFonts w:cs="Times New Roman"/>
          <w:i/>
          <w:iCs/>
          <w:noProof/>
          <w:szCs w:val="24"/>
        </w:rPr>
        <w:t>82</w:t>
      </w:r>
      <w:r w:rsidRPr="00F021FB">
        <w:rPr>
          <w:rFonts w:cs="Times New Roman"/>
          <w:noProof/>
          <w:szCs w:val="24"/>
        </w:rPr>
        <w:t>, 3–16. https://doi.org/10.1016/j.jeconbus.2015.04.003</w:t>
      </w:r>
    </w:p>
    <w:p w14:paraId="3B0A453F" w14:textId="3B7E7919"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Luo, Y., &amp; Jackson, D. (2011). Executive </w:t>
      </w:r>
      <w:r w:rsidR="0062310E" w:rsidRPr="00F021FB">
        <w:rPr>
          <w:rFonts w:cs="Times New Roman"/>
          <w:noProof/>
          <w:szCs w:val="24"/>
        </w:rPr>
        <w:t xml:space="preserve">compensation, ownership structure and firm performance in </w:t>
      </w:r>
      <w:r w:rsidR="00C50A0C" w:rsidRPr="00F021FB">
        <w:rPr>
          <w:rFonts w:cs="Times New Roman"/>
          <w:noProof/>
          <w:szCs w:val="24"/>
        </w:rPr>
        <w:t>Chinese</w:t>
      </w:r>
      <w:r w:rsidR="0062310E" w:rsidRPr="00F021FB">
        <w:rPr>
          <w:rFonts w:cs="Times New Roman"/>
          <w:noProof/>
          <w:szCs w:val="24"/>
        </w:rPr>
        <w:t xml:space="preserve"> financial corporations.</w:t>
      </w:r>
      <w:r w:rsidRPr="00F021FB">
        <w:rPr>
          <w:rFonts w:cs="Times New Roman"/>
          <w:noProof/>
          <w:szCs w:val="24"/>
        </w:rPr>
        <w:t xml:space="preserve"> </w:t>
      </w:r>
      <w:r w:rsidRPr="00F021FB">
        <w:rPr>
          <w:rFonts w:cs="Times New Roman"/>
          <w:i/>
          <w:iCs/>
          <w:noProof/>
          <w:szCs w:val="24"/>
        </w:rPr>
        <w:t>Ssrn</w:t>
      </w:r>
      <w:r w:rsidRPr="00F021FB">
        <w:rPr>
          <w:rFonts w:cs="Times New Roman"/>
          <w:noProof/>
          <w:szCs w:val="24"/>
        </w:rPr>
        <w:t>, 56–74. https://doi.org/10.2139/ssrn.1893554</w:t>
      </w:r>
    </w:p>
    <w:p w14:paraId="140F4AB8"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Mafini, C., &amp; Dlodlo, N. (2014). The relationship between extrinsic motivation, job satisfaction and life satisfaction amongst employees in a public organisation. </w:t>
      </w:r>
      <w:r w:rsidRPr="00F021FB">
        <w:rPr>
          <w:rFonts w:cs="Times New Roman"/>
          <w:i/>
          <w:iCs/>
          <w:noProof/>
          <w:szCs w:val="24"/>
        </w:rPr>
        <w:t>SA Journal of Industrial Psychology</w:t>
      </w:r>
      <w:r w:rsidRPr="00F021FB">
        <w:rPr>
          <w:rFonts w:cs="Times New Roman"/>
          <w:noProof/>
          <w:szCs w:val="24"/>
        </w:rPr>
        <w:t xml:space="preserve">, </w:t>
      </w:r>
      <w:r w:rsidRPr="00F021FB">
        <w:rPr>
          <w:rFonts w:cs="Times New Roman"/>
          <w:i/>
          <w:iCs/>
          <w:noProof/>
          <w:szCs w:val="24"/>
        </w:rPr>
        <w:t>40</w:t>
      </w:r>
      <w:r w:rsidRPr="00F021FB">
        <w:rPr>
          <w:rFonts w:cs="Times New Roman"/>
          <w:noProof/>
          <w:szCs w:val="24"/>
        </w:rPr>
        <w:t>(1), 1–13. https://doi.org/10.4102/sajip.v40i1.1166</w:t>
      </w:r>
    </w:p>
    <w:p w14:paraId="29B23D9A"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Margaritis, D., &amp; Psillaki, M. (2010). Capital structure, equity ownership and firm performance. </w:t>
      </w:r>
      <w:r w:rsidRPr="00F021FB">
        <w:rPr>
          <w:rFonts w:cs="Times New Roman"/>
          <w:i/>
          <w:iCs/>
          <w:noProof/>
          <w:szCs w:val="24"/>
        </w:rPr>
        <w:t>Journal of Banking &amp; Finance</w:t>
      </w:r>
      <w:r w:rsidRPr="00F021FB">
        <w:rPr>
          <w:rFonts w:cs="Times New Roman"/>
          <w:noProof/>
          <w:szCs w:val="24"/>
        </w:rPr>
        <w:t xml:space="preserve">, </w:t>
      </w:r>
      <w:r w:rsidRPr="00F021FB">
        <w:rPr>
          <w:rFonts w:cs="Times New Roman"/>
          <w:i/>
          <w:iCs/>
          <w:noProof/>
          <w:szCs w:val="24"/>
        </w:rPr>
        <w:t>34</w:t>
      </w:r>
      <w:r w:rsidRPr="00F021FB">
        <w:rPr>
          <w:rFonts w:cs="Times New Roman"/>
          <w:noProof/>
          <w:szCs w:val="24"/>
        </w:rPr>
        <w:t>(3), 621–632. https://doi.org/10.2139/ssrn.2016420</w:t>
      </w:r>
    </w:p>
    <w:p w14:paraId="35F1FEBC"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Masum, A. K. M., Azad, M. A. K., &amp; Beh, L.-S. (2016). The role of human resource </w:t>
      </w:r>
      <w:r w:rsidRPr="00F021FB">
        <w:rPr>
          <w:rFonts w:cs="Times New Roman"/>
          <w:noProof/>
          <w:szCs w:val="24"/>
        </w:rPr>
        <w:lastRenderedPageBreak/>
        <w:t xml:space="preserve">management practices in bank performance. </w:t>
      </w:r>
      <w:r w:rsidRPr="00F021FB">
        <w:rPr>
          <w:rFonts w:cs="Times New Roman"/>
          <w:i/>
          <w:iCs/>
          <w:noProof/>
          <w:szCs w:val="24"/>
        </w:rPr>
        <w:t>Total Quality Management &amp; Business Excellence</w:t>
      </w:r>
      <w:r w:rsidRPr="00F021FB">
        <w:rPr>
          <w:rFonts w:cs="Times New Roman"/>
          <w:noProof/>
          <w:szCs w:val="24"/>
        </w:rPr>
        <w:t xml:space="preserve">, </w:t>
      </w:r>
      <w:r w:rsidRPr="00F021FB">
        <w:rPr>
          <w:rFonts w:cs="Times New Roman"/>
          <w:i/>
          <w:iCs/>
          <w:noProof/>
          <w:szCs w:val="24"/>
        </w:rPr>
        <w:t>27</w:t>
      </w:r>
      <w:r w:rsidRPr="00F021FB">
        <w:rPr>
          <w:rFonts w:cs="Times New Roman"/>
          <w:noProof/>
          <w:szCs w:val="24"/>
        </w:rPr>
        <w:t>(3–4), 382–397. https://doi.org/10.1080/14783363.2014.1002762</w:t>
      </w:r>
    </w:p>
    <w:p w14:paraId="3FBE5393" w14:textId="77777777" w:rsidR="002A3C75" w:rsidRDefault="002A3C75" w:rsidP="00F021FB">
      <w:pPr>
        <w:widowControl w:val="0"/>
        <w:autoSpaceDE w:val="0"/>
        <w:autoSpaceDN w:val="0"/>
        <w:adjustRightInd w:val="0"/>
        <w:spacing w:before="240" w:after="0"/>
        <w:ind w:left="480" w:hanging="480"/>
        <w:rPr>
          <w:rFonts w:cs="Arial"/>
          <w:noProof/>
          <w:szCs w:val="24"/>
        </w:rPr>
      </w:pPr>
      <w:r>
        <w:rPr>
          <w:rFonts w:cs="Arial"/>
          <w:noProof/>
          <w:szCs w:val="24"/>
        </w:rPr>
        <w:t xml:space="preserve">Mbugua, A. W. (2011). </w:t>
      </w:r>
      <w:r>
        <w:rPr>
          <w:rFonts w:cs="Arial"/>
          <w:i/>
          <w:iCs/>
          <w:noProof/>
          <w:szCs w:val="24"/>
        </w:rPr>
        <w:t>The role and impact of Capital Markets in developing economies a case study of Nairobi Stock Exchange</w:t>
      </w:r>
      <w:r>
        <w:rPr>
          <w:rFonts w:cs="Arial"/>
          <w:noProof/>
          <w:szCs w:val="24"/>
        </w:rPr>
        <w:t xml:space="preserve">. </w:t>
      </w:r>
    </w:p>
    <w:p w14:paraId="12670ECA"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McCusker, K., &amp; Gunaydin, S. (2015). Research using qualitative, quantitative or mixed methods and choice based on the research. </w:t>
      </w:r>
      <w:r w:rsidRPr="00F021FB">
        <w:rPr>
          <w:rFonts w:cs="Times New Roman"/>
          <w:i/>
          <w:iCs/>
          <w:noProof/>
          <w:szCs w:val="24"/>
        </w:rPr>
        <w:t>Perfusion (United Kingdom)</w:t>
      </w:r>
      <w:r w:rsidRPr="00F021FB">
        <w:rPr>
          <w:rFonts w:cs="Times New Roman"/>
          <w:noProof/>
          <w:szCs w:val="24"/>
        </w:rPr>
        <w:t xml:space="preserve">, </w:t>
      </w:r>
      <w:r w:rsidRPr="00F021FB">
        <w:rPr>
          <w:rFonts w:cs="Times New Roman"/>
          <w:i/>
          <w:iCs/>
          <w:noProof/>
          <w:szCs w:val="24"/>
        </w:rPr>
        <w:t>30</w:t>
      </w:r>
      <w:r w:rsidRPr="00F021FB">
        <w:rPr>
          <w:rFonts w:cs="Times New Roman"/>
          <w:noProof/>
          <w:szCs w:val="24"/>
        </w:rPr>
        <w:t>(7), 537–542. https://doi.org/10.1177/0267659114559116</w:t>
      </w:r>
    </w:p>
    <w:p w14:paraId="16AF2471" w14:textId="409508FF"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Murphy, K. J. (2013). Regulating banking bonuses in the european union</w:t>
      </w:r>
      <w:r w:rsidR="00C50A0C" w:rsidRPr="00F021FB">
        <w:rPr>
          <w:rFonts w:cs="Times New Roman"/>
          <w:noProof/>
          <w:szCs w:val="24"/>
        </w:rPr>
        <w:t>: a c</w:t>
      </w:r>
      <w:r w:rsidRPr="00F021FB">
        <w:rPr>
          <w:rFonts w:cs="Times New Roman"/>
          <w:noProof/>
          <w:szCs w:val="24"/>
        </w:rPr>
        <w:t xml:space="preserve">ase study in unintended consequences. </w:t>
      </w:r>
      <w:r w:rsidRPr="00F021FB">
        <w:rPr>
          <w:rFonts w:cs="Times New Roman"/>
          <w:i/>
          <w:iCs/>
          <w:noProof/>
          <w:szCs w:val="24"/>
        </w:rPr>
        <w:t>European Financial Management</w:t>
      </w:r>
      <w:r w:rsidRPr="00F021FB">
        <w:rPr>
          <w:rFonts w:cs="Times New Roman"/>
          <w:noProof/>
          <w:szCs w:val="24"/>
        </w:rPr>
        <w:t xml:space="preserve">, </w:t>
      </w:r>
      <w:r w:rsidRPr="00F021FB">
        <w:rPr>
          <w:rFonts w:cs="Times New Roman"/>
          <w:i/>
          <w:iCs/>
          <w:noProof/>
          <w:szCs w:val="24"/>
        </w:rPr>
        <w:t>19</w:t>
      </w:r>
      <w:r w:rsidRPr="00F021FB">
        <w:rPr>
          <w:rFonts w:cs="Times New Roman"/>
          <w:noProof/>
          <w:szCs w:val="24"/>
        </w:rPr>
        <w:t>(4), 631–657. https://doi.org/10.1111/j.1468-036X.2013.12024.x</w:t>
      </w:r>
    </w:p>
    <w:p w14:paraId="5815BA59"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Newton, A. N. (2015). Executive compensation, organizational performance, and governance quality in the absence of owners. </w:t>
      </w:r>
      <w:r w:rsidRPr="00F021FB">
        <w:rPr>
          <w:rFonts w:cs="Times New Roman"/>
          <w:i/>
          <w:iCs/>
          <w:noProof/>
          <w:szCs w:val="24"/>
        </w:rPr>
        <w:t>Journal of Corporate Finance</w:t>
      </w:r>
      <w:r w:rsidRPr="00F021FB">
        <w:rPr>
          <w:rFonts w:cs="Times New Roman"/>
          <w:noProof/>
          <w:szCs w:val="24"/>
        </w:rPr>
        <w:t xml:space="preserve">, </w:t>
      </w:r>
      <w:r w:rsidRPr="00F021FB">
        <w:rPr>
          <w:rFonts w:cs="Times New Roman"/>
          <w:i/>
          <w:iCs/>
          <w:noProof/>
          <w:szCs w:val="24"/>
        </w:rPr>
        <w:t>30</w:t>
      </w:r>
      <w:r w:rsidRPr="00F021FB">
        <w:rPr>
          <w:rFonts w:cs="Times New Roman"/>
          <w:noProof/>
          <w:szCs w:val="24"/>
        </w:rPr>
        <w:t>(2015), 195–222. https://doi.org/10.1016/j.jcorpfin.2014.12.016</w:t>
      </w:r>
    </w:p>
    <w:p w14:paraId="549AC41E" w14:textId="760745D9"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Njanja, L. W., Maina, R. N., Kibet, L. K., &amp; Njagi, K. (2013). Effect </w:t>
      </w:r>
      <w:r w:rsidR="0062310E" w:rsidRPr="00F021FB">
        <w:rPr>
          <w:rFonts w:cs="Times New Roman"/>
          <w:noProof/>
          <w:szCs w:val="24"/>
        </w:rPr>
        <w:t>of reward on employee performance: a case of</w:t>
      </w:r>
      <w:r w:rsidRPr="00F021FB">
        <w:rPr>
          <w:rFonts w:cs="Times New Roman"/>
          <w:noProof/>
          <w:szCs w:val="24"/>
        </w:rPr>
        <w:t xml:space="preserve"> Kenya Power and Lighting Company Ltd., Nakuru, Kenya. </w:t>
      </w:r>
      <w:r w:rsidRPr="00F021FB">
        <w:rPr>
          <w:rFonts w:cs="Times New Roman"/>
          <w:i/>
          <w:iCs/>
          <w:noProof/>
          <w:szCs w:val="24"/>
        </w:rPr>
        <w:t>International Journal of Business and Management</w:t>
      </w:r>
      <w:r w:rsidRPr="00F021FB">
        <w:rPr>
          <w:rFonts w:cs="Times New Roman"/>
          <w:noProof/>
          <w:szCs w:val="24"/>
        </w:rPr>
        <w:t xml:space="preserve">, </w:t>
      </w:r>
      <w:r w:rsidRPr="00F021FB">
        <w:rPr>
          <w:rFonts w:cs="Times New Roman"/>
          <w:i/>
          <w:iCs/>
          <w:noProof/>
          <w:szCs w:val="24"/>
        </w:rPr>
        <w:t>8</w:t>
      </w:r>
      <w:r w:rsidRPr="00F021FB">
        <w:rPr>
          <w:rFonts w:cs="Times New Roman"/>
          <w:noProof/>
          <w:szCs w:val="24"/>
        </w:rPr>
        <w:t>(21), 41–49. https://doi.org/10.5539/ijbm.v8n21p41</w:t>
      </w:r>
    </w:p>
    <w:p w14:paraId="5062A04B"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Nourayi, M. M., &amp; Daroca, F. P. (2008). CEO compensation, firm performance and operational characteristics. </w:t>
      </w:r>
      <w:r w:rsidRPr="00F021FB">
        <w:rPr>
          <w:rFonts w:cs="Times New Roman"/>
          <w:i/>
          <w:iCs/>
          <w:noProof/>
          <w:szCs w:val="24"/>
        </w:rPr>
        <w:t>Managerial Finance</w:t>
      </w:r>
      <w:r w:rsidRPr="00F021FB">
        <w:rPr>
          <w:rFonts w:cs="Times New Roman"/>
          <w:noProof/>
          <w:szCs w:val="24"/>
        </w:rPr>
        <w:t xml:space="preserve">, </w:t>
      </w:r>
      <w:r w:rsidRPr="00F021FB">
        <w:rPr>
          <w:rFonts w:cs="Times New Roman"/>
          <w:i/>
          <w:iCs/>
          <w:noProof/>
          <w:szCs w:val="24"/>
        </w:rPr>
        <w:t>34</w:t>
      </w:r>
      <w:r w:rsidRPr="00F021FB">
        <w:rPr>
          <w:rFonts w:cs="Times New Roman"/>
          <w:noProof/>
          <w:szCs w:val="24"/>
        </w:rPr>
        <w:t>(8), 562–584. https://doi.org/10.1108/03074350810874082</w:t>
      </w:r>
    </w:p>
    <w:p w14:paraId="72AC3E93"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lastRenderedPageBreak/>
        <w:t xml:space="preserve">Nujjoo, A., &amp; Meyer, I. (2012). The relative importance of different types of rewards for employee motivation and commitment in South Africa. </w:t>
      </w:r>
      <w:r w:rsidRPr="00F021FB">
        <w:rPr>
          <w:rFonts w:cs="Times New Roman"/>
          <w:i/>
          <w:iCs/>
          <w:noProof/>
          <w:szCs w:val="24"/>
        </w:rPr>
        <w:t>SA Journal of Human Resource Management</w:t>
      </w:r>
      <w:r w:rsidRPr="00F021FB">
        <w:rPr>
          <w:rFonts w:cs="Times New Roman"/>
          <w:noProof/>
          <w:szCs w:val="24"/>
        </w:rPr>
        <w:t xml:space="preserve">, </w:t>
      </w:r>
      <w:r w:rsidRPr="00F021FB">
        <w:rPr>
          <w:rFonts w:cs="Times New Roman"/>
          <w:i/>
          <w:iCs/>
          <w:noProof/>
          <w:szCs w:val="24"/>
        </w:rPr>
        <w:t>10</w:t>
      </w:r>
      <w:r w:rsidRPr="00F021FB">
        <w:rPr>
          <w:rFonts w:cs="Times New Roman"/>
          <w:noProof/>
          <w:szCs w:val="24"/>
        </w:rPr>
        <w:t>(2), 1–10. https://doi.org/10.4102/sajhrm.v10i2.442</w:t>
      </w:r>
    </w:p>
    <w:p w14:paraId="54E98BBB" w14:textId="7F4DCF6C"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Nyaribo, O. L., &amp; Nyakundi, A. W. (2016). The </w:t>
      </w:r>
      <w:r w:rsidR="0062310E" w:rsidRPr="00F021FB">
        <w:rPr>
          <w:rFonts w:cs="Times New Roman"/>
          <w:noProof/>
          <w:szCs w:val="24"/>
        </w:rPr>
        <w:t xml:space="preserve">effect of non-financial compensation on employee performance of micro-finance institutions: a case of </w:t>
      </w:r>
      <w:r w:rsidRPr="00F021FB">
        <w:rPr>
          <w:rFonts w:cs="Times New Roman"/>
          <w:noProof/>
          <w:szCs w:val="24"/>
        </w:rPr>
        <w:t xml:space="preserve">Wakenya Pamoja Sacco, Kisii County, Kenya. </w:t>
      </w:r>
      <w:r w:rsidRPr="00F021FB">
        <w:rPr>
          <w:rFonts w:cs="Times New Roman"/>
          <w:i/>
          <w:iCs/>
          <w:noProof/>
          <w:szCs w:val="24"/>
        </w:rPr>
        <w:t>Imperial Journal of Interdisciplinary Research (IJIR)</w:t>
      </w:r>
      <w:r w:rsidRPr="00F021FB">
        <w:rPr>
          <w:rFonts w:cs="Times New Roman"/>
          <w:noProof/>
          <w:szCs w:val="24"/>
        </w:rPr>
        <w:t xml:space="preserve">, </w:t>
      </w:r>
      <w:r w:rsidRPr="00F021FB">
        <w:rPr>
          <w:rFonts w:cs="Times New Roman"/>
          <w:i/>
          <w:iCs/>
          <w:noProof/>
          <w:szCs w:val="24"/>
        </w:rPr>
        <w:t>2</w:t>
      </w:r>
      <w:r w:rsidRPr="00F021FB">
        <w:rPr>
          <w:rFonts w:cs="Times New Roman"/>
          <w:noProof/>
          <w:szCs w:val="24"/>
        </w:rPr>
        <w:t>(6), 103–126.</w:t>
      </w:r>
    </w:p>
    <w:p w14:paraId="1EA2685E" w14:textId="307C3B90"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Nyberg, A. J., Pieper, J. R., &amp; Trevor, C. O. (2016). Pay-for-</w:t>
      </w:r>
      <w:r w:rsidR="0062310E" w:rsidRPr="00F021FB">
        <w:rPr>
          <w:rFonts w:cs="Times New Roman"/>
          <w:noProof/>
          <w:szCs w:val="24"/>
        </w:rPr>
        <w:t>performance’s effect on future employee performance : integrating psychological and economic principles toward a contingency perspective</w:t>
      </w:r>
      <w:r w:rsidRPr="00F021FB">
        <w:rPr>
          <w:rFonts w:cs="Times New Roman"/>
          <w:noProof/>
          <w:szCs w:val="24"/>
        </w:rPr>
        <w:t xml:space="preserve">. </w:t>
      </w:r>
      <w:r w:rsidRPr="00F021FB">
        <w:rPr>
          <w:rFonts w:cs="Times New Roman"/>
          <w:i/>
          <w:iCs/>
          <w:noProof/>
          <w:szCs w:val="24"/>
        </w:rPr>
        <w:t>Journal of Management</w:t>
      </w:r>
      <w:r w:rsidRPr="00F021FB">
        <w:rPr>
          <w:rFonts w:cs="Times New Roman"/>
          <w:noProof/>
          <w:szCs w:val="24"/>
        </w:rPr>
        <w:t xml:space="preserve"> </w:t>
      </w:r>
      <w:r w:rsidR="0086335A">
        <w:rPr>
          <w:rFonts w:cs="Times New Roman"/>
          <w:noProof/>
          <w:szCs w:val="24"/>
        </w:rPr>
        <w:t>42 (</w:t>
      </w:r>
      <w:r w:rsidRPr="00F021FB">
        <w:rPr>
          <w:rFonts w:cs="Times New Roman"/>
          <w:noProof/>
          <w:szCs w:val="24"/>
        </w:rPr>
        <w:t xml:space="preserve"> 7). https://doi.org/10.1177/0149206313515520</w:t>
      </w:r>
    </w:p>
    <w:p w14:paraId="578A930C"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O’Halloran, P. L. (2012). Performance pay and employee turnover. </w:t>
      </w:r>
      <w:r w:rsidRPr="00F021FB">
        <w:rPr>
          <w:rFonts w:cs="Times New Roman"/>
          <w:i/>
          <w:iCs/>
          <w:noProof/>
          <w:szCs w:val="24"/>
        </w:rPr>
        <w:t>Journal of Economic Studies</w:t>
      </w:r>
      <w:r w:rsidRPr="00F021FB">
        <w:rPr>
          <w:rFonts w:cs="Times New Roman"/>
          <w:noProof/>
          <w:szCs w:val="24"/>
        </w:rPr>
        <w:t xml:space="preserve">, </w:t>
      </w:r>
      <w:r w:rsidRPr="00F021FB">
        <w:rPr>
          <w:rFonts w:cs="Times New Roman"/>
          <w:i/>
          <w:iCs/>
          <w:noProof/>
          <w:szCs w:val="24"/>
        </w:rPr>
        <w:t>39</w:t>
      </w:r>
      <w:r w:rsidRPr="00F021FB">
        <w:rPr>
          <w:rFonts w:cs="Times New Roman"/>
          <w:noProof/>
          <w:szCs w:val="24"/>
        </w:rPr>
        <w:t>(6), 653–674. https://doi.org/10.1108/01443581211274601</w:t>
      </w:r>
    </w:p>
    <w:p w14:paraId="7A381656" w14:textId="59A8CBBF"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Olweny, T., &amp; Omondi, K. (2011). The effect of macro-economic factors on stock return volatility in the Nairobi</w:t>
      </w:r>
      <w:r w:rsidR="00A32AFA" w:rsidRPr="00F021FB">
        <w:rPr>
          <w:rFonts w:cs="Times New Roman"/>
          <w:noProof/>
          <w:szCs w:val="24"/>
        </w:rPr>
        <w:t xml:space="preserve"> Stock Exchange</w:t>
      </w:r>
      <w:r w:rsidRPr="00F021FB">
        <w:rPr>
          <w:rFonts w:cs="Times New Roman"/>
          <w:noProof/>
          <w:szCs w:val="24"/>
        </w:rPr>
        <w:t xml:space="preserve">, Kenya. </w:t>
      </w:r>
      <w:r w:rsidRPr="00F021FB">
        <w:rPr>
          <w:rFonts w:cs="Times New Roman"/>
          <w:i/>
          <w:iCs/>
          <w:noProof/>
          <w:szCs w:val="24"/>
        </w:rPr>
        <w:t>Economics and Finance Review</w:t>
      </w:r>
      <w:r w:rsidRPr="00F021FB">
        <w:rPr>
          <w:rFonts w:cs="Times New Roman"/>
          <w:noProof/>
          <w:szCs w:val="24"/>
        </w:rPr>
        <w:t xml:space="preserve">, </w:t>
      </w:r>
      <w:r w:rsidRPr="00F021FB">
        <w:rPr>
          <w:rFonts w:cs="Times New Roman"/>
          <w:i/>
          <w:iCs/>
          <w:noProof/>
          <w:szCs w:val="24"/>
        </w:rPr>
        <w:t>1</w:t>
      </w:r>
      <w:r w:rsidRPr="00F021FB">
        <w:rPr>
          <w:rFonts w:cs="Times New Roman"/>
          <w:noProof/>
          <w:szCs w:val="24"/>
        </w:rPr>
        <w:t>(10), 34–48.</w:t>
      </w:r>
    </w:p>
    <w:p w14:paraId="54BDDF6C" w14:textId="2FA1F70C"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Omondi, M. M., &amp; Muturi, W. (2013). Factors affecting the financial performance of listed companies at the Nairobi </w:t>
      </w:r>
      <w:r w:rsidR="00A90D8C" w:rsidRPr="00A90D8C">
        <w:rPr>
          <w:rFonts w:cs="Times New Roman"/>
          <w:noProof/>
          <w:szCs w:val="24"/>
        </w:rPr>
        <w:t>Securities Exchange</w:t>
      </w:r>
      <w:r w:rsidR="00EE764E" w:rsidRPr="00F021FB">
        <w:rPr>
          <w:rFonts w:cs="Times New Roman"/>
          <w:noProof/>
          <w:szCs w:val="24"/>
        </w:rPr>
        <w:t xml:space="preserve"> </w:t>
      </w:r>
      <w:r w:rsidRPr="00F021FB">
        <w:rPr>
          <w:rFonts w:cs="Times New Roman"/>
          <w:noProof/>
          <w:szCs w:val="24"/>
        </w:rPr>
        <w:t xml:space="preserve">in Kenya. </w:t>
      </w:r>
      <w:r w:rsidRPr="00F021FB">
        <w:rPr>
          <w:rFonts w:cs="Times New Roman"/>
          <w:i/>
          <w:iCs/>
          <w:noProof/>
          <w:szCs w:val="24"/>
        </w:rPr>
        <w:t>Research Journal of Finance and Accounting</w:t>
      </w:r>
      <w:r w:rsidRPr="00F021FB">
        <w:rPr>
          <w:rFonts w:cs="Times New Roman"/>
          <w:noProof/>
          <w:szCs w:val="24"/>
        </w:rPr>
        <w:t xml:space="preserve">, </w:t>
      </w:r>
      <w:r w:rsidRPr="00F021FB">
        <w:rPr>
          <w:rFonts w:cs="Times New Roman"/>
          <w:i/>
          <w:iCs/>
          <w:noProof/>
          <w:szCs w:val="24"/>
        </w:rPr>
        <w:t>4</w:t>
      </w:r>
      <w:r w:rsidRPr="00F021FB">
        <w:rPr>
          <w:rFonts w:cs="Times New Roman"/>
          <w:noProof/>
          <w:szCs w:val="24"/>
        </w:rPr>
        <w:t>(15).</w:t>
      </w:r>
    </w:p>
    <w:p w14:paraId="13310795" w14:textId="4DB10529"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Ongore, Vincent O., &amp; K’Obonyo, P. O. (2011). Effects of </w:t>
      </w:r>
      <w:r w:rsidR="0062310E" w:rsidRPr="00F021FB">
        <w:rPr>
          <w:rFonts w:cs="Times New Roman"/>
          <w:noProof/>
          <w:szCs w:val="24"/>
        </w:rPr>
        <w:t xml:space="preserve">selected corporate governance characteristics on firm performance : empirical evidence from </w:t>
      </w:r>
      <w:r w:rsidR="00EE764E" w:rsidRPr="00F021FB">
        <w:rPr>
          <w:rFonts w:cs="Times New Roman"/>
          <w:noProof/>
          <w:szCs w:val="24"/>
        </w:rPr>
        <w:t>Kenya</w:t>
      </w:r>
      <w:r w:rsidR="0062310E" w:rsidRPr="00F021FB">
        <w:rPr>
          <w:rFonts w:cs="Times New Roman"/>
          <w:noProof/>
          <w:szCs w:val="24"/>
        </w:rPr>
        <w:t>.</w:t>
      </w:r>
      <w:r w:rsidRPr="00F021FB">
        <w:rPr>
          <w:rFonts w:cs="Times New Roman"/>
          <w:noProof/>
          <w:szCs w:val="24"/>
        </w:rPr>
        <w:t xml:space="preserve"> </w:t>
      </w:r>
      <w:r w:rsidRPr="00F021FB">
        <w:rPr>
          <w:rFonts w:cs="Times New Roman"/>
          <w:i/>
          <w:iCs/>
          <w:noProof/>
          <w:szCs w:val="24"/>
        </w:rPr>
        <w:t xml:space="preserve">International </w:t>
      </w:r>
      <w:r w:rsidRPr="00F021FB">
        <w:rPr>
          <w:rFonts w:cs="Times New Roman"/>
          <w:i/>
          <w:iCs/>
          <w:noProof/>
          <w:szCs w:val="24"/>
        </w:rPr>
        <w:lastRenderedPageBreak/>
        <w:t>Journal of Economics and Financial Issues</w:t>
      </w:r>
      <w:r w:rsidRPr="00F021FB">
        <w:rPr>
          <w:rFonts w:cs="Times New Roman"/>
          <w:noProof/>
          <w:szCs w:val="24"/>
        </w:rPr>
        <w:t xml:space="preserve">, </w:t>
      </w:r>
      <w:r w:rsidRPr="00F021FB">
        <w:rPr>
          <w:rFonts w:cs="Times New Roman"/>
          <w:i/>
          <w:iCs/>
          <w:noProof/>
          <w:szCs w:val="24"/>
        </w:rPr>
        <w:t>1</w:t>
      </w:r>
      <w:r w:rsidRPr="00F021FB">
        <w:rPr>
          <w:rFonts w:cs="Times New Roman"/>
          <w:noProof/>
          <w:szCs w:val="24"/>
        </w:rPr>
        <w:t>(3), 99–122.</w:t>
      </w:r>
    </w:p>
    <w:p w14:paraId="5AFC8E55"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Ongore, Vincent Okoth;, &amp; Kusa, G. B. (2013). Determinants of financial performance of commercial banks in Kenya. </w:t>
      </w:r>
      <w:r w:rsidRPr="00F021FB">
        <w:rPr>
          <w:rFonts w:cs="Times New Roman"/>
          <w:i/>
          <w:iCs/>
          <w:noProof/>
          <w:szCs w:val="24"/>
        </w:rPr>
        <w:t>International Journal of Economics and Financial</w:t>
      </w:r>
      <w:r w:rsidRPr="00F021FB">
        <w:rPr>
          <w:rFonts w:cs="Times New Roman"/>
          <w:noProof/>
          <w:szCs w:val="24"/>
        </w:rPr>
        <w:t xml:space="preserve">, </w:t>
      </w:r>
      <w:r w:rsidRPr="00F021FB">
        <w:rPr>
          <w:rFonts w:cs="Times New Roman"/>
          <w:i/>
          <w:iCs/>
          <w:noProof/>
          <w:szCs w:val="24"/>
        </w:rPr>
        <w:t>3</w:t>
      </w:r>
      <w:r w:rsidRPr="00F021FB">
        <w:rPr>
          <w:rFonts w:cs="Times New Roman"/>
          <w:noProof/>
          <w:szCs w:val="24"/>
        </w:rPr>
        <w:t>(1), 237–252. https://doi.org/10.15520/jbme.2015.vol3.iss11.158.pp33-40</w:t>
      </w:r>
    </w:p>
    <w:p w14:paraId="25ED3D5B" w14:textId="2E7B821E"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Paillé, P., Chen, Y., Boiral, O., &amp; Jin, J. (2014). The </w:t>
      </w:r>
      <w:r w:rsidR="0062310E" w:rsidRPr="00F021FB">
        <w:rPr>
          <w:rFonts w:cs="Times New Roman"/>
          <w:noProof/>
          <w:szCs w:val="24"/>
        </w:rPr>
        <w:t xml:space="preserve">impact of human resource management on environmental performance: an employee-level study. </w:t>
      </w:r>
      <w:r w:rsidRPr="00F021FB">
        <w:rPr>
          <w:rFonts w:cs="Times New Roman"/>
          <w:i/>
          <w:iCs/>
          <w:noProof/>
          <w:szCs w:val="24"/>
        </w:rPr>
        <w:t>Journal of Business Ethics</w:t>
      </w:r>
      <w:r w:rsidRPr="00F021FB">
        <w:rPr>
          <w:rFonts w:cs="Times New Roman"/>
          <w:noProof/>
          <w:szCs w:val="24"/>
        </w:rPr>
        <w:t xml:space="preserve">, </w:t>
      </w:r>
      <w:r w:rsidRPr="00F021FB">
        <w:rPr>
          <w:rFonts w:cs="Times New Roman"/>
          <w:i/>
          <w:iCs/>
          <w:noProof/>
          <w:szCs w:val="24"/>
        </w:rPr>
        <w:t>121</w:t>
      </w:r>
      <w:r w:rsidRPr="00F021FB">
        <w:rPr>
          <w:rFonts w:cs="Times New Roman"/>
          <w:noProof/>
          <w:szCs w:val="24"/>
        </w:rPr>
        <w:t>(3), 451–466. https://doi.org/10.1007/s10551-013-1732-0</w:t>
      </w:r>
    </w:p>
    <w:p w14:paraId="195783CF" w14:textId="2F4027A9"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Park, T. Y., &amp; Shaw, J. D. (2013). Turnover rates and organizational performance: </w:t>
      </w:r>
      <w:r w:rsidR="00EE764E" w:rsidRPr="00F021FB">
        <w:rPr>
          <w:rFonts w:cs="Times New Roman"/>
          <w:noProof/>
          <w:szCs w:val="24"/>
        </w:rPr>
        <w:t xml:space="preserve">a </w:t>
      </w:r>
      <w:r w:rsidRPr="00F021FB">
        <w:rPr>
          <w:rFonts w:cs="Times New Roman"/>
          <w:noProof/>
          <w:szCs w:val="24"/>
        </w:rPr>
        <w:t xml:space="preserve">meta-analysis. </w:t>
      </w:r>
      <w:r w:rsidRPr="00F021FB">
        <w:rPr>
          <w:rFonts w:cs="Times New Roman"/>
          <w:i/>
          <w:iCs/>
          <w:noProof/>
          <w:szCs w:val="24"/>
        </w:rPr>
        <w:t>Journal of Applied Psychology</w:t>
      </w:r>
      <w:r w:rsidRPr="00F021FB">
        <w:rPr>
          <w:rFonts w:cs="Times New Roman"/>
          <w:noProof/>
          <w:szCs w:val="24"/>
        </w:rPr>
        <w:t xml:space="preserve">, </w:t>
      </w:r>
      <w:r w:rsidRPr="00F021FB">
        <w:rPr>
          <w:rFonts w:cs="Times New Roman"/>
          <w:i/>
          <w:iCs/>
          <w:noProof/>
          <w:szCs w:val="24"/>
        </w:rPr>
        <w:t>98</w:t>
      </w:r>
      <w:r w:rsidRPr="00F021FB">
        <w:rPr>
          <w:rFonts w:cs="Times New Roman"/>
          <w:noProof/>
          <w:szCs w:val="24"/>
        </w:rPr>
        <w:t>(2), 268–309. https://doi.org/10.1037/a0030723</w:t>
      </w:r>
    </w:p>
    <w:p w14:paraId="4D685512" w14:textId="145BC44E"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Pepper, A., &amp; Gore, J. (2015). Behavioral </w:t>
      </w:r>
      <w:r w:rsidR="00420DAF" w:rsidRPr="00F021FB">
        <w:rPr>
          <w:rFonts w:cs="Times New Roman"/>
          <w:noProof/>
          <w:szCs w:val="24"/>
        </w:rPr>
        <w:t>agency theory: new foundations for theorizing about executive compensation.</w:t>
      </w:r>
      <w:r w:rsidRPr="00F021FB">
        <w:rPr>
          <w:rFonts w:cs="Times New Roman"/>
          <w:noProof/>
          <w:szCs w:val="24"/>
        </w:rPr>
        <w:t xml:space="preserve"> </w:t>
      </w:r>
      <w:r w:rsidRPr="00F021FB">
        <w:rPr>
          <w:rFonts w:cs="Times New Roman"/>
          <w:i/>
          <w:iCs/>
          <w:noProof/>
          <w:szCs w:val="24"/>
        </w:rPr>
        <w:t>Journal of Management</w:t>
      </w:r>
      <w:r w:rsidRPr="00F021FB">
        <w:rPr>
          <w:rFonts w:cs="Times New Roman"/>
          <w:noProof/>
          <w:szCs w:val="24"/>
        </w:rPr>
        <w:t xml:space="preserve">, </w:t>
      </w:r>
      <w:r w:rsidRPr="00F021FB">
        <w:rPr>
          <w:rFonts w:cs="Times New Roman"/>
          <w:i/>
          <w:iCs/>
          <w:noProof/>
          <w:szCs w:val="24"/>
        </w:rPr>
        <w:t>41</w:t>
      </w:r>
      <w:r w:rsidRPr="00F021FB">
        <w:rPr>
          <w:rFonts w:cs="Times New Roman"/>
          <w:noProof/>
          <w:szCs w:val="24"/>
        </w:rPr>
        <w:t>(4), 1045–1068. https://doi.org/10.1177/0149206312461054</w:t>
      </w:r>
    </w:p>
    <w:p w14:paraId="36946835" w14:textId="6E06D712"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Prihastomo, E</w:t>
      </w:r>
      <w:r w:rsidR="006E2A76">
        <w:rPr>
          <w:rFonts w:cs="Times New Roman"/>
          <w:noProof/>
          <w:szCs w:val="24"/>
        </w:rPr>
        <w:t>. D., &amp; Khafid, M. (2018). The e</w:t>
      </w:r>
      <w:r w:rsidRPr="00F021FB">
        <w:rPr>
          <w:rFonts w:cs="Times New Roman"/>
          <w:noProof/>
          <w:szCs w:val="24"/>
        </w:rPr>
        <w:t xml:space="preserve">ffect </w:t>
      </w:r>
      <w:r w:rsidR="00420DAF" w:rsidRPr="00F021FB">
        <w:rPr>
          <w:rFonts w:cs="Times New Roman"/>
          <w:noProof/>
          <w:szCs w:val="24"/>
        </w:rPr>
        <w:t xml:space="preserve">of bonus compensation and leverage on earnings management with financial performance as intervening variable. </w:t>
      </w:r>
      <w:r w:rsidRPr="00F021FB">
        <w:rPr>
          <w:rFonts w:cs="Times New Roman"/>
          <w:i/>
          <w:iCs/>
          <w:noProof/>
          <w:szCs w:val="24"/>
        </w:rPr>
        <w:t>Accounting Analysis Journal</w:t>
      </w:r>
      <w:r w:rsidRPr="00F021FB">
        <w:rPr>
          <w:rFonts w:cs="Times New Roman"/>
          <w:noProof/>
          <w:szCs w:val="24"/>
        </w:rPr>
        <w:t xml:space="preserve">, </w:t>
      </w:r>
      <w:r w:rsidRPr="00F021FB">
        <w:rPr>
          <w:rFonts w:cs="Times New Roman"/>
          <w:i/>
          <w:iCs/>
          <w:noProof/>
          <w:szCs w:val="24"/>
        </w:rPr>
        <w:t>7</w:t>
      </w:r>
      <w:r w:rsidRPr="00F021FB">
        <w:rPr>
          <w:rFonts w:cs="Times New Roman"/>
          <w:noProof/>
          <w:szCs w:val="24"/>
        </w:rPr>
        <w:t>(1), 52–60. https://doi.org/10.15294/aaj.v7i1.18490</w:t>
      </w:r>
    </w:p>
    <w:p w14:paraId="766E9CD5" w14:textId="6F48FEFC"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Prouska, R., Psychogios, A. G., &amp; Rexhepi, Y. (2016). Rewarding employees in turbulent economies for improved organisational performance: </w:t>
      </w:r>
      <w:r w:rsidR="00467D20" w:rsidRPr="00F021FB">
        <w:rPr>
          <w:rFonts w:cs="Times New Roman"/>
          <w:noProof/>
          <w:szCs w:val="24"/>
        </w:rPr>
        <w:t>exploring</w:t>
      </w:r>
      <w:r w:rsidRPr="00F021FB">
        <w:rPr>
          <w:rFonts w:cs="Times New Roman"/>
          <w:noProof/>
          <w:szCs w:val="24"/>
        </w:rPr>
        <w:t xml:space="preserve"> SMEs in the South-Eastern European region. </w:t>
      </w:r>
      <w:r w:rsidRPr="00F021FB">
        <w:rPr>
          <w:rFonts w:cs="Times New Roman"/>
          <w:i/>
          <w:iCs/>
          <w:noProof/>
          <w:szCs w:val="24"/>
        </w:rPr>
        <w:t>Personnel Review</w:t>
      </w:r>
      <w:r w:rsidRPr="00F021FB">
        <w:rPr>
          <w:rFonts w:cs="Times New Roman"/>
          <w:noProof/>
          <w:szCs w:val="24"/>
        </w:rPr>
        <w:t xml:space="preserve">, </w:t>
      </w:r>
      <w:r w:rsidRPr="00F021FB">
        <w:rPr>
          <w:rFonts w:cs="Times New Roman"/>
          <w:i/>
          <w:iCs/>
          <w:noProof/>
          <w:szCs w:val="24"/>
        </w:rPr>
        <w:t>45</w:t>
      </w:r>
      <w:r w:rsidRPr="00F021FB">
        <w:rPr>
          <w:rFonts w:cs="Times New Roman"/>
          <w:noProof/>
          <w:szCs w:val="24"/>
        </w:rPr>
        <w:t>(6), 1259–1280. https://doi.org/10.1108/PR-02-2015-0024</w:t>
      </w:r>
    </w:p>
    <w:p w14:paraId="0C838095"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lastRenderedPageBreak/>
        <w:t xml:space="preserve">Quresh, T. M., Akbar, A., Khan, M. A., Sheikh, R. A., &amp; Hijazi, S. T. (2010). Do human resource management practices have an impact on financial performance of banks? </w:t>
      </w:r>
      <w:r w:rsidRPr="00F021FB">
        <w:rPr>
          <w:rFonts w:cs="Times New Roman"/>
          <w:i/>
          <w:iCs/>
          <w:noProof/>
          <w:szCs w:val="24"/>
        </w:rPr>
        <w:t>African Journal of Business Management</w:t>
      </w:r>
      <w:r w:rsidRPr="00F021FB">
        <w:rPr>
          <w:rFonts w:cs="Times New Roman"/>
          <w:noProof/>
          <w:szCs w:val="24"/>
        </w:rPr>
        <w:t xml:space="preserve">, </w:t>
      </w:r>
      <w:r w:rsidRPr="00F021FB">
        <w:rPr>
          <w:rFonts w:cs="Times New Roman"/>
          <w:i/>
          <w:iCs/>
          <w:noProof/>
          <w:szCs w:val="24"/>
        </w:rPr>
        <w:t>4</w:t>
      </w:r>
      <w:r w:rsidRPr="00F021FB">
        <w:rPr>
          <w:rFonts w:cs="Times New Roman"/>
          <w:noProof/>
          <w:szCs w:val="24"/>
        </w:rPr>
        <w:t>(7), 1281–1288.</w:t>
      </w:r>
    </w:p>
    <w:p w14:paraId="2BE88881"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Rambo, C. M. (2013). Influence of the capital markets authority’s corporate governance guidelines on financial performance of commercial banks in Kenya. </w:t>
      </w:r>
      <w:r w:rsidRPr="00F021FB">
        <w:rPr>
          <w:rFonts w:cs="Times New Roman"/>
          <w:i/>
          <w:iCs/>
          <w:noProof/>
          <w:szCs w:val="24"/>
        </w:rPr>
        <w:t>The International Journal of Business and Finance Research</w:t>
      </w:r>
      <w:r w:rsidRPr="00F021FB">
        <w:rPr>
          <w:rFonts w:cs="Times New Roman"/>
          <w:noProof/>
          <w:szCs w:val="24"/>
        </w:rPr>
        <w:t xml:space="preserve">, </w:t>
      </w:r>
      <w:r w:rsidRPr="00F021FB">
        <w:rPr>
          <w:rFonts w:cs="Times New Roman"/>
          <w:i/>
          <w:iCs/>
          <w:noProof/>
          <w:szCs w:val="24"/>
        </w:rPr>
        <w:t>7</w:t>
      </w:r>
      <w:r w:rsidRPr="00F021FB">
        <w:rPr>
          <w:rFonts w:cs="Times New Roman"/>
          <w:noProof/>
          <w:szCs w:val="24"/>
        </w:rPr>
        <w:t>(3), 77–93.</w:t>
      </w:r>
    </w:p>
    <w:p w14:paraId="12C9956E"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Rauch, A., &amp; Hatak, I. (2016). A meta-analysis of different HR-enhancing practices and performance of small and medium sized firms. </w:t>
      </w:r>
      <w:r w:rsidRPr="00F021FB">
        <w:rPr>
          <w:rFonts w:cs="Times New Roman"/>
          <w:i/>
          <w:iCs/>
          <w:noProof/>
          <w:szCs w:val="24"/>
        </w:rPr>
        <w:t>Journal of Business Venturing</w:t>
      </w:r>
      <w:r w:rsidRPr="00F021FB">
        <w:rPr>
          <w:rFonts w:cs="Times New Roman"/>
          <w:noProof/>
          <w:szCs w:val="24"/>
        </w:rPr>
        <w:t xml:space="preserve">, </w:t>
      </w:r>
      <w:r w:rsidRPr="00F021FB">
        <w:rPr>
          <w:rFonts w:cs="Times New Roman"/>
          <w:i/>
          <w:iCs/>
          <w:noProof/>
          <w:szCs w:val="24"/>
        </w:rPr>
        <w:t>31</w:t>
      </w:r>
      <w:r w:rsidRPr="00F021FB">
        <w:rPr>
          <w:rFonts w:cs="Times New Roman"/>
          <w:noProof/>
          <w:szCs w:val="24"/>
        </w:rPr>
        <w:t>(5), 485–504. https://doi.org/10.1016/j.jbusvent.2016.05.005</w:t>
      </w:r>
    </w:p>
    <w:p w14:paraId="5A766B42"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Rothenberg, S., Hull, C. E., &amp; Tang, Z. (2017). The impact of human resource management on corporate social performance strengths and concerns. </w:t>
      </w:r>
      <w:r w:rsidRPr="00F021FB">
        <w:rPr>
          <w:rFonts w:cs="Times New Roman"/>
          <w:i/>
          <w:iCs/>
          <w:noProof/>
          <w:szCs w:val="24"/>
        </w:rPr>
        <w:t>Business &amp; Society</w:t>
      </w:r>
      <w:r w:rsidRPr="00F021FB">
        <w:rPr>
          <w:rFonts w:cs="Times New Roman"/>
          <w:noProof/>
          <w:szCs w:val="24"/>
        </w:rPr>
        <w:t xml:space="preserve">, </w:t>
      </w:r>
      <w:r w:rsidRPr="00F021FB">
        <w:rPr>
          <w:rFonts w:cs="Times New Roman"/>
          <w:i/>
          <w:iCs/>
          <w:noProof/>
          <w:szCs w:val="24"/>
        </w:rPr>
        <w:t>56</w:t>
      </w:r>
      <w:r w:rsidRPr="00F021FB">
        <w:rPr>
          <w:rFonts w:cs="Times New Roman"/>
          <w:noProof/>
          <w:szCs w:val="24"/>
        </w:rPr>
        <w:t>(3), 391–418.</w:t>
      </w:r>
    </w:p>
    <w:p w14:paraId="0BFDBC10" w14:textId="47B5E6B6"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Saeidi, S. P., Sofian, S., Saeidi, P., Saeidi, S. P., &amp; Saaeidi, S. A. (2015). How does corporate social responsibility contribute to firm financial performance? </w:t>
      </w:r>
      <w:r w:rsidR="00467D20" w:rsidRPr="00F021FB">
        <w:rPr>
          <w:rFonts w:cs="Times New Roman"/>
          <w:noProof/>
          <w:szCs w:val="24"/>
        </w:rPr>
        <w:t>th</w:t>
      </w:r>
      <w:r w:rsidRPr="00F021FB">
        <w:rPr>
          <w:rFonts w:cs="Times New Roman"/>
          <w:noProof/>
          <w:szCs w:val="24"/>
        </w:rPr>
        <w:t xml:space="preserve">e mediating role of competitive advantage, reputation, and customer satisfaction. </w:t>
      </w:r>
      <w:r w:rsidRPr="00F021FB">
        <w:rPr>
          <w:rFonts w:cs="Times New Roman"/>
          <w:i/>
          <w:iCs/>
          <w:noProof/>
          <w:szCs w:val="24"/>
        </w:rPr>
        <w:t>Journal of Business Research</w:t>
      </w:r>
      <w:r w:rsidRPr="00F021FB">
        <w:rPr>
          <w:rFonts w:cs="Times New Roman"/>
          <w:noProof/>
          <w:szCs w:val="24"/>
        </w:rPr>
        <w:t xml:space="preserve">, </w:t>
      </w:r>
      <w:r w:rsidRPr="00F021FB">
        <w:rPr>
          <w:rFonts w:cs="Times New Roman"/>
          <w:i/>
          <w:iCs/>
          <w:noProof/>
          <w:szCs w:val="24"/>
        </w:rPr>
        <w:t>68</w:t>
      </w:r>
      <w:r w:rsidRPr="00F021FB">
        <w:rPr>
          <w:rFonts w:cs="Times New Roman"/>
          <w:noProof/>
          <w:szCs w:val="24"/>
        </w:rPr>
        <w:t>(2), 341–350. https://doi.org/10.1016/j.jbusres.2014.06.024</w:t>
      </w:r>
    </w:p>
    <w:p w14:paraId="202479AC" w14:textId="20A7FA0C" w:rsidR="00F021FB" w:rsidRPr="00F021FB" w:rsidRDefault="00467D20" w:rsidP="00F021FB">
      <w:pPr>
        <w:widowControl w:val="0"/>
        <w:autoSpaceDE w:val="0"/>
        <w:autoSpaceDN w:val="0"/>
        <w:adjustRightInd w:val="0"/>
        <w:spacing w:before="240" w:after="0"/>
        <w:ind w:left="480" w:hanging="480"/>
        <w:rPr>
          <w:rFonts w:cs="Times New Roman"/>
          <w:noProof/>
          <w:szCs w:val="24"/>
        </w:rPr>
      </w:pPr>
      <w:r>
        <w:rPr>
          <w:rFonts w:cs="Times New Roman"/>
          <w:noProof/>
          <w:szCs w:val="24"/>
        </w:rPr>
        <w:t>Sajuyigbe, A. S., Olaoye, B</w:t>
      </w:r>
      <w:r w:rsidR="00F021FB" w:rsidRPr="00F021FB">
        <w:rPr>
          <w:rFonts w:cs="Times New Roman"/>
          <w:noProof/>
          <w:szCs w:val="24"/>
        </w:rPr>
        <w:t xml:space="preserve">., &amp; Adeyemi, M. . (2013). Innovations in size coming on strong. </w:t>
      </w:r>
      <w:r w:rsidR="00F021FB" w:rsidRPr="00F021FB">
        <w:rPr>
          <w:rFonts w:cs="Times New Roman"/>
          <w:i/>
          <w:iCs/>
          <w:noProof/>
          <w:szCs w:val="24"/>
        </w:rPr>
        <w:t>International Journal of Arts and Commerce</w:t>
      </w:r>
      <w:r w:rsidR="00F021FB" w:rsidRPr="00F021FB">
        <w:rPr>
          <w:rFonts w:cs="Times New Roman"/>
          <w:noProof/>
          <w:szCs w:val="24"/>
        </w:rPr>
        <w:t xml:space="preserve">, </w:t>
      </w:r>
      <w:r w:rsidR="00F021FB" w:rsidRPr="00F021FB">
        <w:rPr>
          <w:rFonts w:cs="Times New Roman"/>
          <w:i/>
          <w:iCs/>
          <w:noProof/>
          <w:szCs w:val="24"/>
        </w:rPr>
        <w:t>2</w:t>
      </w:r>
      <w:r w:rsidR="00F021FB" w:rsidRPr="00F021FB">
        <w:rPr>
          <w:rFonts w:cs="Times New Roman"/>
          <w:noProof/>
          <w:szCs w:val="24"/>
        </w:rPr>
        <w:t>(2).</w:t>
      </w:r>
    </w:p>
    <w:p w14:paraId="325C7661"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Sandhya, K., &amp; Kumar, P. D. (2011). Employee retention by motivation. </w:t>
      </w:r>
      <w:r w:rsidRPr="00F021FB">
        <w:rPr>
          <w:rFonts w:cs="Times New Roman"/>
          <w:i/>
          <w:iCs/>
          <w:noProof/>
          <w:szCs w:val="24"/>
        </w:rPr>
        <w:t>Indian Journal of Science and Technology</w:t>
      </w:r>
      <w:r w:rsidRPr="00F021FB">
        <w:rPr>
          <w:rFonts w:cs="Times New Roman"/>
          <w:noProof/>
          <w:szCs w:val="24"/>
        </w:rPr>
        <w:t xml:space="preserve">, </w:t>
      </w:r>
      <w:r w:rsidRPr="00F021FB">
        <w:rPr>
          <w:rFonts w:cs="Times New Roman"/>
          <w:i/>
          <w:iCs/>
          <w:noProof/>
          <w:szCs w:val="24"/>
        </w:rPr>
        <w:t>4</w:t>
      </w:r>
      <w:r w:rsidRPr="00F021FB">
        <w:rPr>
          <w:rFonts w:cs="Times New Roman"/>
          <w:noProof/>
          <w:szCs w:val="24"/>
        </w:rPr>
        <w:t xml:space="preserve">(12), 1778–1782. </w:t>
      </w:r>
      <w:r w:rsidRPr="00F021FB">
        <w:rPr>
          <w:rFonts w:cs="Times New Roman"/>
          <w:noProof/>
          <w:szCs w:val="24"/>
        </w:rPr>
        <w:lastRenderedPageBreak/>
        <w:t>https://doi.org/10.17485/ijst/2011/v4i12/30326</w:t>
      </w:r>
    </w:p>
    <w:p w14:paraId="2036383D" w14:textId="477D8559"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Saridakis, G., Lai, Y., &amp; Cooper, C. L. (2017). Exploring the relationship between HRM and firm performance: </w:t>
      </w:r>
      <w:r w:rsidR="00467D20" w:rsidRPr="00F021FB">
        <w:rPr>
          <w:rFonts w:cs="Times New Roman"/>
          <w:noProof/>
          <w:szCs w:val="24"/>
        </w:rPr>
        <w:t xml:space="preserve">a </w:t>
      </w:r>
      <w:r w:rsidRPr="00F021FB">
        <w:rPr>
          <w:rFonts w:cs="Times New Roman"/>
          <w:noProof/>
          <w:szCs w:val="24"/>
        </w:rPr>
        <w:t xml:space="preserve">meta-analysis of longitudinal studies. </w:t>
      </w:r>
      <w:r w:rsidRPr="00F021FB">
        <w:rPr>
          <w:rFonts w:cs="Times New Roman"/>
          <w:i/>
          <w:iCs/>
          <w:noProof/>
          <w:szCs w:val="24"/>
        </w:rPr>
        <w:t>Human Resource Management Review</w:t>
      </w:r>
      <w:r w:rsidRPr="00F021FB">
        <w:rPr>
          <w:rFonts w:cs="Times New Roman"/>
          <w:noProof/>
          <w:szCs w:val="24"/>
        </w:rPr>
        <w:t xml:space="preserve">, </w:t>
      </w:r>
      <w:r w:rsidRPr="00F021FB">
        <w:rPr>
          <w:rFonts w:cs="Times New Roman"/>
          <w:i/>
          <w:iCs/>
          <w:noProof/>
          <w:szCs w:val="24"/>
        </w:rPr>
        <w:t>27</w:t>
      </w:r>
      <w:r w:rsidRPr="00F021FB">
        <w:rPr>
          <w:rFonts w:cs="Times New Roman"/>
          <w:noProof/>
          <w:szCs w:val="24"/>
        </w:rPr>
        <w:t>(1), 87–96. https://doi.org/10.1016/j.hrmr.2016.09.005</w:t>
      </w:r>
    </w:p>
    <w:p w14:paraId="5B183D32"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Schiemann, F., &amp; Guenther, T. (2013). Earnings predictability, value relevance, and employee expenses. </w:t>
      </w:r>
      <w:r w:rsidRPr="00F021FB">
        <w:rPr>
          <w:rFonts w:cs="Times New Roman"/>
          <w:i/>
          <w:iCs/>
          <w:noProof/>
          <w:szCs w:val="24"/>
        </w:rPr>
        <w:t>International Journal of Accounting</w:t>
      </w:r>
      <w:r w:rsidRPr="00F021FB">
        <w:rPr>
          <w:rFonts w:cs="Times New Roman"/>
          <w:noProof/>
          <w:szCs w:val="24"/>
        </w:rPr>
        <w:t xml:space="preserve">, </w:t>
      </w:r>
      <w:r w:rsidRPr="00F021FB">
        <w:rPr>
          <w:rFonts w:cs="Times New Roman"/>
          <w:i/>
          <w:iCs/>
          <w:noProof/>
          <w:szCs w:val="24"/>
        </w:rPr>
        <w:t>48</w:t>
      </w:r>
      <w:r w:rsidRPr="00F021FB">
        <w:rPr>
          <w:rFonts w:cs="Times New Roman"/>
          <w:noProof/>
          <w:szCs w:val="24"/>
        </w:rPr>
        <w:t>(2), 149–172. https://doi.org/10.1016/j.intacc.2013.04.001</w:t>
      </w:r>
    </w:p>
    <w:p w14:paraId="4BF09A7A" w14:textId="5FB4584D"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Schlechter, A., Thompson, N. C., &amp; Bussin, M. (2015). Attractiveness of non-financial rewards for prospective knowledge workers </w:t>
      </w:r>
      <w:r w:rsidR="00467D20" w:rsidRPr="00467D20">
        <w:rPr>
          <w:rFonts w:cs="Times New Roman"/>
          <w:noProof/>
          <w:szCs w:val="24"/>
        </w:rPr>
        <w:t>an</w:t>
      </w:r>
      <w:r w:rsidRPr="00F021FB">
        <w:rPr>
          <w:rFonts w:cs="Times New Roman"/>
          <w:noProof/>
          <w:szCs w:val="24"/>
        </w:rPr>
        <w:t xml:space="preserve"> experimental investigation. </w:t>
      </w:r>
      <w:r w:rsidRPr="00F021FB">
        <w:rPr>
          <w:rFonts w:cs="Times New Roman"/>
          <w:i/>
          <w:iCs/>
          <w:noProof/>
          <w:szCs w:val="24"/>
        </w:rPr>
        <w:t>Benchmarking: An International Journal</w:t>
      </w:r>
      <w:r w:rsidRPr="00F021FB">
        <w:rPr>
          <w:rFonts w:cs="Times New Roman"/>
          <w:noProof/>
          <w:szCs w:val="24"/>
        </w:rPr>
        <w:t xml:space="preserve">, </w:t>
      </w:r>
      <w:r w:rsidRPr="00F021FB">
        <w:rPr>
          <w:rFonts w:cs="Times New Roman"/>
          <w:i/>
          <w:iCs/>
          <w:noProof/>
          <w:szCs w:val="24"/>
        </w:rPr>
        <w:t>37</w:t>
      </w:r>
      <w:r w:rsidRPr="00F021FB">
        <w:rPr>
          <w:rFonts w:cs="Times New Roman"/>
          <w:noProof/>
          <w:szCs w:val="24"/>
        </w:rPr>
        <w:t>(3), 274–295. https://doi.org/http://dx.doi.org/10.1108/MRR-09-2015-0216</w:t>
      </w:r>
    </w:p>
    <w:p w14:paraId="68632910" w14:textId="6287ABCB"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Scholtz, H. E., &amp; Smit, A. (2012). Executive remuneration and company performance for South African companies listed on the </w:t>
      </w:r>
      <w:r w:rsidR="00A00079" w:rsidRPr="00F021FB">
        <w:rPr>
          <w:rFonts w:cs="Times New Roman"/>
          <w:noProof/>
          <w:szCs w:val="24"/>
        </w:rPr>
        <w:t>alternative exchange</w:t>
      </w:r>
      <w:r w:rsidRPr="00F021FB">
        <w:rPr>
          <w:rFonts w:cs="Times New Roman"/>
          <w:noProof/>
          <w:szCs w:val="24"/>
        </w:rPr>
        <w:t xml:space="preserve"> (AltX). </w:t>
      </w:r>
      <w:r w:rsidRPr="00F021FB">
        <w:rPr>
          <w:rFonts w:cs="Times New Roman"/>
          <w:i/>
          <w:iCs/>
          <w:noProof/>
          <w:szCs w:val="24"/>
        </w:rPr>
        <w:t>Southern African Business Review</w:t>
      </w:r>
      <w:r w:rsidRPr="00F021FB">
        <w:rPr>
          <w:rFonts w:cs="Times New Roman"/>
          <w:noProof/>
          <w:szCs w:val="24"/>
        </w:rPr>
        <w:t xml:space="preserve">, </w:t>
      </w:r>
      <w:r w:rsidRPr="00F021FB">
        <w:rPr>
          <w:rFonts w:cs="Times New Roman"/>
          <w:i/>
          <w:iCs/>
          <w:noProof/>
          <w:szCs w:val="24"/>
        </w:rPr>
        <w:t>16</w:t>
      </w:r>
      <w:r w:rsidRPr="00F021FB">
        <w:rPr>
          <w:rFonts w:cs="Times New Roman"/>
          <w:noProof/>
          <w:szCs w:val="24"/>
        </w:rPr>
        <w:t>(1), 22–38.</w:t>
      </w:r>
    </w:p>
    <w:p w14:paraId="3F2B367C" w14:textId="69D9F1B5"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Shields, J., Brown, M., Kaine, S., &amp; Dolle-Samuel, C. (2015). </w:t>
      </w:r>
      <w:r w:rsidRPr="00F021FB">
        <w:rPr>
          <w:rFonts w:cs="Times New Roman"/>
          <w:i/>
          <w:iCs/>
          <w:noProof/>
          <w:szCs w:val="24"/>
        </w:rPr>
        <w:t>Managing employee performance ; reward: Concepts, practices, strategies</w:t>
      </w:r>
      <w:r w:rsidRPr="00F021FB">
        <w:rPr>
          <w:rFonts w:cs="Times New Roman"/>
          <w:noProof/>
          <w:szCs w:val="24"/>
        </w:rPr>
        <w:t xml:space="preserve">. </w:t>
      </w:r>
    </w:p>
    <w:p w14:paraId="77D60D8F" w14:textId="604AF860"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Shin, D., &amp; Konrad, A. M. (2017). Causality</w:t>
      </w:r>
      <w:r w:rsidR="00420DAF" w:rsidRPr="00F021FB">
        <w:rPr>
          <w:rFonts w:cs="Times New Roman"/>
          <w:noProof/>
          <w:szCs w:val="24"/>
        </w:rPr>
        <w:t xml:space="preserve"> between high-performance work systems and organizational performance.</w:t>
      </w:r>
      <w:r w:rsidRPr="00F021FB">
        <w:rPr>
          <w:rFonts w:cs="Times New Roman"/>
          <w:noProof/>
          <w:szCs w:val="24"/>
        </w:rPr>
        <w:t xml:space="preserve"> </w:t>
      </w:r>
      <w:r w:rsidRPr="00F021FB">
        <w:rPr>
          <w:rFonts w:cs="Times New Roman"/>
          <w:i/>
          <w:iCs/>
          <w:noProof/>
          <w:szCs w:val="24"/>
        </w:rPr>
        <w:t>Journal of Management</w:t>
      </w:r>
      <w:r w:rsidRPr="00F021FB">
        <w:rPr>
          <w:rFonts w:cs="Times New Roman"/>
          <w:noProof/>
          <w:szCs w:val="24"/>
        </w:rPr>
        <w:t xml:space="preserve">, </w:t>
      </w:r>
      <w:r w:rsidRPr="00F021FB">
        <w:rPr>
          <w:rFonts w:cs="Times New Roman"/>
          <w:i/>
          <w:iCs/>
          <w:noProof/>
          <w:szCs w:val="24"/>
        </w:rPr>
        <w:t>43</w:t>
      </w:r>
      <w:r w:rsidRPr="00F021FB">
        <w:rPr>
          <w:rFonts w:cs="Times New Roman"/>
          <w:noProof/>
          <w:szCs w:val="24"/>
        </w:rPr>
        <w:t>(4), 973–997. https://doi.org/10.1177/0149206314544746</w:t>
      </w:r>
    </w:p>
    <w:p w14:paraId="69D310F8"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Škrinjar, R., Bosilj-Vukšić, V., &amp; Indihar-Štemberger, M. (2008). The impact of business </w:t>
      </w:r>
      <w:r w:rsidRPr="00F021FB">
        <w:rPr>
          <w:rFonts w:cs="Times New Roman"/>
          <w:noProof/>
          <w:szCs w:val="24"/>
        </w:rPr>
        <w:lastRenderedPageBreak/>
        <w:t xml:space="preserve">process orientation on financial and non-financial performance. </w:t>
      </w:r>
      <w:r w:rsidRPr="00F021FB">
        <w:rPr>
          <w:rFonts w:cs="Times New Roman"/>
          <w:i/>
          <w:iCs/>
          <w:noProof/>
          <w:szCs w:val="24"/>
        </w:rPr>
        <w:t>Business Process Management Journal</w:t>
      </w:r>
      <w:r w:rsidRPr="00F021FB">
        <w:rPr>
          <w:rFonts w:cs="Times New Roman"/>
          <w:noProof/>
          <w:szCs w:val="24"/>
        </w:rPr>
        <w:t xml:space="preserve">, </w:t>
      </w:r>
      <w:r w:rsidRPr="00F021FB">
        <w:rPr>
          <w:rFonts w:cs="Times New Roman"/>
          <w:i/>
          <w:iCs/>
          <w:noProof/>
          <w:szCs w:val="24"/>
        </w:rPr>
        <w:t>14</w:t>
      </w:r>
      <w:r w:rsidRPr="00F021FB">
        <w:rPr>
          <w:rFonts w:cs="Times New Roman"/>
          <w:noProof/>
          <w:szCs w:val="24"/>
        </w:rPr>
        <w:t>(5), 738–754. https://doi.org/10.1108/14637150810903084</w:t>
      </w:r>
    </w:p>
    <w:p w14:paraId="613EFB32" w14:textId="04083BB3"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Smirnova, A. S., &amp; Zavertiaeva, M. A. (2017). Which came first, CEO compensation or firm performance? </w:t>
      </w:r>
      <w:r w:rsidR="00A00079" w:rsidRPr="00F021FB">
        <w:rPr>
          <w:rFonts w:cs="Times New Roman"/>
          <w:noProof/>
          <w:szCs w:val="24"/>
        </w:rPr>
        <w:t>the</w:t>
      </w:r>
      <w:r w:rsidRPr="00F021FB">
        <w:rPr>
          <w:rFonts w:cs="Times New Roman"/>
          <w:noProof/>
          <w:szCs w:val="24"/>
        </w:rPr>
        <w:t xml:space="preserve"> causality dilemma in European companies. </w:t>
      </w:r>
      <w:r w:rsidRPr="00F021FB">
        <w:rPr>
          <w:rFonts w:cs="Times New Roman"/>
          <w:i/>
          <w:iCs/>
          <w:noProof/>
          <w:szCs w:val="24"/>
        </w:rPr>
        <w:t>Research in International Business and Finance</w:t>
      </w:r>
      <w:r w:rsidRPr="00F021FB">
        <w:rPr>
          <w:rFonts w:cs="Times New Roman"/>
          <w:noProof/>
          <w:szCs w:val="24"/>
        </w:rPr>
        <w:t xml:space="preserve">, </w:t>
      </w:r>
      <w:r w:rsidRPr="00F021FB">
        <w:rPr>
          <w:rFonts w:cs="Times New Roman"/>
          <w:i/>
          <w:iCs/>
          <w:noProof/>
          <w:szCs w:val="24"/>
        </w:rPr>
        <w:t>42</w:t>
      </w:r>
      <w:r w:rsidRPr="00F021FB">
        <w:rPr>
          <w:rFonts w:cs="Times New Roman"/>
          <w:noProof/>
          <w:szCs w:val="24"/>
        </w:rPr>
        <w:t>, 658–673. https://doi.org/10.1016/j.ribaf.2017.07.009</w:t>
      </w:r>
    </w:p>
    <w:p w14:paraId="483785BB" w14:textId="17A4BBB6"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Søgaard, R., Kristensen, S. R., &amp; Bech, M. (2015). Incentivising effort in governance of public hospitals:</w:t>
      </w:r>
      <w:r w:rsidR="00A00079" w:rsidRPr="00F021FB">
        <w:rPr>
          <w:rFonts w:cs="Times New Roman"/>
          <w:noProof/>
          <w:szCs w:val="24"/>
        </w:rPr>
        <w:t xml:space="preserve"> develop</w:t>
      </w:r>
      <w:r w:rsidRPr="00F021FB">
        <w:rPr>
          <w:rFonts w:cs="Times New Roman"/>
          <w:noProof/>
          <w:szCs w:val="24"/>
        </w:rPr>
        <w:t xml:space="preserve">ment of a delegation-based alternative to activity-based remuneration. </w:t>
      </w:r>
      <w:r w:rsidRPr="00F021FB">
        <w:rPr>
          <w:rFonts w:cs="Times New Roman"/>
          <w:i/>
          <w:iCs/>
          <w:noProof/>
          <w:szCs w:val="24"/>
        </w:rPr>
        <w:t>Health Policy</w:t>
      </w:r>
      <w:r w:rsidRPr="00F021FB">
        <w:rPr>
          <w:rFonts w:cs="Times New Roman"/>
          <w:noProof/>
          <w:szCs w:val="24"/>
        </w:rPr>
        <w:t xml:space="preserve">, </w:t>
      </w:r>
      <w:r w:rsidRPr="00F021FB">
        <w:rPr>
          <w:rFonts w:cs="Times New Roman"/>
          <w:i/>
          <w:iCs/>
          <w:noProof/>
          <w:szCs w:val="24"/>
        </w:rPr>
        <w:t>119</w:t>
      </w:r>
      <w:r w:rsidRPr="00F021FB">
        <w:rPr>
          <w:rFonts w:cs="Times New Roman"/>
          <w:noProof/>
          <w:szCs w:val="24"/>
        </w:rPr>
        <w:t>(8), 1076–1085. https://doi.org/10.1016/j.healthpol.2015.03.005</w:t>
      </w:r>
    </w:p>
    <w:p w14:paraId="1512253D"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Subramony, M. (2009). A meta‐analytic investigation of the relationship between HRM bundles and firm performance. </w:t>
      </w:r>
      <w:r w:rsidRPr="00F021FB">
        <w:rPr>
          <w:rFonts w:cs="Times New Roman"/>
          <w:i/>
          <w:iCs/>
          <w:noProof/>
          <w:szCs w:val="24"/>
        </w:rPr>
        <w:t>Human Resource Management</w:t>
      </w:r>
      <w:r w:rsidRPr="00F021FB">
        <w:rPr>
          <w:rFonts w:cs="Times New Roman"/>
          <w:noProof/>
          <w:szCs w:val="24"/>
        </w:rPr>
        <w:t xml:space="preserve">, </w:t>
      </w:r>
      <w:r w:rsidRPr="00F021FB">
        <w:rPr>
          <w:rFonts w:cs="Times New Roman"/>
          <w:i/>
          <w:iCs/>
          <w:noProof/>
          <w:szCs w:val="24"/>
        </w:rPr>
        <w:t>48</w:t>
      </w:r>
      <w:r w:rsidRPr="00F021FB">
        <w:rPr>
          <w:rFonts w:cs="Times New Roman"/>
          <w:noProof/>
          <w:szCs w:val="24"/>
        </w:rPr>
        <w:t>(5), 745–768. https://doi.org/10.1002/hrm</w:t>
      </w:r>
    </w:p>
    <w:p w14:paraId="742B4184" w14:textId="51D53406"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Suciu, L., Mortan, M., &amp; Lazar, L. (2013). Vroom’s expectancy theory.</w:t>
      </w:r>
      <w:r w:rsidR="00A00079" w:rsidRPr="00F021FB">
        <w:rPr>
          <w:rFonts w:cs="Times New Roman"/>
          <w:noProof/>
          <w:szCs w:val="24"/>
        </w:rPr>
        <w:t xml:space="preserve"> an </w:t>
      </w:r>
      <w:r w:rsidRPr="00F021FB">
        <w:rPr>
          <w:rFonts w:cs="Times New Roman"/>
          <w:noProof/>
          <w:szCs w:val="24"/>
        </w:rPr>
        <w:t xml:space="preserve">empirical study: </w:t>
      </w:r>
      <w:r w:rsidR="00A00079" w:rsidRPr="00A00079">
        <w:rPr>
          <w:rFonts w:cs="Times New Roman"/>
          <w:noProof/>
          <w:szCs w:val="24"/>
        </w:rPr>
        <w:t>civ</w:t>
      </w:r>
      <w:r w:rsidRPr="00F021FB">
        <w:rPr>
          <w:rFonts w:cs="Times New Roman"/>
          <w:noProof/>
          <w:szCs w:val="24"/>
        </w:rPr>
        <w:t xml:space="preserve">il servant’s performance appraisal influencing expectancy. </w:t>
      </w:r>
      <w:r w:rsidRPr="00F021FB">
        <w:rPr>
          <w:rFonts w:cs="Times New Roman"/>
          <w:i/>
          <w:iCs/>
          <w:noProof/>
          <w:szCs w:val="24"/>
        </w:rPr>
        <w:t>Transylvanian Review of Administrative Sciences,</w:t>
      </w:r>
      <w:r w:rsidRPr="00F021FB">
        <w:rPr>
          <w:rFonts w:cs="Times New Roman"/>
          <w:noProof/>
          <w:szCs w:val="24"/>
        </w:rPr>
        <w:t xml:space="preserve"> </w:t>
      </w:r>
      <w:r w:rsidRPr="00F021FB">
        <w:rPr>
          <w:rFonts w:cs="Times New Roman"/>
          <w:i/>
          <w:iCs/>
          <w:noProof/>
          <w:szCs w:val="24"/>
        </w:rPr>
        <w:t>39</w:t>
      </w:r>
      <w:r w:rsidRPr="00F021FB">
        <w:rPr>
          <w:rFonts w:cs="Times New Roman"/>
          <w:noProof/>
          <w:szCs w:val="24"/>
        </w:rPr>
        <w:t>, 180–200.</w:t>
      </w:r>
    </w:p>
    <w:p w14:paraId="3A7D532C"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Tafkov, I. D. (2013). Private and public relative performance information under different compensation contracts. </w:t>
      </w:r>
      <w:r w:rsidRPr="00F021FB">
        <w:rPr>
          <w:rFonts w:cs="Times New Roman"/>
          <w:i/>
          <w:iCs/>
          <w:noProof/>
          <w:szCs w:val="24"/>
        </w:rPr>
        <w:t>Accounting Review</w:t>
      </w:r>
      <w:r w:rsidRPr="00F021FB">
        <w:rPr>
          <w:rFonts w:cs="Times New Roman"/>
          <w:noProof/>
          <w:szCs w:val="24"/>
        </w:rPr>
        <w:t xml:space="preserve">, </w:t>
      </w:r>
      <w:r w:rsidRPr="00F021FB">
        <w:rPr>
          <w:rFonts w:cs="Times New Roman"/>
          <w:i/>
          <w:iCs/>
          <w:noProof/>
          <w:szCs w:val="24"/>
        </w:rPr>
        <w:t>88</w:t>
      </w:r>
      <w:r w:rsidRPr="00F021FB">
        <w:rPr>
          <w:rFonts w:cs="Times New Roman"/>
          <w:noProof/>
          <w:szCs w:val="24"/>
        </w:rPr>
        <w:t>(1), 327–350. https://doi.org/10.2308/accr-50292</w:t>
      </w:r>
    </w:p>
    <w:p w14:paraId="74ECA050" w14:textId="3A37753E"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Terera, S. R., &amp; Ngirande, H. (2014). The </w:t>
      </w:r>
      <w:r w:rsidR="00420DAF">
        <w:rPr>
          <w:rFonts w:cs="Times New Roman"/>
          <w:noProof/>
          <w:szCs w:val="24"/>
        </w:rPr>
        <w:t>i</w:t>
      </w:r>
      <w:r w:rsidR="00420DAF" w:rsidRPr="00F021FB">
        <w:rPr>
          <w:rFonts w:cs="Times New Roman"/>
          <w:noProof/>
          <w:szCs w:val="24"/>
        </w:rPr>
        <w:t xml:space="preserve">mpact of rewards on job satisfaction and employee retention. </w:t>
      </w:r>
      <w:r w:rsidRPr="00F021FB">
        <w:rPr>
          <w:rFonts w:cs="Times New Roman"/>
          <w:i/>
          <w:iCs/>
          <w:noProof/>
          <w:szCs w:val="24"/>
        </w:rPr>
        <w:t>Mediterranean Journal of Social Sciences</w:t>
      </w:r>
      <w:r w:rsidRPr="00F021FB">
        <w:rPr>
          <w:rFonts w:cs="Times New Roman"/>
          <w:noProof/>
          <w:szCs w:val="24"/>
        </w:rPr>
        <w:t xml:space="preserve">, </w:t>
      </w:r>
      <w:r w:rsidRPr="00F021FB">
        <w:rPr>
          <w:rFonts w:cs="Times New Roman"/>
          <w:i/>
          <w:iCs/>
          <w:noProof/>
          <w:szCs w:val="24"/>
        </w:rPr>
        <w:t>5</w:t>
      </w:r>
      <w:r w:rsidRPr="00F021FB">
        <w:rPr>
          <w:rFonts w:cs="Times New Roman"/>
          <w:noProof/>
          <w:szCs w:val="24"/>
        </w:rPr>
        <w:t xml:space="preserve">(1), 481–488. </w:t>
      </w:r>
      <w:r w:rsidRPr="00F021FB">
        <w:rPr>
          <w:rFonts w:cs="Times New Roman"/>
          <w:noProof/>
          <w:szCs w:val="24"/>
        </w:rPr>
        <w:lastRenderedPageBreak/>
        <w:t>https://doi.org/10.5901/mjss.2014.v5n1p481</w:t>
      </w:r>
    </w:p>
    <w:p w14:paraId="34CF1B65" w14:textId="7097BFFB"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Tian, A. W., Cordery, J., &amp; Gamble, J. (2016). Staying and performing: </w:t>
      </w:r>
      <w:r w:rsidR="00A00079" w:rsidRPr="00F021FB">
        <w:rPr>
          <w:rFonts w:cs="Times New Roman"/>
          <w:noProof/>
          <w:szCs w:val="24"/>
        </w:rPr>
        <w:t>ho</w:t>
      </w:r>
      <w:r w:rsidRPr="00F021FB">
        <w:rPr>
          <w:rFonts w:cs="Times New Roman"/>
          <w:noProof/>
          <w:szCs w:val="24"/>
        </w:rPr>
        <w:t xml:space="preserve">w human resource management practices increase job embeddedness and performance. </w:t>
      </w:r>
      <w:r w:rsidRPr="00F021FB">
        <w:rPr>
          <w:rFonts w:cs="Times New Roman"/>
          <w:i/>
          <w:iCs/>
          <w:noProof/>
          <w:szCs w:val="24"/>
        </w:rPr>
        <w:t>Personnel Review</w:t>
      </w:r>
      <w:r w:rsidRPr="00F021FB">
        <w:rPr>
          <w:rFonts w:cs="Times New Roman"/>
          <w:noProof/>
          <w:szCs w:val="24"/>
        </w:rPr>
        <w:t xml:space="preserve">, </w:t>
      </w:r>
      <w:r w:rsidRPr="00F021FB">
        <w:rPr>
          <w:rFonts w:cs="Times New Roman"/>
          <w:i/>
          <w:iCs/>
          <w:noProof/>
          <w:szCs w:val="24"/>
        </w:rPr>
        <w:t>45</w:t>
      </w:r>
      <w:r w:rsidRPr="00F021FB">
        <w:rPr>
          <w:rFonts w:cs="Times New Roman"/>
          <w:noProof/>
          <w:szCs w:val="24"/>
        </w:rPr>
        <w:t>(5), 947–968. https://doi.org/10.1038/nmeth.3869.DADA2</w:t>
      </w:r>
    </w:p>
    <w:p w14:paraId="085AAEC3" w14:textId="2AE2EF8F"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Ton, Z., &amp; Huckman, R. S. (2008). Managing</w:t>
      </w:r>
      <w:r w:rsidR="00420DAF" w:rsidRPr="00F021FB">
        <w:rPr>
          <w:rFonts w:cs="Times New Roman"/>
          <w:noProof/>
          <w:szCs w:val="24"/>
        </w:rPr>
        <w:t xml:space="preserve"> the impact of employee turnover on performance: the role of process conformance</w:t>
      </w:r>
      <w:r w:rsidRPr="00F021FB">
        <w:rPr>
          <w:rFonts w:cs="Times New Roman"/>
          <w:noProof/>
          <w:szCs w:val="24"/>
        </w:rPr>
        <w:t xml:space="preserve">. </w:t>
      </w:r>
      <w:r w:rsidRPr="00F021FB">
        <w:rPr>
          <w:rFonts w:cs="Times New Roman"/>
          <w:i/>
          <w:iCs/>
          <w:noProof/>
          <w:szCs w:val="24"/>
        </w:rPr>
        <w:t>Organization Science</w:t>
      </w:r>
      <w:r w:rsidRPr="00F021FB">
        <w:rPr>
          <w:rFonts w:cs="Times New Roman"/>
          <w:noProof/>
          <w:szCs w:val="24"/>
        </w:rPr>
        <w:t xml:space="preserve">, </w:t>
      </w:r>
      <w:r w:rsidRPr="00F021FB">
        <w:rPr>
          <w:rFonts w:cs="Times New Roman"/>
          <w:i/>
          <w:iCs/>
          <w:noProof/>
          <w:szCs w:val="24"/>
        </w:rPr>
        <w:t>19</w:t>
      </w:r>
      <w:r w:rsidRPr="00F021FB">
        <w:rPr>
          <w:rFonts w:cs="Times New Roman"/>
          <w:noProof/>
          <w:szCs w:val="24"/>
        </w:rPr>
        <w:t>(1), 56–68. https://doi.org/10.1287/orsc.1070.0294</w:t>
      </w:r>
    </w:p>
    <w:p w14:paraId="19EF23BE" w14:textId="4A39AAEF"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Trivedi, S. (2014). </w:t>
      </w:r>
      <w:r w:rsidR="00420DAF" w:rsidRPr="00F021FB">
        <w:rPr>
          <w:rFonts w:cs="Times New Roman"/>
          <w:i/>
          <w:iCs/>
          <w:noProof/>
          <w:szCs w:val="24"/>
        </w:rPr>
        <w:t>Financial performance analysis conceptual framework</w:t>
      </w:r>
      <w:r w:rsidR="00420DAF" w:rsidRPr="00F021FB">
        <w:rPr>
          <w:rFonts w:cs="Times New Roman"/>
          <w:noProof/>
          <w:szCs w:val="24"/>
        </w:rPr>
        <w:t xml:space="preserve">. </w:t>
      </w:r>
    </w:p>
    <w:p w14:paraId="063AECA5"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Upadhaya, B., Munir, R., &amp; Blount, Y. (2014). Association between performance measurement systems and organisational effectiveness. </w:t>
      </w:r>
      <w:r w:rsidRPr="00F021FB">
        <w:rPr>
          <w:rFonts w:cs="Times New Roman"/>
          <w:i/>
          <w:iCs/>
          <w:noProof/>
          <w:szCs w:val="24"/>
        </w:rPr>
        <w:t>International Journal of Operations &amp; Production Management</w:t>
      </w:r>
      <w:r w:rsidRPr="00F021FB">
        <w:rPr>
          <w:rFonts w:cs="Times New Roman"/>
          <w:noProof/>
          <w:szCs w:val="24"/>
        </w:rPr>
        <w:t xml:space="preserve">, </w:t>
      </w:r>
      <w:r w:rsidRPr="00F021FB">
        <w:rPr>
          <w:rFonts w:cs="Times New Roman"/>
          <w:i/>
          <w:iCs/>
          <w:noProof/>
          <w:szCs w:val="24"/>
        </w:rPr>
        <w:t>34</w:t>
      </w:r>
      <w:r w:rsidRPr="00F021FB">
        <w:rPr>
          <w:rFonts w:cs="Times New Roman"/>
          <w:noProof/>
          <w:szCs w:val="24"/>
        </w:rPr>
        <w:t>(7), 853–875. https://doi.org/10.1109/TSMCC.2010.2053532</w:t>
      </w:r>
    </w:p>
    <w:p w14:paraId="1D952766"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Van De Voorde, K., &amp; Beijer, S. (2015). The role of employee HR attributions in the relationship between high-performance work systems and employee outcomes. </w:t>
      </w:r>
      <w:r w:rsidRPr="00F021FB">
        <w:rPr>
          <w:rFonts w:cs="Times New Roman"/>
          <w:i/>
          <w:iCs/>
          <w:noProof/>
          <w:szCs w:val="24"/>
        </w:rPr>
        <w:t>Human Resource Management Journal</w:t>
      </w:r>
      <w:r w:rsidRPr="00F021FB">
        <w:rPr>
          <w:rFonts w:cs="Times New Roman"/>
          <w:noProof/>
          <w:szCs w:val="24"/>
        </w:rPr>
        <w:t xml:space="preserve">, </w:t>
      </w:r>
      <w:r w:rsidRPr="00F021FB">
        <w:rPr>
          <w:rFonts w:cs="Times New Roman"/>
          <w:i/>
          <w:iCs/>
          <w:noProof/>
          <w:szCs w:val="24"/>
        </w:rPr>
        <w:t>25</w:t>
      </w:r>
      <w:r w:rsidRPr="00F021FB">
        <w:rPr>
          <w:rFonts w:cs="Times New Roman"/>
          <w:noProof/>
          <w:szCs w:val="24"/>
        </w:rPr>
        <w:t>(1), 62–78. https://doi.org/10.1111/1748-8583.12062</w:t>
      </w:r>
    </w:p>
    <w:p w14:paraId="7E152308" w14:textId="28F766E9"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Van De Voorde, K., Paauwe, J., &amp; Van </w:t>
      </w:r>
      <w:r w:rsidR="00B12173">
        <w:rPr>
          <w:rFonts w:cs="Times New Roman"/>
          <w:noProof/>
          <w:szCs w:val="24"/>
        </w:rPr>
        <w:t>Veldhoven, M. (2012). Employee w</w:t>
      </w:r>
      <w:r w:rsidRPr="00F021FB">
        <w:rPr>
          <w:rFonts w:cs="Times New Roman"/>
          <w:noProof/>
          <w:szCs w:val="24"/>
        </w:rPr>
        <w:t>ell-being and the HRM-</w:t>
      </w:r>
      <w:r w:rsidR="00B12173" w:rsidRPr="00F021FB">
        <w:rPr>
          <w:rFonts w:cs="Times New Roman"/>
          <w:noProof/>
          <w:szCs w:val="24"/>
        </w:rPr>
        <w:t xml:space="preserve">organizational performance relationship: a review of quantitative studies. </w:t>
      </w:r>
      <w:r w:rsidRPr="00F021FB">
        <w:rPr>
          <w:rFonts w:cs="Times New Roman"/>
          <w:i/>
          <w:iCs/>
          <w:noProof/>
          <w:szCs w:val="24"/>
        </w:rPr>
        <w:t>International Journal of Management Reviews</w:t>
      </w:r>
      <w:r w:rsidRPr="00F021FB">
        <w:rPr>
          <w:rFonts w:cs="Times New Roman"/>
          <w:noProof/>
          <w:szCs w:val="24"/>
        </w:rPr>
        <w:t xml:space="preserve">, </w:t>
      </w:r>
      <w:r w:rsidRPr="00F021FB">
        <w:rPr>
          <w:rFonts w:cs="Times New Roman"/>
          <w:i/>
          <w:iCs/>
          <w:noProof/>
          <w:szCs w:val="24"/>
        </w:rPr>
        <w:t>14</w:t>
      </w:r>
      <w:r w:rsidRPr="00F021FB">
        <w:rPr>
          <w:rFonts w:cs="Times New Roman"/>
          <w:noProof/>
          <w:szCs w:val="24"/>
        </w:rPr>
        <w:t>(4), 391–407. https://doi.org/10.1111/j.1468-2370.2011.00322.x</w:t>
      </w:r>
    </w:p>
    <w:p w14:paraId="0BEDE5D7" w14:textId="71C99DDB" w:rsidR="00F021FB" w:rsidRPr="00F021FB" w:rsidRDefault="00B12173" w:rsidP="00F021FB">
      <w:pPr>
        <w:widowControl w:val="0"/>
        <w:autoSpaceDE w:val="0"/>
        <w:autoSpaceDN w:val="0"/>
        <w:adjustRightInd w:val="0"/>
        <w:spacing w:before="240" w:after="0"/>
        <w:ind w:left="480" w:hanging="480"/>
        <w:rPr>
          <w:rFonts w:cs="Times New Roman"/>
          <w:noProof/>
          <w:szCs w:val="24"/>
        </w:rPr>
      </w:pPr>
      <w:r>
        <w:rPr>
          <w:rFonts w:cs="Times New Roman"/>
          <w:noProof/>
          <w:szCs w:val="24"/>
        </w:rPr>
        <w:lastRenderedPageBreak/>
        <w:t>Wang, G.-L. (2011). A s</w:t>
      </w:r>
      <w:r w:rsidR="00F021FB" w:rsidRPr="00F021FB">
        <w:rPr>
          <w:rFonts w:cs="Times New Roman"/>
          <w:noProof/>
          <w:szCs w:val="24"/>
        </w:rPr>
        <w:t xml:space="preserve">tudy of </w:t>
      </w:r>
      <w:r w:rsidRPr="00F021FB">
        <w:rPr>
          <w:rFonts w:cs="Times New Roman"/>
          <w:noProof/>
          <w:szCs w:val="24"/>
        </w:rPr>
        <w:t>how the internal-service quality of international tourist hotels affects organizational performance: using employees’ job satisfaction as the mediator.</w:t>
      </w:r>
      <w:r w:rsidR="00F021FB" w:rsidRPr="00F021FB">
        <w:rPr>
          <w:rFonts w:cs="Times New Roman"/>
          <w:noProof/>
          <w:szCs w:val="24"/>
        </w:rPr>
        <w:t xml:space="preserve"> </w:t>
      </w:r>
      <w:r w:rsidR="00F021FB" w:rsidRPr="00F021FB">
        <w:rPr>
          <w:rFonts w:cs="Times New Roman"/>
          <w:i/>
          <w:iCs/>
          <w:noProof/>
          <w:szCs w:val="24"/>
        </w:rPr>
        <w:t>Journal of Global Business Management</w:t>
      </w:r>
      <w:r w:rsidR="00F021FB" w:rsidRPr="00F021FB">
        <w:rPr>
          <w:rFonts w:cs="Times New Roman"/>
          <w:noProof/>
          <w:szCs w:val="24"/>
        </w:rPr>
        <w:t xml:space="preserve">, </w:t>
      </w:r>
      <w:r w:rsidR="00F021FB" w:rsidRPr="00F021FB">
        <w:rPr>
          <w:rFonts w:cs="Times New Roman"/>
          <w:i/>
          <w:iCs/>
          <w:noProof/>
          <w:szCs w:val="24"/>
        </w:rPr>
        <w:t>7</w:t>
      </w:r>
      <w:r w:rsidR="00F021FB" w:rsidRPr="00F021FB">
        <w:rPr>
          <w:rFonts w:cs="Times New Roman"/>
          <w:noProof/>
          <w:szCs w:val="24"/>
        </w:rPr>
        <w:t xml:space="preserve">(2), 1–12. </w:t>
      </w:r>
    </w:p>
    <w:p w14:paraId="40972D5E" w14:textId="2E78AEF4"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Wasserman, N. (2006). Stew</w:t>
      </w:r>
      <w:r w:rsidR="005361E9">
        <w:rPr>
          <w:rFonts w:cs="Times New Roman"/>
          <w:noProof/>
          <w:szCs w:val="24"/>
        </w:rPr>
        <w:t>ards, agents, and the founder d</w:t>
      </w:r>
      <w:r w:rsidRPr="00F021FB">
        <w:rPr>
          <w:rFonts w:cs="Times New Roman"/>
          <w:noProof/>
          <w:szCs w:val="24"/>
        </w:rPr>
        <w:t xml:space="preserve">iscount. </w:t>
      </w:r>
      <w:r w:rsidRPr="00F021FB">
        <w:rPr>
          <w:rFonts w:cs="Times New Roman"/>
          <w:i/>
          <w:iCs/>
          <w:noProof/>
          <w:szCs w:val="24"/>
        </w:rPr>
        <w:t>Academy of Management Journal</w:t>
      </w:r>
      <w:r w:rsidRPr="00F021FB">
        <w:rPr>
          <w:rFonts w:cs="Times New Roman"/>
          <w:noProof/>
          <w:szCs w:val="24"/>
        </w:rPr>
        <w:t xml:space="preserve">, </w:t>
      </w:r>
      <w:r w:rsidRPr="00F021FB">
        <w:rPr>
          <w:rFonts w:cs="Times New Roman"/>
          <w:i/>
          <w:iCs/>
          <w:noProof/>
          <w:szCs w:val="24"/>
        </w:rPr>
        <w:t>49</w:t>
      </w:r>
      <w:r w:rsidRPr="00F021FB">
        <w:rPr>
          <w:rFonts w:cs="Times New Roman"/>
          <w:noProof/>
          <w:szCs w:val="24"/>
        </w:rPr>
        <w:t>(5), 960–976. https://doi.org/10.2307/20159811</w:t>
      </w:r>
    </w:p>
    <w:p w14:paraId="02B434D6"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Whitfield, K., Pendleton, A., Sengupta, S., &amp; Huxley, K. (2017). Employee share ownership and organisational performance: a tentative opening of the black box. </w:t>
      </w:r>
      <w:r w:rsidRPr="00F021FB">
        <w:rPr>
          <w:rFonts w:cs="Times New Roman"/>
          <w:i/>
          <w:iCs/>
          <w:noProof/>
          <w:szCs w:val="24"/>
        </w:rPr>
        <w:t>Personnel Review</w:t>
      </w:r>
      <w:r w:rsidRPr="00F021FB">
        <w:rPr>
          <w:rFonts w:cs="Times New Roman"/>
          <w:noProof/>
          <w:szCs w:val="24"/>
        </w:rPr>
        <w:t xml:space="preserve">, </w:t>
      </w:r>
      <w:r w:rsidRPr="00F021FB">
        <w:rPr>
          <w:rFonts w:cs="Times New Roman"/>
          <w:i/>
          <w:iCs/>
          <w:noProof/>
          <w:szCs w:val="24"/>
        </w:rPr>
        <w:t>46</w:t>
      </w:r>
      <w:r w:rsidRPr="00F021FB">
        <w:rPr>
          <w:rFonts w:cs="Times New Roman"/>
          <w:noProof/>
          <w:szCs w:val="24"/>
        </w:rPr>
        <w:t>(7), 1280–1296. https://doi.org/10.1108/PR-09-2016-0243</w:t>
      </w:r>
    </w:p>
    <w:p w14:paraId="565BA65F" w14:textId="7777777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 xml:space="preserve">Wijst, N. G. . van der. (2018). </w:t>
      </w:r>
      <w:r w:rsidRPr="00F021FB">
        <w:rPr>
          <w:rFonts w:cs="Times New Roman"/>
          <w:i/>
          <w:iCs/>
          <w:noProof/>
          <w:szCs w:val="24"/>
        </w:rPr>
        <w:t>The influence of CEO compensation on firm performance and its relation to economic growth</w:t>
      </w:r>
      <w:r w:rsidRPr="00F021FB">
        <w:rPr>
          <w:rFonts w:cs="Times New Roman"/>
          <w:noProof/>
          <w:szCs w:val="24"/>
        </w:rPr>
        <w:t>.</w:t>
      </w:r>
    </w:p>
    <w:p w14:paraId="150A5FEF" w14:textId="2ADAA697" w:rsidR="00F021FB" w:rsidRPr="00F021FB" w:rsidRDefault="00F021FB" w:rsidP="00F021FB">
      <w:pPr>
        <w:widowControl w:val="0"/>
        <w:autoSpaceDE w:val="0"/>
        <w:autoSpaceDN w:val="0"/>
        <w:adjustRightInd w:val="0"/>
        <w:spacing w:before="240" w:after="0"/>
        <w:ind w:left="480" w:hanging="480"/>
        <w:rPr>
          <w:rFonts w:cs="Times New Roman"/>
          <w:noProof/>
          <w:szCs w:val="24"/>
        </w:rPr>
      </w:pPr>
      <w:r w:rsidRPr="00F021FB">
        <w:rPr>
          <w:rFonts w:cs="Times New Roman"/>
          <w:noProof/>
          <w:szCs w:val="24"/>
        </w:rPr>
        <w:t>Xu, P. T. (2013). Managerial inc</w:t>
      </w:r>
      <w:r w:rsidR="00F944BA">
        <w:rPr>
          <w:rFonts w:cs="Times New Roman"/>
          <w:noProof/>
          <w:szCs w:val="24"/>
        </w:rPr>
        <w:t>entives and a fi</w:t>
      </w:r>
      <w:r w:rsidR="00B12173">
        <w:rPr>
          <w:rFonts w:cs="Times New Roman"/>
          <w:noProof/>
          <w:szCs w:val="24"/>
        </w:rPr>
        <w:t>rm ’ s cash fl</w:t>
      </w:r>
      <w:r w:rsidRPr="00F021FB">
        <w:rPr>
          <w:rFonts w:cs="Times New Roman"/>
          <w:noProof/>
          <w:szCs w:val="24"/>
        </w:rPr>
        <w:t xml:space="preserve">ow sensitivities. </w:t>
      </w:r>
      <w:r w:rsidRPr="00F021FB">
        <w:rPr>
          <w:rFonts w:cs="Times New Roman"/>
          <w:i/>
          <w:iCs/>
          <w:noProof/>
          <w:szCs w:val="24"/>
        </w:rPr>
        <w:t>International Review of Economics and Finance</w:t>
      </w:r>
      <w:r w:rsidRPr="00F021FB">
        <w:rPr>
          <w:rFonts w:cs="Times New Roman"/>
          <w:noProof/>
          <w:szCs w:val="24"/>
        </w:rPr>
        <w:t xml:space="preserve">, </w:t>
      </w:r>
      <w:r w:rsidRPr="00F021FB">
        <w:rPr>
          <w:rFonts w:cs="Times New Roman"/>
          <w:i/>
          <w:iCs/>
          <w:noProof/>
          <w:szCs w:val="24"/>
        </w:rPr>
        <w:t>27</w:t>
      </w:r>
      <w:r w:rsidRPr="00F021FB">
        <w:rPr>
          <w:rFonts w:cs="Times New Roman"/>
          <w:noProof/>
          <w:szCs w:val="24"/>
        </w:rPr>
        <w:t>, 80–96. https://doi.org/10.1016/j.iref.2012.09.004</w:t>
      </w:r>
    </w:p>
    <w:p w14:paraId="67C002A9" w14:textId="091777C5" w:rsidR="00A60EE8" w:rsidRPr="00AE0B3D" w:rsidRDefault="00F021FB" w:rsidP="00E00F01">
      <w:pPr>
        <w:widowControl w:val="0"/>
        <w:autoSpaceDE w:val="0"/>
        <w:autoSpaceDN w:val="0"/>
        <w:adjustRightInd w:val="0"/>
        <w:spacing w:before="240" w:after="0"/>
        <w:ind w:left="480" w:hanging="480"/>
      </w:pPr>
      <w:r w:rsidRPr="00F021FB">
        <w:rPr>
          <w:rFonts w:cs="Times New Roman"/>
          <w:noProof/>
          <w:szCs w:val="24"/>
        </w:rPr>
        <w:t xml:space="preserve">Zameer, H., Alireza, S., Nisar, W., &amp; Amir, M. (2014). The </w:t>
      </w:r>
      <w:r w:rsidR="00B12173" w:rsidRPr="00F021FB">
        <w:rPr>
          <w:rFonts w:cs="Times New Roman"/>
          <w:noProof/>
          <w:szCs w:val="24"/>
        </w:rPr>
        <w:t>impact of th</w:t>
      </w:r>
      <w:r w:rsidR="00B12173">
        <w:rPr>
          <w:rFonts w:cs="Times New Roman"/>
          <w:noProof/>
          <w:szCs w:val="24"/>
        </w:rPr>
        <w:t>e motivation on the employees</w:t>
      </w:r>
      <w:r w:rsidR="00B12173" w:rsidRPr="00F021FB">
        <w:rPr>
          <w:rFonts w:cs="Times New Roman"/>
          <w:noProof/>
          <w:szCs w:val="24"/>
        </w:rPr>
        <w:t xml:space="preserve"> performance in beverage industry of pakistan.</w:t>
      </w:r>
      <w:r w:rsidRPr="00F021FB">
        <w:rPr>
          <w:rFonts w:cs="Times New Roman"/>
          <w:noProof/>
          <w:szCs w:val="24"/>
        </w:rPr>
        <w:t xml:space="preserve"> </w:t>
      </w:r>
      <w:r w:rsidRPr="00F021FB">
        <w:rPr>
          <w:rFonts w:cs="Times New Roman"/>
          <w:i/>
          <w:iCs/>
          <w:noProof/>
          <w:szCs w:val="24"/>
        </w:rPr>
        <w:t>International Journal of Academic Research in Accounting, Finance and Management Sciences</w:t>
      </w:r>
      <w:r w:rsidRPr="00F021FB">
        <w:rPr>
          <w:rFonts w:cs="Times New Roman"/>
          <w:noProof/>
          <w:szCs w:val="24"/>
        </w:rPr>
        <w:t xml:space="preserve">, </w:t>
      </w:r>
      <w:r w:rsidRPr="00F021FB">
        <w:rPr>
          <w:rFonts w:cs="Times New Roman"/>
          <w:i/>
          <w:iCs/>
          <w:noProof/>
          <w:szCs w:val="24"/>
        </w:rPr>
        <w:t>4</w:t>
      </w:r>
      <w:r w:rsidRPr="00F021FB">
        <w:rPr>
          <w:rFonts w:cs="Times New Roman"/>
          <w:noProof/>
          <w:szCs w:val="24"/>
        </w:rPr>
        <w:t>(1), 293–298. https://doi.org/10.6007/ijarafms/v4-i1/630</w:t>
      </w:r>
      <w:r w:rsidR="00FF090E" w:rsidRPr="00AE0B3D">
        <w:fldChar w:fldCharType="end"/>
      </w:r>
      <w:r w:rsidR="00A60EE8" w:rsidRPr="00AE0B3D">
        <w:br w:type="page"/>
      </w:r>
    </w:p>
    <w:p w14:paraId="4C32F385" w14:textId="77777777" w:rsidR="004E7389" w:rsidRPr="00AE0B3D" w:rsidRDefault="004E7389" w:rsidP="004E7389">
      <w:pPr>
        <w:pStyle w:val="Heading1"/>
        <w:ind w:left="432"/>
        <w:rPr>
          <w:rFonts w:cs="Times New Roman"/>
        </w:rPr>
      </w:pPr>
      <w:bookmarkStart w:id="88" w:name="_Toc78067542"/>
      <w:r w:rsidRPr="00AE0B3D">
        <w:rPr>
          <w:rFonts w:cs="Times New Roman"/>
        </w:rPr>
        <w:lastRenderedPageBreak/>
        <w:t>APPENDICES</w:t>
      </w:r>
      <w:bookmarkEnd w:id="88"/>
    </w:p>
    <w:p w14:paraId="59B52542" w14:textId="77777777" w:rsidR="004E7389" w:rsidRPr="00AE0B3D" w:rsidRDefault="004E7389" w:rsidP="004E7389">
      <w:pPr>
        <w:pStyle w:val="Heading2"/>
        <w:numPr>
          <w:ilvl w:val="0"/>
          <w:numId w:val="0"/>
        </w:numPr>
        <w:ind w:left="576"/>
        <w:rPr>
          <w:rFonts w:cs="Times New Roman"/>
        </w:rPr>
      </w:pPr>
      <w:bookmarkStart w:id="89" w:name="_Toc78067543"/>
      <w:r w:rsidRPr="00AE0B3D">
        <w:rPr>
          <w:rFonts w:cs="Times New Roman"/>
        </w:rPr>
        <w:t xml:space="preserve">Appendix 1: Gantt </w:t>
      </w:r>
      <w:r w:rsidR="000B76D8" w:rsidRPr="00AE0B3D">
        <w:rPr>
          <w:rFonts w:cs="Times New Roman"/>
        </w:rPr>
        <w:t>chart</w:t>
      </w:r>
      <w:bookmarkEnd w:id="89"/>
    </w:p>
    <w:tbl>
      <w:tblPr>
        <w:tblW w:w="8190" w:type="dxa"/>
        <w:jc w:val="center"/>
        <w:tblLook w:val="04A0" w:firstRow="1" w:lastRow="0" w:firstColumn="1" w:lastColumn="0" w:noHBand="0" w:noVBand="1"/>
      </w:tblPr>
      <w:tblGrid>
        <w:gridCol w:w="2080"/>
        <w:gridCol w:w="1700"/>
        <w:gridCol w:w="1440"/>
        <w:gridCol w:w="1440"/>
        <w:gridCol w:w="1530"/>
      </w:tblGrid>
      <w:tr w:rsidR="00AE0B3D" w:rsidRPr="00AE0B3D" w14:paraId="1F8370B8" w14:textId="77777777" w:rsidTr="000D1153">
        <w:trPr>
          <w:trHeight w:val="458"/>
          <w:jc w:val="center"/>
        </w:trPr>
        <w:tc>
          <w:tcPr>
            <w:tcW w:w="20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5633D0E" w14:textId="77777777" w:rsidR="004E7389" w:rsidRPr="00AE0B3D" w:rsidRDefault="004E7389" w:rsidP="000D1153">
            <w:pPr>
              <w:spacing w:after="0" w:line="240" w:lineRule="auto"/>
              <w:ind w:firstLine="0"/>
              <w:rPr>
                <w:rFonts w:eastAsia="Times New Roman" w:cs="Times New Roman"/>
                <w:b/>
                <w:bCs/>
                <w:szCs w:val="24"/>
              </w:rPr>
            </w:pPr>
            <w:r w:rsidRPr="00AE0B3D">
              <w:rPr>
                <w:rFonts w:eastAsia="Times New Roman" w:cs="Times New Roman"/>
                <w:b/>
                <w:bCs/>
                <w:szCs w:val="24"/>
              </w:rPr>
              <w:t xml:space="preserve">Activity </w:t>
            </w:r>
          </w:p>
        </w:tc>
        <w:tc>
          <w:tcPr>
            <w:tcW w:w="17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B2A0107" w14:textId="32FB261E" w:rsidR="004E7389" w:rsidRPr="00AE0B3D" w:rsidRDefault="004E7389" w:rsidP="000D1153">
            <w:pPr>
              <w:spacing w:after="0" w:line="240" w:lineRule="auto"/>
              <w:ind w:firstLine="0"/>
              <w:rPr>
                <w:rFonts w:eastAsia="Times New Roman" w:cs="Times New Roman"/>
                <w:b/>
                <w:bCs/>
                <w:szCs w:val="24"/>
              </w:rPr>
            </w:pPr>
            <w:r w:rsidRPr="00AE0B3D">
              <w:rPr>
                <w:rFonts w:eastAsia="Times New Roman" w:cs="Times New Roman"/>
                <w:b/>
                <w:bCs/>
                <w:szCs w:val="24"/>
              </w:rPr>
              <w:t>Aug-</w:t>
            </w:r>
            <w:r w:rsidR="008C17E1" w:rsidRPr="00AE0B3D">
              <w:rPr>
                <w:rFonts w:eastAsia="Times New Roman" w:cs="Times New Roman"/>
                <w:b/>
                <w:bCs/>
                <w:szCs w:val="24"/>
              </w:rPr>
              <w:t>Dec</w:t>
            </w:r>
            <w:r w:rsidRPr="00AE0B3D">
              <w:rPr>
                <w:rFonts w:eastAsia="Times New Roman" w:cs="Times New Roman"/>
                <w:b/>
                <w:bCs/>
                <w:szCs w:val="24"/>
              </w:rPr>
              <w:t xml:space="preserve"> 2018</w:t>
            </w:r>
          </w:p>
        </w:tc>
        <w:tc>
          <w:tcPr>
            <w:tcW w:w="144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5763333" w14:textId="1545A21E" w:rsidR="004E7389" w:rsidRPr="00AE0B3D" w:rsidRDefault="008C17E1" w:rsidP="000D1153">
            <w:pPr>
              <w:spacing w:after="0" w:line="240" w:lineRule="auto"/>
              <w:ind w:firstLine="0"/>
              <w:rPr>
                <w:rFonts w:eastAsia="Times New Roman" w:cs="Times New Roman"/>
                <w:b/>
                <w:bCs/>
                <w:szCs w:val="24"/>
              </w:rPr>
            </w:pPr>
            <w:r w:rsidRPr="00AE0B3D">
              <w:rPr>
                <w:rFonts w:eastAsia="Times New Roman" w:cs="Times New Roman"/>
                <w:b/>
                <w:bCs/>
                <w:szCs w:val="24"/>
              </w:rPr>
              <w:t xml:space="preserve">Jan </w:t>
            </w:r>
            <w:r w:rsidR="004E7389" w:rsidRPr="00AE0B3D">
              <w:rPr>
                <w:rFonts w:eastAsia="Times New Roman" w:cs="Times New Roman"/>
                <w:b/>
                <w:bCs/>
                <w:szCs w:val="24"/>
              </w:rPr>
              <w:t>201</w:t>
            </w:r>
            <w:r w:rsidRPr="00AE0B3D">
              <w:rPr>
                <w:rFonts w:eastAsia="Times New Roman" w:cs="Times New Roman"/>
                <w:b/>
                <w:bCs/>
                <w:szCs w:val="24"/>
              </w:rPr>
              <w:t>9</w:t>
            </w:r>
          </w:p>
        </w:tc>
        <w:tc>
          <w:tcPr>
            <w:tcW w:w="144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296F436" w14:textId="4092243D" w:rsidR="004E7389" w:rsidRPr="00AE0B3D" w:rsidRDefault="00285B3B" w:rsidP="00D44603">
            <w:pPr>
              <w:spacing w:after="0" w:line="240" w:lineRule="auto"/>
              <w:ind w:firstLine="0"/>
              <w:rPr>
                <w:rFonts w:eastAsia="Times New Roman" w:cs="Times New Roman"/>
                <w:b/>
                <w:bCs/>
                <w:szCs w:val="24"/>
              </w:rPr>
            </w:pPr>
            <w:r w:rsidRPr="00AE0B3D">
              <w:rPr>
                <w:rFonts w:eastAsia="Times New Roman" w:cs="Times New Roman"/>
                <w:b/>
                <w:bCs/>
                <w:szCs w:val="24"/>
              </w:rPr>
              <w:t>Jan-</w:t>
            </w:r>
            <w:r w:rsidR="00D914E2" w:rsidRPr="00AE0B3D">
              <w:rPr>
                <w:rFonts w:eastAsia="Times New Roman" w:cs="Times New Roman"/>
                <w:b/>
                <w:bCs/>
                <w:szCs w:val="24"/>
              </w:rPr>
              <w:t xml:space="preserve">Dec </w:t>
            </w:r>
            <w:r w:rsidR="00D44603" w:rsidRPr="00AE0B3D">
              <w:rPr>
                <w:rFonts w:eastAsia="Times New Roman" w:cs="Times New Roman"/>
                <w:b/>
                <w:bCs/>
                <w:szCs w:val="24"/>
              </w:rPr>
              <w:t>2019</w:t>
            </w:r>
          </w:p>
        </w:tc>
        <w:tc>
          <w:tcPr>
            <w:tcW w:w="153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4237670" w14:textId="702B6682" w:rsidR="004E7389" w:rsidRPr="00AE0B3D" w:rsidRDefault="008F7818" w:rsidP="000D1153">
            <w:pPr>
              <w:spacing w:after="0" w:line="240" w:lineRule="auto"/>
              <w:ind w:firstLine="0"/>
              <w:rPr>
                <w:rFonts w:eastAsia="Times New Roman" w:cs="Times New Roman"/>
                <w:b/>
                <w:bCs/>
                <w:szCs w:val="24"/>
              </w:rPr>
            </w:pPr>
            <w:r>
              <w:rPr>
                <w:rFonts w:eastAsia="Times New Roman" w:cs="Times New Roman"/>
                <w:b/>
                <w:bCs/>
                <w:szCs w:val="24"/>
              </w:rPr>
              <w:t>July 2021</w:t>
            </w:r>
          </w:p>
        </w:tc>
      </w:tr>
      <w:tr w:rsidR="00AE0B3D" w:rsidRPr="00AE0B3D" w14:paraId="0020E4D8" w14:textId="77777777" w:rsidTr="000D1153">
        <w:trPr>
          <w:trHeight w:val="458"/>
          <w:jc w:val="center"/>
        </w:trPr>
        <w:tc>
          <w:tcPr>
            <w:tcW w:w="2080" w:type="dxa"/>
            <w:vMerge/>
            <w:tcBorders>
              <w:top w:val="single" w:sz="8" w:space="0" w:color="auto"/>
              <w:left w:val="single" w:sz="8" w:space="0" w:color="auto"/>
              <w:bottom w:val="single" w:sz="8" w:space="0" w:color="000000"/>
              <w:right w:val="single" w:sz="8" w:space="0" w:color="auto"/>
            </w:tcBorders>
            <w:vAlign w:val="center"/>
            <w:hideMark/>
          </w:tcPr>
          <w:p w14:paraId="10880801" w14:textId="77777777" w:rsidR="004E7389" w:rsidRPr="00AE0B3D" w:rsidRDefault="004E7389" w:rsidP="000D1153">
            <w:pPr>
              <w:spacing w:after="0" w:line="240" w:lineRule="auto"/>
              <w:ind w:firstLine="0"/>
              <w:jc w:val="left"/>
              <w:rPr>
                <w:rFonts w:eastAsia="Times New Roman" w:cs="Times New Roman"/>
                <w:b/>
                <w:bCs/>
                <w:szCs w:val="24"/>
              </w:rPr>
            </w:pPr>
          </w:p>
        </w:tc>
        <w:tc>
          <w:tcPr>
            <w:tcW w:w="1700" w:type="dxa"/>
            <w:vMerge/>
            <w:tcBorders>
              <w:top w:val="single" w:sz="8" w:space="0" w:color="auto"/>
              <w:left w:val="single" w:sz="8" w:space="0" w:color="auto"/>
              <w:bottom w:val="single" w:sz="8" w:space="0" w:color="000000"/>
              <w:right w:val="single" w:sz="8" w:space="0" w:color="auto"/>
            </w:tcBorders>
            <w:vAlign w:val="center"/>
            <w:hideMark/>
          </w:tcPr>
          <w:p w14:paraId="4DA7DAF1" w14:textId="77777777" w:rsidR="004E7389" w:rsidRPr="00AE0B3D" w:rsidRDefault="004E7389" w:rsidP="000D1153">
            <w:pPr>
              <w:spacing w:after="0" w:line="240" w:lineRule="auto"/>
              <w:ind w:firstLine="0"/>
              <w:jc w:val="left"/>
              <w:rPr>
                <w:rFonts w:eastAsia="Times New Roman" w:cs="Times New Roman"/>
                <w:b/>
                <w:bCs/>
                <w:szCs w:val="24"/>
              </w:rPr>
            </w:pPr>
          </w:p>
        </w:tc>
        <w:tc>
          <w:tcPr>
            <w:tcW w:w="1440" w:type="dxa"/>
            <w:vMerge/>
            <w:tcBorders>
              <w:top w:val="single" w:sz="8" w:space="0" w:color="auto"/>
              <w:left w:val="single" w:sz="8" w:space="0" w:color="auto"/>
              <w:bottom w:val="single" w:sz="8" w:space="0" w:color="000000"/>
              <w:right w:val="single" w:sz="8" w:space="0" w:color="auto"/>
            </w:tcBorders>
            <w:vAlign w:val="center"/>
            <w:hideMark/>
          </w:tcPr>
          <w:p w14:paraId="3B871B74" w14:textId="77777777" w:rsidR="004E7389" w:rsidRPr="00AE0B3D" w:rsidRDefault="004E7389" w:rsidP="000D1153">
            <w:pPr>
              <w:spacing w:after="0" w:line="240" w:lineRule="auto"/>
              <w:ind w:firstLine="0"/>
              <w:jc w:val="left"/>
              <w:rPr>
                <w:rFonts w:eastAsia="Times New Roman" w:cs="Times New Roman"/>
                <w:b/>
                <w:bCs/>
                <w:szCs w:val="24"/>
              </w:rPr>
            </w:pPr>
          </w:p>
        </w:tc>
        <w:tc>
          <w:tcPr>
            <w:tcW w:w="1440" w:type="dxa"/>
            <w:vMerge/>
            <w:tcBorders>
              <w:top w:val="single" w:sz="8" w:space="0" w:color="auto"/>
              <w:left w:val="single" w:sz="8" w:space="0" w:color="auto"/>
              <w:bottom w:val="single" w:sz="8" w:space="0" w:color="000000"/>
              <w:right w:val="single" w:sz="8" w:space="0" w:color="auto"/>
            </w:tcBorders>
            <w:vAlign w:val="center"/>
            <w:hideMark/>
          </w:tcPr>
          <w:p w14:paraId="49350B0E" w14:textId="77777777" w:rsidR="004E7389" w:rsidRPr="00AE0B3D" w:rsidRDefault="004E7389" w:rsidP="000D1153">
            <w:pPr>
              <w:spacing w:after="0" w:line="240" w:lineRule="auto"/>
              <w:ind w:firstLine="0"/>
              <w:jc w:val="left"/>
              <w:rPr>
                <w:rFonts w:eastAsia="Times New Roman" w:cs="Times New Roman"/>
                <w:b/>
                <w:bCs/>
                <w:szCs w:val="24"/>
              </w:rPr>
            </w:pPr>
          </w:p>
        </w:tc>
        <w:tc>
          <w:tcPr>
            <w:tcW w:w="1530" w:type="dxa"/>
            <w:vMerge/>
            <w:tcBorders>
              <w:top w:val="single" w:sz="8" w:space="0" w:color="auto"/>
              <w:left w:val="single" w:sz="8" w:space="0" w:color="auto"/>
              <w:bottom w:val="single" w:sz="8" w:space="0" w:color="000000"/>
              <w:right w:val="single" w:sz="8" w:space="0" w:color="auto"/>
            </w:tcBorders>
            <w:vAlign w:val="center"/>
            <w:hideMark/>
          </w:tcPr>
          <w:p w14:paraId="12F5F0BB" w14:textId="77777777" w:rsidR="004E7389" w:rsidRPr="00AE0B3D" w:rsidRDefault="004E7389" w:rsidP="000D1153">
            <w:pPr>
              <w:spacing w:after="0" w:line="240" w:lineRule="auto"/>
              <w:ind w:firstLine="0"/>
              <w:jc w:val="left"/>
              <w:rPr>
                <w:rFonts w:eastAsia="Times New Roman" w:cs="Times New Roman"/>
                <w:b/>
                <w:bCs/>
                <w:szCs w:val="24"/>
              </w:rPr>
            </w:pPr>
          </w:p>
        </w:tc>
      </w:tr>
      <w:tr w:rsidR="00AE0B3D" w:rsidRPr="00AE0B3D" w14:paraId="3EE5C438" w14:textId="77777777" w:rsidTr="000D1153">
        <w:trPr>
          <w:trHeight w:val="645"/>
          <w:jc w:val="center"/>
        </w:trPr>
        <w:tc>
          <w:tcPr>
            <w:tcW w:w="2080" w:type="dxa"/>
            <w:tcBorders>
              <w:top w:val="nil"/>
              <w:left w:val="single" w:sz="8" w:space="0" w:color="auto"/>
              <w:bottom w:val="single" w:sz="8" w:space="0" w:color="auto"/>
              <w:right w:val="single" w:sz="8" w:space="0" w:color="auto"/>
            </w:tcBorders>
            <w:shd w:val="clear" w:color="auto" w:fill="auto"/>
            <w:vAlign w:val="center"/>
            <w:hideMark/>
          </w:tcPr>
          <w:p w14:paraId="08F7DAB5" w14:textId="77777777" w:rsidR="004E7389" w:rsidRPr="00AE0B3D" w:rsidRDefault="004E7389" w:rsidP="000D1153">
            <w:pPr>
              <w:spacing w:after="0" w:line="240" w:lineRule="auto"/>
              <w:ind w:firstLine="0"/>
              <w:jc w:val="left"/>
              <w:rPr>
                <w:rFonts w:eastAsia="Times New Roman" w:cs="Times New Roman"/>
                <w:szCs w:val="24"/>
              </w:rPr>
            </w:pPr>
            <w:r w:rsidRPr="00AE0B3D">
              <w:rPr>
                <w:rFonts w:eastAsia="Times New Roman" w:cs="Times New Roman"/>
                <w:szCs w:val="24"/>
              </w:rPr>
              <w:t xml:space="preserve">Topic selection and approval </w:t>
            </w:r>
          </w:p>
        </w:tc>
        <w:tc>
          <w:tcPr>
            <w:tcW w:w="1700" w:type="dxa"/>
            <w:tcBorders>
              <w:top w:val="nil"/>
              <w:left w:val="nil"/>
              <w:bottom w:val="single" w:sz="8" w:space="0" w:color="auto"/>
              <w:right w:val="single" w:sz="8" w:space="0" w:color="auto"/>
            </w:tcBorders>
            <w:shd w:val="clear" w:color="000000" w:fill="000000"/>
            <w:vAlign w:val="center"/>
            <w:hideMark/>
          </w:tcPr>
          <w:p w14:paraId="278E19FD"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440" w:type="dxa"/>
            <w:tcBorders>
              <w:top w:val="nil"/>
              <w:left w:val="nil"/>
              <w:bottom w:val="single" w:sz="8" w:space="0" w:color="auto"/>
              <w:right w:val="single" w:sz="8" w:space="0" w:color="auto"/>
            </w:tcBorders>
            <w:shd w:val="clear" w:color="auto" w:fill="auto"/>
            <w:vAlign w:val="center"/>
            <w:hideMark/>
          </w:tcPr>
          <w:p w14:paraId="1187C4AA"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440" w:type="dxa"/>
            <w:tcBorders>
              <w:top w:val="nil"/>
              <w:left w:val="nil"/>
              <w:bottom w:val="single" w:sz="8" w:space="0" w:color="auto"/>
              <w:right w:val="single" w:sz="8" w:space="0" w:color="auto"/>
            </w:tcBorders>
            <w:shd w:val="clear" w:color="auto" w:fill="auto"/>
            <w:vAlign w:val="center"/>
            <w:hideMark/>
          </w:tcPr>
          <w:p w14:paraId="2090561C"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530" w:type="dxa"/>
            <w:tcBorders>
              <w:top w:val="nil"/>
              <w:left w:val="nil"/>
              <w:bottom w:val="single" w:sz="8" w:space="0" w:color="auto"/>
              <w:right w:val="single" w:sz="8" w:space="0" w:color="auto"/>
            </w:tcBorders>
            <w:shd w:val="clear" w:color="auto" w:fill="auto"/>
            <w:vAlign w:val="center"/>
            <w:hideMark/>
          </w:tcPr>
          <w:p w14:paraId="5C442FAC"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r>
      <w:tr w:rsidR="00AE0B3D" w:rsidRPr="00AE0B3D" w14:paraId="4F0E5FA2" w14:textId="77777777" w:rsidTr="000D1153">
        <w:trPr>
          <w:trHeight w:val="645"/>
          <w:jc w:val="center"/>
        </w:trPr>
        <w:tc>
          <w:tcPr>
            <w:tcW w:w="2080" w:type="dxa"/>
            <w:tcBorders>
              <w:top w:val="nil"/>
              <w:left w:val="single" w:sz="8" w:space="0" w:color="auto"/>
              <w:bottom w:val="single" w:sz="8" w:space="0" w:color="auto"/>
              <w:right w:val="single" w:sz="8" w:space="0" w:color="auto"/>
            </w:tcBorders>
            <w:shd w:val="clear" w:color="auto" w:fill="auto"/>
            <w:vAlign w:val="center"/>
            <w:hideMark/>
          </w:tcPr>
          <w:p w14:paraId="0FA57BB4"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xml:space="preserve">Proposal development </w:t>
            </w:r>
          </w:p>
        </w:tc>
        <w:tc>
          <w:tcPr>
            <w:tcW w:w="1700" w:type="dxa"/>
            <w:tcBorders>
              <w:top w:val="nil"/>
              <w:left w:val="nil"/>
              <w:bottom w:val="single" w:sz="8" w:space="0" w:color="auto"/>
              <w:right w:val="single" w:sz="8" w:space="0" w:color="auto"/>
            </w:tcBorders>
            <w:shd w:val="clear" w:color="000000" w:fill="000000"/>
            <w:vAlign w:val="center"/>
            <w:hideMark/>
          </w:tcPr>
          <w:p w14:paraId="5A875652"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440" w:type="dxa"/>
            <w:tcBorders>
              <w:top w:val="nil"/>
              <w:left w:val="nil"/>
              <w:bottom w:val="single" w:sz="8" w:space="0" w:color="auto"/>
              <w:right w:val="single" w:sz="8" w:space="0" w:color="auto"/>
            </w:tcBorders>
            <w:shd w:val="clear" w:color="000000" w:fill="000000"/>
            <w:vAlign w:val="center"/>
            <w:hideMark/>
          </w:tcPr>
          <w:p w14:paraId="15076EE5"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440" w:type="dxa"/>
            <w:tcBorders>
              <w:top w:val="nil"/>
              <w:left w:val="nil"/>
              <w:bottom w:val="single" w:sz="8" w:space="0" w:color="auto"/>
              <w:right w:val="single" w:sz="8" w:space="0" w:color="auto"/>
            </w:tcBorders>
            <w:shd w:val="clear" w:color="auto" w:fill="auto"/>
            <w:vAlign w:val="center"/>
            <w:hideMark/>
          </w:tcPr>
          <w:p w14:paraId="5935F845"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530" w:type="dxa"/>
            <w:tcBorders>
              <w:top w:val="nil"/>
              <w:left w:val="nil"/>
              <w:bottom w:val="single" w:sz="8" w:space="0" w:color="auto"/>
              <w:right w:val="single" w:sz="8" w:space="0" w:color="auto"/>
            </w:tcBorders>
            <w:shd w:val="clear" w:color="auto" w:fill="auto"/>
            <w:vAlign w:val="center"/>
            <w:hideMark/>
          </w:tcPr>
          <w:p w14:paraId="068247EF"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r>
      <w:tr w:rsidR="00AE0B3D" w:rsidRPr="00AE0B3D" w14:paraId="66A048A3" w14:textId="77777777" w:rsidTr="000D1153">
        <w:trPr>
          <w:trHeight w:val="645"/>
          <w:jc w:val="center"/>
        </w:trPr>
        <w:tc>
          <w:tcPr>
            <w:tcW w:w="2080" w:type="dxa"/>
            <w:tcBorders>
              <w:top w:val="nil"/>
              <w:left w:val="single" w:sz="8" w:space="0" w:color="auto"/>
              <w:bottom w:val="single" w:sz="8" w:space="0" w:color="auto"/>
              <w:right w:val="single" w:sz="8" w:space="0" w:color="auto"/>
            </w:tcBorders>
            <w:shd w:val="clear" w:color="auto" w:fill="auto"/>
            <w:vAlign w:val="center"/>
            <w:hideMark/>
          </w:tcPr>
          <w:p w14:paraId="7577B273" w14:textId="2BBF0FD3"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xml:space="preserve">Proposal </w:t>
            </w:r>
            <w:r w:rsidR="00CE6E1B" w:rsidRPr="00AE0B3D">
              <w:rPr>
                <w:rFonts w:eastAsia="Times New Roman" w:cs="Times New Roman"/>
                <w:szCs w:val="24"/>
              </w:rPr>
              <w:t>defence</w:t>
            </w:r>
            <w:r w:rsidRPr="00AE0B3D">
              <w:rPr>
                <w:rFonts w:eastAsia="Times New Roman" w:cs="Times New Roman"/>
                <w:szCs w:val="24"/>
              </w:rPr>
              <w:t xml:space="preserve"> and submission </w:t>
            </w:r>
          </w:p>
        </w:tc>
        <w:tc>
          <w:tcPr>
            <w:tcW w:w="1700" w:type="dxa"/>
            <w:tcBorders>
              <w:top w:val="nil"/>
              <w:left w:val="nil"/>
              <w:bottom w:val="single" w:sz="8" w:space="0" w:color="auto"/>
              <w:right w:val="single" w:sz="8" w:space="0" w:color="auto"/>
            </w:tcBorders>
            <w:shd w:val="clear" w:color="auto" w:fill="auto"/>
            <w:vAlign w:val="center"/>
            <w:hideMark/>
          </w:tcPr>
          <w:p w14:paraId="0C05D580"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440" w:type="dxa"/>
            <w:tcBorders>
              <w:top w:val="nil"/>
              <w:left w:val="nil"/>
              <w:bottom w:val="single" w:sz="8" w:space="0" w:color="auto"/>
              <w:right w:val="single" w:sz="8" w:space="0" w:color="auto"/>
            </w:tcBorders>
            <w:shd w:val="clear" w:color="auto" w:fill="auto"/>
            <w:vAlign w:val="center"/>
            <w:hideMark/>
          </w:tcPr>
          <w:p w14:paraId="56DC3C62"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440" w:type="dxa"/>
            <w:tcBorders>
              <w:top w:val="nil"/>
              <w:left w:val="nil"/>
              <w:bottom w:val="single" w:sz="8" w:space="0" w:color="auto"/>
              <w:right w:val="single" w:sz="8" w:space="0" w:color="auto"/>
            </w:tcBorders>
            <w:shd w:val="clear" w:color="000000" w:fill="000000"/>
            <w:vAlign w:val="center"/>
            <w:hideMark/>
          </w:tcPr>
          <w:p w14:paraId="5A054DDF"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530" w:type="dxa"/>
            <w:tcBorders>
              <w:top w:val="nil"/>
              <w:left w:val="nil"/>
              <w:bottom w:val="single" w:sz="8" w:space="0" w:color="auto"/>
              <w:right w:val="single" w:sz="8" w:space="0" w:color="auto"/>
            </w:tcBorders>
            <w:shd w:val="clear" w:color="auto" w:fill="auto"/>
            <w:vAlign w:val="center"/>
            <w:hideMark/>
          </w:tcPr>
          <w:p w14:paraId="18894ECA"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r>
      <w:tr w:rsidR="00AE0B3D" w:rsidRPr="00AE0B3D" w14:paraId="521F2EE9" w14:textId="77777777" w:rsidTr="000D1153">
        <w:trPr>
          <w:trHeight w:val="330"/>
          <w:jc w:val="center"/>
        </w:trPr>
        <w:tc>
          <w:tcPr>
            <w:tcW w:w="2080" w:type="dxa"/>
            <w:tcBorders>
              <w:top w:val="nil"/>
              <w:left w:val="single" w:sz="8" w:space="0" w:color="auto"/>
              <w:bottom w:val="single" w:sz="8" w:space="0" w:color="auto"/>
              <w:right w:val="single" w:sz="8" w:space="0" w:color="auto"/>
            </w:tcBorders>
            <w:shd w:val="clear" w:color="auto" w:fill="auto"/>
            <w:vAlign w:val="center"/>
            <w:hideMark/>
          </w:tcPr>
          <w:p w14:paraId="2E0F8A54"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xml:space="preserve">Data collection </w:t>
            </w:r>
          </w:p>
        </w:tc>
        <w:tc>
          <w:tcPr>
            <w:tcW w:w="1700" w:type="dxa"/>
            <w:tcBorders>
              <w:top w:val="nil"/>
              <w:left w:val="nil"/>
              <w:bottom w:val="single" w:sz="8" w:space="0" w:color="auto"/>
              <w:right w:val="single" w:sz="8" w:space="0" w:color="auto"/>
            </w:tcBorders>
            <w:shd w:val="clear" w:color="auto" w:fill="auto"/>
            <w:vAlign w:val="center"/>
            <w:hideMark/>
          </w:tcPr>
          <w:p w14:paraId="253A8EAF"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440" w:type="dxa"/>
            <w:tcBorders>
              <w:top w:val="nil"/>
              <w:left w:val="nil"/>
              <w:bottom w:val="single" w:sz="8" w:space="0" w:color="auto"/>
              <w:right w:val="single" w:sz="8" w:space="0" w:color="auto"/>
            </w:tcBorders>
            <w:shd w:val="clear" w:color="auto" w:fill="auto"/>
            <w:vAlign w:val="center"/>
            <w:hideMark/>
          </w:tcPr>
          <w:p w14:paraId="5280A511"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440" w:type="dxa"/>
            <w:tcBorders>
              <w:top w:val="nil"/>
              <w:left w:val="nil"/>
              <w:bottom w:val="single" w:sz="8" w:space="0" w:color="auto"/>
              <w:right w:val="single" w:sz="8" w:space="0" w:color="auto"/>
            </w:tcBorders>
            <w:shd w:val="clear" w:color="000000" w:fill="000000"/>
            <w:vAlign w:val="center"/>
            <w:hideMark/>
          </w:tcPr>
          <w:p w14:paraId="2C4960AF"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530" w:type="dxa"/>
            <w:tcBorders>
              <w:top w:val="nil"/>
              <w:left w:val="nil"/>
              <w:bottom w:val="single" w:sz="8" w:space="0" w:color="auto"/>
              <w:right w:val="single" w:sz="8" w:space="0" w:color="auto"/>
            </w:tcBorders>
            <w:shd w:val="clear" w:color="auto" w:fill="auto"/>
            <w:vAlign w:val="center"/>
            <w:hideMark/>
          </w:tcPr>
          <w:p w14:paraId="160ED572"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r>
      <w:tr w:rsidR="00AE0B3D" w:rsidRPr="00AE0B3D" w14:paraId="2CC9A9DD" w14:textId="77777777" w:rsidTr="000D1153">
        <w:trPr>
          <w:trHeight w:val="330"/>
          <w:jc w:val="center"/>
        </w:trPr>
        <w:tc>
          <w:tcPr>
            <w:tcW w:w="2080" w:type="dxa"/>
            <w:tcBorders>
              <w:top w:val="nil"/>
              <w:left w:val="single" w:sz="8" w:space="0" w:color="auto"/>
              <w:bottom w:val="single" w:sz="8" w:space="0" w:color="auto"/>
              <w:right w:val="single" w:sz="8" w:space="0" w:color="auto"/>
            </w:tcBorders>
            <w:shd w:val="clear" w:color="auto" w:fill="auto"/>
            <w:vAlign w:val="center"/>
            <w:hideMark/>
          </w:tcPr>
          <w:p w14:paraId="115778D7"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xml:space="preserve">Data analysis </w:t>
            </w:r>
          </w:p>
        </w:tc>
        <w:tc>
          <w:tcPr>
            <w:tcW w:w="1700" w:type="dxa"/>
            <w:tcBorders>
              <w:top w:val="nil"/>
              <w:left w:val="nil"/>
              <w:bottom w:val="single" w:sz="8" w:space="0" w:color="auto"/>
              <w:right w:val="single" w:sz="8" w:space="0" w:color="auto"/>
            </w:tcBorders>
            <w:shd w:val="clear" w:color="auto" w:fill="auto"/>
            <w:vAlign w:val="center"/>
            <w:hideMark/>
          </w:tcPr>
          <w:p w14:paraId="63C37B90"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440" w:type="dxa"/>
            <w:tcBorders>
              <w:top w:val="nil"/>
              <w:left w:val="nil"/>
              <w:bottom w:val="single" w:sz="8" w:space="0" w:color="auto"/>
              <w:right w:val="single" w:sz="8" w:space="0" w:color="auto"/>
            </w:tcBorders>
            <w:shd w:val="clear" w:color="auto" w:fill="auto"/>
            <w:vAlign w:val="center"/>
            <w:hideMark/>
          </w:tcPr>
          <w:p w14:paraId="5D682AA3"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440" w:type="dxa"/>
            <w:tcBorders>
              <w:top w:val="nil"/>
              <w:left w:val="nil"/>
              <w:bottom w:val="single" w:sz="8" w:space="0" w:color="auto"/>
              <w:right w:val="single" w:sz="8" w:space="0" w:color="auto"/>
            </w:tcBorders>
            <w:shd w:val="clear" w:color="000000" w:fill="000000"/>
            <w:vAlign w:val="center"/>
            <w:hideMark/>
          </w:tcPr>
          <w:p w14:paraId="00389B91"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530" w:type="dxa"/>
            <w:tcBorders>
              <w:top w:val="nil"/>
              <w:left w:val="nil"/>
              <w:bottom w:val="single" w:sz="8" w:space="0" w:color="auto"/>
              <w:right w:val="single" w:sz="8" w:space="0" w:color="auto"/>
            </w:tcBorders>
            <w:shd w:val="clear" w:color="000000" w:fill="000000"/>
            <w:vAlign w:val="center"/>
            <w:hideMark/>
          </w:tcPr>
          <w:p w14:paraId="16B4AFD1"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r>
      <w:tr w:rsidR="00AE0B3D" w:rsidRPr="00AE0B3D" w14:paraId="378A253A" w14:textId="77777777" w:rsidTr="000D1153">
        <w:trPr>
          <w:trHeight w:val="645"/>
          <w:jc w:val="center"/>
        </w:trPr>
        <w:tc>
          <w:tcPr>
            <w:tcW w:w="2080" w:type="dxa"/>
            <w:tcBorders>
              <w:top w:val="nil"/>
              <w:left w:val="single" w:sz="8" w:space="0" w:color="auto"/>
              <w:bottom w:val="single" w:sz="8" w:space="0" w:color="auto"/>
              <w:right w:val="single" w:sz="8" w:space="0" w:color="auto"/>
            </w:tcBorders>
            <w:shd w:val="clear" w:color="auto" w:fill="auto"/>
            <w:vAlign w:val="center"/>
            <w:hideMark/>
          </w:tcPr>
          <w:p w14:paraId="4F864953"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Report writing and proof reading</w:t>
            </w:r>
          </w:p>
        </w:tc>
        <w:tc>
          <w:tcPr>
            <w:tcW w:w="1700" w:type="dxa"/>
            <w:tcBorders>
              <w:top w:val="nil"/>
              <w:left w:val="nil"/>
              <w:bottom w:val="single" w:sz="8" w:space="0" w:color="auto"/>
              <w:right w:val="single" w:sz="8" w:space="0" w:color="auto"/>
            </w:tcBorders>
            <w:shd w:val="clear" w:color="auto" w:fill="auto"/>
            <w:vAlign w:val="center"/>
            <w:hideMark/>
          </w:tcPr>
          <w:p w14:paraId="6DB7D07D"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440" w:type="dxa"/>
            <w:tcBorders>
              <w:top w:val="nil"/>
              <w:left w:val="nil"/>
              <w:bottom w:val="single" w:sz="8" w:space="0" w:color="auto"/>
              <w:right w:val="single" w:sz="8" w:space="0" w:color="auto"/>
            </w:tcBorders>
            <w:shd w:val="clear" w:color="auto" w:fill="auto"/>
            <w:vAlign w:val="center"/>
            <w:hideMark/>
          </w:tcPr>
          <w:p w14:paraId="3FC6355C"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440" w:type="dxa"/>
            <w:tcBorders>
              <w:top w:val="nil"/>
              <w:left w:val="nil"/>
              <w:bottom w:val="single" w:sz="8" w:space="0" w:color="auto"/>
              <w:right w:val="single" w:sz="8" w:space="0" w:color="auto"/>
            </w:tcBorders>
            <w:shd w:val="clear" w:color="000000" w:fill="FFFFFF"/>
            <w:vAlign w:val="center"/>
            <w:hideMark/>
          </w:tcPr>
          <w:p w14:paraId="31F9DE45"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530" w:type="dxa"/>
            <w:tcBorders>
              <w:top w:val="nil"/>
              <w:left w:val="nil"/>
              <w:bottom w:val="single" w:sz="8" w:space="0" w:color="auto"/>
              <w:right w:val="single" w:sz="8" w:space="0" w:color="auto"/>
            </w:tcBorders>
            <w:shd w:val="clear" w:color="000000" w:fill="000000"/>
            <w:vAlign w:val="center"/>
            <w:hideMark/>
          </w:tcPr>
          <w:p w14:paraId="59D0BA5B"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r>
      <w:tr w:rsidR="00AE0B3D" w:rsidRPr="00AE0B3D" w14:paraId="100F0ABD" w14:textId="77777777" w:rsidTr="000D1153">
        <w:trPr>
          <w:trHeight w:val="330"/>
          <w:jc w:val="center"/>
        </w:trPr>
        <w:tc>
          <w:tcPr>
            <w:tcW w:w="2080" w:type="dxa"/>
            <w:tcBorders>
              <w:top w:val="nil"/>
              <w:left w:val="single" w:sz="8" w:space="0" w:color="auto"/>
              <w:bottom w:val="single" w:sz="8" w:space="0" w:color="auto"/>
              <w:right w:val="single" w:sz="8" w:space="0" w:color="auto"/>
            </w:tcBorders>
            <w:shd w:val="clear" w:color="auto" w:fill="auto"/>
            <w:vAlign w:val="center"/>
            <w:hideMark/>
          </w:tcPr>
          <w:p w14:paraId="49C2F8B0"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xml:space="preserve">Project submission </w:t>
            </w:r>
          </w:p>
        </w:tc>
        <w:tc>
          <w:tcPr>
            <w:tcW w:w="1700" w:type="dxa"/>
            <w:tcBorders>
              <w:top w:val="nil"/>
              <w:left w:val="nil"/>
              <w:bottom w:val="single" w:sz="8" w:space="0" w:color="auto"/>
              <w:right w:val="single" w:sz="8" w:space="0" w:color="auto"/>
            </w:tcBorders>
            <w:shd w:val="clear" w:color="auto" w:fill="auto"/>
            <w:vAlign w:val="center"/>
            <w:hideMark/>
          </w:tcPr>
          <w:p w14:paraId="57CB50E0"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440" w:type="dxa"/>
            <w:tcBorders>
              <w:top w:val="nil"/>
              <w:left w:val="nil"/>
              <w:bottom w:val="single" w:sz="8" w:space="0" w:color="auto"/>
              <w:right w:val="single" w:sz="8" w:space="0" w:color="auto"/>
            </w:tcBorders>
            <w:shd w:val="clear" w:color="auto" w:fill="auto"/>
            <w:vAlign w:val="center"/>
            <w:hideMark/>
          </w:tcPr>
          <w:p w14:paraId="2DEA9285"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440" w:type="dxa"/>
            <w:tcBorders>
              <w:top w:val="nil"/>
              <w:left w:val="nil"/>
              <w:bottom w:val="single" w:sz="8" w:space="0" w:color="auto"/>
              <w:right w:val="single" w:sz="8" w:space="0" w:color="auto"/>
            </w:tcBorders>
            <w:shd w:val="clear" w:color="auto" w:fill="auto"/>
            <w:vAlign w:val="center"/>
            <w:hideMark/>
          </w:tcPr>
          <w:p w14:paraId="1B03B66F"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c>
          <w:tcPr>
            <w:tcW w:w="1530" w:type="dxa"/>
            <w:tcBorders>
              <w:top w:val="nil"/>
              <w:left w:val="nil"/>
              <w:bottom w:val="single" w:sz="8" w:space="0" w:color="auto"/>
              <w:right w:val="single" w:sz="8" w:space="0" w:color="auto"/>
            </w:tcBorders>
            <w:shd w:val="clear" w:color="000000" w:fill="000000"/>
            <w:vAlign w:val="center"/>
            <w:hideMark/>
          </w:tcPr>
          <w:p w14:paraId="787A8A0D" w14:textId="77777777" w:rsidR="004E7389" w:rsidRPr="00AE0B3D" w:rsidRDefault="004E7389" w:rsidP="000D1153">
            <w:pPr>
              <w:spacing w:after="0" w:line="240" w:lineRule="auto"/>
              <w:ind w:firstLine="0"/>
              <w:rPr>
                <w:rFonts w:eastAsia="Times New Roman" w:cs="Times New Roman"/>
                <w:szCs w:val="24"/>
              </w:rPr>
            </w:pPr>
            <w:r w:rsidRPr="00AE0B3D">
              <w:rPr>
                <w:rFonts w:eastAsia="Times New Roman" w:cs="Times New Roman"/>
                <w:szCs w:val="24"/>
              </w:rPr>
              <w:t> </w:t>
            </w:r>
          </w:p>
        </w:tc>
      </w:tr>
    </w:tbl>
    <w:p w14:paraId="2C1BAB6F" w14:textId="77777777" w:rsidR="004E7389" w:rsidRPr="00AE0B3D" w:rsidRDefault="004E7389" w:rsidP="004E7389">
      <w:pPr>
        <w:rPr>
          <w:rFonts w:cs="Times New Roman"/>
        </w:rPr>
      </w:pPr>
    </w:p>
    <w:p w14:paraId="3C8C92B2" w14:textId="77777777" w:rsidR="004E7389" w:rsidRPr="00AE0B3D" w:rsidRDefault="004E7389" w:rsidP="004E7389">
      <w:pPr>
        <w:pStyle w:val="Heading2"/>
        <w:numPr>
          <w:ilvl w:val="0"/>
          <w:numId w:val="0"/>
        </w:numPr>
        <w:ind w:left="576"/>
        <w:rPr>
          <w:rFonts w:cs="Times New Roman"/>
        </w:rPr>
      </w:pPr>
      <w:bookmarkStart w:id="90" w:name="_Toc78067544"/>
      <w:r w:rsidRPr="00AE0B3D">
        <w:rPr>
          <w:rFonts w:cs="Times New Roman"/>
        </w:rPr>
        <w:t>Appendix 2: Budget</w:t>
      </w:r>
      <w:bookmarkEnd w:id="90"/>
    </w:p>
    <w:tbl>
      <w:tblPr>
        <w:tblW w:w="7140" w:type="dxa"/>
        <w:tblInd w:w="1116" w:type="dxa"/>
        <w:tblLook w:val="04A0" w:firstRow="1" w:lastRow="0" w:firstColumn="1" w:lastColumn="0" w:noHBand="0" w:noVBand="1"/>
      </w:tblPr>
      <w:tblGrid>
        <w:gridCol w:w="2559"/>
        <w:gridCol w:w="920"/>
        <w:gridCol w:w="1509"/>
        <w:gridCol w:w="1479"/>
        <w:gridCol w:w="1057"/>
      </w:tblGrid>
      <w:tr w:rsidR="00AE0B3D" w:rsidRPr="00AE0B3D" w14:paraId="14497DE5" w14:textId="77777777" w:rsidTr="000D1153">
        <w:trPr>
          <w:trHeight w:val="300"/>
        </w:trPr>
        <w:tc>
          <w:tcPr>
            <w:tcW w:w="2560" w:type="dxa"/>
            <w:tcBorders>
              <w:top w:val="single" w:sz="4" w:space="0" w:color="auto"/>
              <w:left w:val="nil"/>
              <w:bottom w:val="single" w:sz="4" w:space="0" w:color="auto"/>
              <w:right w:val="nil"/>
            </w:tcBorders>
            <w:shd w:val="clear" w:color="auto" w:fill="auto"/>
            <w:noWrap/>
            <w:hideMark/>
          </w:tcPr>
          <w:p w14:paraId="77E49A8A" w14:textId="77777777" w:rsidR="004E7389" w:rsidRPr="00AE0B3D" w:rsidRDefault="004E7389" w:rsidP="000D1153">
            <w:pPr>
              <w:spacing w:after="0" w:line="240" w:lineRule="auto"/>
              <w:ind w:firstLine="0"/>
              <w:jc w:val="center"/>
              <w:rPr>
                <w:rFonts w:eastAsia="Times New Roman" w:cs="Times New Roman"/>
                <w:b/>
                <w:bCs/>
              </w:rPr>
            </w:pPr>
            <w:r w:rsidRPr="00AE0B3D">
              <w:rPr>
                <w:rFonts w:eastAsia="Times New Roman" w:cs="Times New Roman"/>
                <w:b/>
                <w:bCs/>
              </w:rPr>
              <w:t>Task</w:t>
            </w:r>
          </w:p>
        </w:tc>
        <w:tc>
          <w:tcPr>
            <w:tcW w:w="920" w:type="dxa"/>
            <w:tcBorders>
              <w:top w:val="single" w:sz="4" w:space="0" w:color="auto"/>
              <w:left w:val="nil"/>
              <w:bottom w:val="single" w:sz="4" w:space="0" w:color="auto"/>
              <w:right w:val="nil"/>
            </w:tcBorders>
            <w:shd w:val="clear" w:color="auto" w:fill="auto"/>
            <w:noWrap/>
            <w:hideMark/>
          </w:tcPr>
          <w:p w14:paraId="1809A535" w14:textId="77777777" w:rsidR="004E7389" w:rsidRPr="00AE0B3D" w:rsidRDefault="004E7389" w:rsidP="000D1153">
            <w:pPr>
              <w:spacing w:after="0" w:line="240" w:lineRule="auto"/>
              <w:ind w:firstLine="0"/>
              <w:jc w:val="center"/>
              <w:rPr>
                <w:rFonts w:eastAsia="Times New Roman" w:cs="Times New Roman"/>
                <w:b/>
                <w:bCs/>
              </w:rPr>
            </w:pPr>
            <w:r w:rsidRPr="00AE0B3D">
              <w:rPr>
                <w:rFonts w:eastAsia="Times New Roman" w:cs="Times New Roman"/>
                <w:b/>
                <w:bCs/>
              </w:rPr>
              <w:t>UNIT</w:t>
            </w:r>
          </w:p>
        </w:tc>
        <w:tc>
          <w:tcPr>
            <w:tcW w:w="1180" w:type="dxa"/>
            <w:tcBorders>
              <w:top w:val="single" w:sz="4" w:space="0" w:color="auto"/>
              <w:left w:val="nil"/>
              <w:bottom w:val="single" w:sz="4" w:space="0" w:color="auto"/>
              <w:right w:val="nil"/>
            </w:tcBorders>
            <w:shd w:val="clear" w:color="auto" w:fill="auto"/>
            <w:noWrap/>
            <w:hideMark/>
          </w:tcPr>
          <w:p w14:paraId="4513AC82" w14:textId="77777777" w:rsidR="004E7389" w:rsidRPr="00AE0B3D" w:rsidRDefault="004E7389" w:rsidP="000D1153">
            <w:pPr>
              <w:spacing w:after="0" w:line="240" w:lineRule="auto"/>
              <w:ind w:firstLine="0"/>
              <w:jc w:val="center"/>
              <w:rPr>
                <w:rFonts w:eastAsia="Times New Roman" w:cs="Times New Roman"/>
                <w:b/>
                <w:bCs/>
              </w:rPr>
            </w:pPr>
            <w:r w:rsidRPr="00AE0B3D">
              <w:rPr>
                <w:rFonts w:eastAsia="Times New Roman" w:cs="Times New Roman"/>
                <w:b/>
                <w:bCs/>
              </w:rPr>
              <w:t>QUANTITY</w:t>
            </w:r>
          </w:p>
        </w:tc>
        <w:tc>
          <w:tcPr>
            <w:tcW w:w="1480" w:type="dxa"/>
            <w:tcBorders>
              <w:top w:val="single" w:sz="4" w:space="0" w:color="auto"/>
              <w:left w:val="nil"/>
              <w:bottom w:val="single" w:sz="4" w:space="0" w:color="auto"/>
              <w:right w:val="nil"/>
            </w:tcBorders>
            <w:shd w:val="clear" w:color="auto" w:fill="auto"/>
            <w:noWrap/>
            <w:hideMark/>
          </w:tcPr>
          <w:p w14:paraId="1ECDD14B" w14:textId="77777777" w:rsidR="004E7389" w:rsidRPr="00AE0B3D" w:rsidRDefault="004E7389" w:rsidP="000D1153">
            <w:pPr>
              <w:spacing w:after="0" w:line="240" w:lineRule="auto"/>
              <w:ind w:firstLine="0"/>
              <w:jc w:val="center"/>
              <w:rPr>
                <w:rFonts w:eastAsia="Times New Roman" w:cs="Times New Roman"/>
                <w:b/>
                <w:bCs/>
              </w:rPr>
            </w:pPr>
            <w:r w:rsidRPr="00AE0B3D">
              <w:rPr>
                <w:rFonts w:eastAsia="Times New Roman" w:cs="Times New Roman"/>
                <w:b/>
                <w:bCs/>
              </w:rPr>
              <w:t>COST PER ITEM</w:t>
            </w:r>
          </w:p>
        </w:tc>
        <w:tc>
          <w:tcPr>
            <w:tcW w:w="1000" w:type="dxa"/>
            <w:tcBorders>
              <w:top w:val="single" w:sz="4" w:space="0" w:color="auto"/>
              <w:left w:val="nil"/>
              <w:bottom w:val="single" w:sz="4" w:space="0" w:color="auto"/>
              <w:right w:val="nil"/>
            </w:tcBorders>
            <w:shd w:val="clear" w:color="auto" w:fill="auto"/>
            <w:noWrap/>
            <w:hideMark/>
          </w:tcPr>
          <w:p w14:paraId="58E2EA75" w14:textId="77777777" w:rsidR="004E7389" w:rsidRPr="00AE0B3D" w:rsidRDefault="004E7389" w:rsidP="000D1153">
            <w:pPr>
              <w:spacing w:after="0" w:line="240" w:lineRule="auto"/>
              <w:ind w:firstLine="0"/>
              <w:jc w:val="center"/>
              <w:rPr>
                <w:rFonts w:eastAsia="Times New Roman" w:cs="Times New Roman"/>
                <w:b/>
                <w:bCs/>
              </w:rPr>
            </w:pPr>
            <w:r w:rsidRPr="00AE0B3D">
              <w:rPr>
                <w:rFonts w:eastAsia="Times New Roman" w:cs="Times New Roman"/>
                <w:b/>
                <w:bCs/>
              </w:rPr>
              <w:t>TOTAL</w:t>
            </w:r>
          </w:p>
        </w:tc>
      </w:tr>
      <w:tr w:rsidR="00AE0B3D" w:rsidRPr="00AE0B3D" w14:paraId="6B27B366" w14:textId="77777777" w:rsidTr="000D1153">
        <w:trPr>
          <w:trHeight w:val="300"/>
        </w:trPr>
        <w:tc>
          <w:tcPr>
            <w:tcW w:w="2560" w:type="dxa"/>
            <w:tcBorders>
              <w:top w:val="nil"/>
              <w:left w:val="nil"/>
              <w:bottom w:val="nil"/>
              <w:right w:val="nil"/>
            </w:tcBorders>
            <w:shd w:val="clear" w:color="auto" w:fill="auto"/>
            <w:noWrap/>
            <w:hideMark/>
          </w:tcPr>
          <w:p w14:paraId="626F898A" w14:textId="77777777" w:rsidR="004E7389" w:rsidRPr="00AE0B3D" w:rsidRDefault="004E7389" w:rsidP="000D1153">
            <w:pPr>
              <w:spacing w:after="0" w:line="240" w:lineRule="auto"/>
              <w:ind w:firstLine="0"/>
              <w:jc w:val="left"/>
              <w:rPr>
                <w:rFonts w:eastAsia="Times New Roman" w:cs="Times New Roman"/>
              </w:rPr>
            </w:pPr>
            <w:r w:rsidRPr="00AE0B3D">
              <w:rPr>
                <w:rFonts w:eastAsia="Times New Roman" w:cs="Times New Roman"/>
              </w:rPr>
              <w:t>Photo copying</w:t>
            </w:r>
          </w:p>
        </w:tc>
        <w:tc>
          <w:tcPr>
            <w:tcW w:w="920" w:type="dxa"/>
            <w:tcBorders>
              <w:top w:val="nil"/>
              <w:left w:val="nil"/>
              <w:bottom w:val="nil"/>
              <w:right w:val="nil"/>
            </w:tcBorders>
            <w:shd w:val="clear" w:color="auto" w:fill="auto"/>
            <w:noWrap/>
            <w:hideMark/>
          </w:tcPr>
          <w:p w14:paraId="6BFC5AAE" w14:textId="77777777" w:rsidR="004E7389" w:rsidRPr="00AE0B3D" w:rsidRDefault="004E7389" w:rsidP="000D1153">
            <w:pPr>
              <w:spacing w:after="0" w:line="240" w:lineRule="auto"/>
              <w:ind w:firstLine="0"/>
              <w:jc w:val="left"/>
              <w:rPr>
                <w:rFonts w:eastAsia="Times New Roman" w:cs="Times New Roman"/>
              </w:rPr>
            </w:pPr>
            <w:r w:rsidRPr="00AE0B3D">
              <w:rPr>
                <w:rFonts w:eastAsia="Times New Roman" w:cs="Times New Roman"/>
              </w:rPr>
              <w:t>Item</w:t>
            </w:r>
          </w:p>
        </w:tc>
        <w:tc>
          <w:tcPr>
            <w:tcW w:w="1180" w:type="dxa"/>
            <w:tcBorders>
              <w:top w:val="nil"/>
              <w:left w:val="nil"/>
              <w:bottom w:val="nil"/>
              <w:right w:val="nil"/>
            </w:tcBorders>
            <w:shd w:val="clear" w:color="auto" w:fill="auto"/>
            <w:noWrap/>
            <w:hideMark/>
          </w:tcPr>
          <w:p w14:paraId="4B2FC676" w14:textId="77777777" w:rsidR="004E7389" w:rsidRPr="00AE0B3D" w:rsidRDefault="004E7389" w:rsidP="000D1153">
            <w:pPr>
              <w:spacing w:after="0" w:line="240" w:lineRule="auto"/>
              <w:ind w:firstLine="0"/>
              <w:jc w:val="center"/>
              <w:rPr>
                <w:rFonts w:eastAsia="Times New Roman" w:cs="Times New Roman"/>
              </w:rPr>
            </w:pPr>
            <w:r w:rsidRPr="00AE0B3D">
              <w:rPr>
                <w:rFonts w:eastAsia="Times New Roman" w:cs="Times New Roman"/>
              </w:rPr>
              <w:t>1500</w:t>
            </w:r>
          </w:p>
        </w:tc>
        <w:tc>
          <w:tcPr>
            <w:tcW w:w="1480" w:type="dxa"/>
            <w:tcBorders>
              <w:top w:val="nil"/>
              <w:left w:val="nil"/>
              <w:bottom w:val="nil"/>
              <w:right w:val="nil"/>
            </w:tcBorders>
            <w:shd w:val="clear" w:color="auto" w:fill="auto"/>
            <w:noWrap/>
            <w:hideMark/>
          </w:tcPr>
          <w:p w14:paraId="02DD8373" w14:textId="77777777" w:rsidR="004E7389" w:rsidRPr="00AE0B3D" w:rsidRDefault="004E7389" w:rsidP="000D1153">
            <w:pPr>
              <w:spacing w:after="0" w:line="240" w:lineRule="auto"/>
              <w:ind w:firstLine="0"/>
              <w:jc w:val="center"/>
              <w:rPr>
                <w:rFonts w:eastAsia="Times New Roman" w:cs="Times New Roman"/>
              </w:rPr>
            </w:pPr>
            <w:r w:rsidRPr="00AE0B3D">
              <w:rPr>
                <w:rFonts w:eastAsia="Times New Roman" w:cs="Times New Roman"/>
              </w:rPr>
              <w:t>3</w:t>
            </w:r>
          </w:p>
        </w:tc>
        <w:tc>
          <w:tcPr>
            <w:tcW w:w="1000" w:type="dxa"/>
            <w:tcBorders>
              <w:top w:val="nil"/>
              <w:left w:val="nil"/>
              <w:bottom w:val="nil"/>
              <w:right w:val="nil"/>
            </w:tcBorders>
            <w:shd w:val="clear" w:color="auto" w:fill="auto"/>
            <w:noWrap/>
            <w:hideMark/>
          </w:tcPr>
          <w:p w14:paraId="07087972" w14:textId="77777777" w:rsidR="004E7389" w:rsidRPr="00AE0B3D" w:rsidRDefault="004E7389" w:rsidP="000D1153">
            <w:pPr>
              <w:spacing w:after="0" w:line="240" w:lineRule="auto"/>
              <w:ind w:firstLine="0"/>
              <w:jc w:val="center"/>
              <w:rPr>
                <w:rFonts w:eastAsia="Times New Roman" w:cs="Times New Roman"/>
              </w:rPr>
            </w:pPr>
            <w:r w:rsidRPr="00AE0B3D">
              <w:rPr>
                <w:rFonts w:eastAsia="Times New Roman" w:cs="Times New Roman"/>
              </w:rPr>
              <w:t>4500</w:t>
            </w:r>
          </w:p>
        </w:tc>
      </w:tr>
      <w:tr w:rsidR="00AE0B3D" w:rsidRPr="00AE0B3D" w14:paraId="061F08B0" w14:textId="77777777" w:rsidTr="000D1153">
        <w:trPr>
          <w:trHeight w:val="600"/>
        </w:trPr>
        <w:tc>
          <w:tcPr>
            <w:tcW w:w="2560" w:type="dxa"/>
            <w:tcBorders>
              <w:top w:val="nil"/>
              <w:left w:val="nil"/>
              <w:bottom w:val="nil"/>
              <w:right w:val="nil"/>
            </w:tcBorders>
            <w:shd w:val="clear" w:color="auto" w:fill="auto"/>
            <w:hideMark/>
          </w:tcPr>
          <w:p w14:paraId="6D1A4E99" w14:textId="77777777" w:rsidR="004E7389" w:rsidRPr="00AE0B3D" w:rsidRDefault="004E7389" w:rsidP="000D1153">
            <w:pPr>
              <w:spacing w:after="0" w:line="240" w:lineRule="auto"/>
              <w:ind w:firstLine="0"/>
              <w:jc w:val="left"/>
              <w:rPr>
                <w:rFonts w:eastAsia="Times New Roman" w:cs="Times New Roman"/>
              </w:rPr>
            </w:pPr>
            <w:r w:rsidRPr="00AE0B3D">
              <w:rPr>
                <w:rFonts w:eastAsia="Times New Roman" w:cs="Times New Roman"/>
              </w:rPr>
              <w:t>Data collection and analysis</w:t>
            </w:r>
          </w:p>
        </w:tc>
        <w:tc>
          <w:tcPr>
            <w:tcW w:w="920" w:type="dxa"/>
            <w:tcBorders>
              <w:top w:val="nil"/>
              <w:left w:val="nil"/>
              <w:bottom w:val="nil"/>
              <w:right w:val="nil"/>
            </w:tcBorders>
            <w:shd w:val="clear" w:color="auto" w:fill="auto"/>
            <w:noWrap/>
            <w:hideMark/>
          </w:tcPr>
          <w:p w14:paraId="25462C8F" w14:textId="77777777" w:rsidR="004E7389" w:rsidRPr="00AE0B3D" w:rsidRDefault="004E7389" w:rsidP="000D1153">
            <w:pPr>
              <w:spacing w:after="0" w:line="240" w:lineRule="auto"/>
              <w:ind w:firstLine="0"/>
              <w:jc w:val="left"/>
              <w:rPr>
                <w:rFonts w:eastAsia="Times New Roman" w:cs="Times New Roman"/>
              </w:rPr>
            </w:pPr>
          </w:p>
        </w:tc>
        <w:tc>
          <w:tcPr>
            <w:tcW w:w="1180" w:type="dxa"/>
            <w:tcBorders>
              <w:top w:val="nil"/>
              <w:left w:val="nil"/>
              <w:bottom w:val="nil"/>
              <w:right w:val="nil"/>
            </w:tcBorders>
            <w:shd w:val="clear" w:color="auto" w:fill="auto"/>
            <w:noWrap/>
            <w:hideMark/>
          </w:tcPr>
          <w:p w14:paraId="10282FDC" w14:textId="77777777" w:rsidR="004E7389" w:rsidRPr="00AE0B3D" w:rsidRDefault="004E7389" w:rsidP="000D1153">
            <w:pPr>
              <w:spacing w:after="0" w:line="240" w:lineRule="auto"/>
              <w:ind w:firstLine="0"/>
              <w:jc w:val="center"/>
              <w:rPr>
                <w:rFonts w:eastAsia="Times New Roman" w:cs="Times New Roman"/>
              </w:rPr>
            </w:pPr>
            <w:r w:rsidRPr="00AE0B3D">
              <w:rPr>
                <w:rFonts w:eastAsia="Times New Roman" w:cs="Times New Roman"/>
              </w:rPr>
              <w:t>24</w:t>
            </w:r>
          </w:p>
        </w:tc>
        <w:tc>
          <w:tcPr>
            <w:tcW w:w="1480" w:type="dxa"/>
            <w:tcBorders>
              <w:top w:val="nil"/>
              <w:left w:val="nil"/>
              <w:bottom w:val="nil"/>
              <w:right w:val="nil"/>
            </w:tcBorders>
            <w:shd w:val="clear" w:color="auto" w:fill="auto"/>
            <w:noWrap/>
            <w:hideMark/>
          </w:tcPr>
          <w:p w14:paraId="70C0D074" w14:textId="77777777" w:rsidR="004E7389" w:rsidRPr="00AE0B3D" w:rsidRDefault="004E7389" w:rsidP="000D1153">
            <w:pPr>
              <w:spacing w:after="0" w:line="240" w:lineRule="auto"/>
              <w:ind w:firstLine="0"/>
              <w:jc w:val="center"/>
              <w:rPr>
                <w:rFonts w:eastAsia="Times New Roman" w:cs="Times New Roman"/>
              </w:rPr>
            </w:pPr>
            <w:r w:rsidRPr="00AE0B3D">
              <w:rPr>
                <w:rFonts w:eastAsia="Times New Roman" w:cs="Times New Roman"/>
              </w:rPr>
              <w:t>2500</w:t>
            </w:r>
          </w:p>
        </w:tc>
        <w:tc>
          <w:tcPr>
            <w:tcW w:w="1000" w:type="dxa"/>
            <w:tcBorders>
              <w:top w:val="nil"/>
              <w:left w:val="nil"/>
              <w:bottom w:val="nil"/>
              <w:right w:val="nil"/>
            </w:tcBorders>
            <w:shd w:val="clear" w:color="auto" w:fill="auto"/>
            <w:noWrap/>
            <w:hideMark/>
          </w:tcPr>
          <w:p w14:paraId="3009E18F" w14:textId="77777777" w:rsidR="004E7389" w:rsidRPr="00AE0B3D" w:rsidRDefault="004E7389" w:rsidP="000D1153">
            <w:pPr>
              <w:spacing w:after="0" w:line="240" w:lineRule="auto"/>
              <w:ind w:firstLine="0"/>
              <w:jc w:val="center"/>
              <w:rPr>
                <w:rFonts w:eastAsia="Times New Roman" w:cs="Times New Roman"/>
              </w:rPr>
            </w:pPr>
            <w:r w:rsidRPr="00AE0B3D">
              <w:rPr>
                <w:rFonts w:eastAsia="Times New Roman" w:cs="Times New Roman"/>
              </w:rPr>
              <w:t>60000</w:t>
            </w:r>
          </w:p>
        </w:tc>
      </w:tr>
      <w:tr w:rsidR="00AE0B3D" w:rsidRPr="00AE0B3D" w14:paraId="5F7A6219" w14:textId="77777777" w:rsidTr="000D1153">
        <w:trPr>
          <w:trHeight w:val="300"/>
        </w:trPr>
        <w:tc>
          <w:tcPr>
            <w:tcW w:w="2560" w:type="dxa"/>
            <w:tcBorders>
              <w:top w:val="nil"/>
              <w:left w:val="nil"/>
              <w:bottom w:val="nil"/>
              <w:right w:val="nil"/>
            </w:tcBorders>
            <w:shd w:val="clear" w:color="auto" w:fill="auto"/>
            <w:noWrap/>
            <w:hideMark/>
          </w:tcPr>
          <w:p w14:paraId="6F9D0454" w14:textId="77777777" w:rsidR="004E7389" w:rsidRPr="00AE0B3D" w:rsidRDefault="004E7389" w:rsidP="000D1153">
            <w:pPr>
              <w:spacing w:after="0" w:line="240" w:lineRule="auto"/>
              <w:ind w:firstLine="0"/>
              <w:jc w:val="left"/>
              <w:rPr>
                <w:rFonts w:eastAsia="Times New Roman" w:cs="Times New Roman"/>
              </w:rPr>
            </w:pPr>
            <w:r w:rsidRPr="00AE0B3D">
              <w:rPr>
                <w:rFonts w:eastAsia="Times New Roman" w:cs="Times New Roman"/>
              </w:rPr>
              <w:t xml:space="preserve">Travelling </w:t>
            </w:r>
          </w:p>
        </w:tc>
        <w:tc>
          <w:tcPr>
            <w:tcW w:w="920" w:type="dxa"/>
            <w:tcBorders>
              <w:top w:val="nil"/>
              <w:left w:val="nil"/>
              <w:bottom w:val="nil"/>
              <w:right w:val="nil"/>
            </w:tcBorders>
            <w:shd w:val="clear" w:color="auto" w:fill="auto"/>
            <w:noWrap/>
            <w:hideMark/>
          </w:tcPr>
          <w:p w14:paraId="75BBF3C9" w14:textId="77777777" w:rsidR="004E7389" w:rsidRPr="00AE0B3D" w:rsidRDefault="004E7389" w:rsidP="000D1153">
            <w:pPr>
              <w:spacing w:after="0" w:line="240" w:lineRule="auto"/>
              <w:ind w:firstLine="0"/>
              <w:jc w:val="left"/>
              <w:rPr>
                <w:rFonts w:eastAsia="Times New Roman" w:cs="Times New Roman"/>
              </w:rPr>
            </w:pPr>
            <w:r w:rsidRPr="00AE0B3D">
              <w:rPr>
                <w:rFonts w:eastAsia="Times New Roman" w:cs="Times New Roman"/>
              </w:rPr>
              <w:t>Day</w:t>
            </w:r>
          </w:p>
        </w:tc>
        <w:tc>
          <w:tcPr>
            <w:tcW w:w="1180" w:type="dxa"/>
            <w:tcBorders>
              <w:top w:val="nil"/>
              <w:left w:val="nil"/>
              <w:bottom w:val="nil"/>
              <w:right w:val="nil"/>
            </w:tcBorders>
            <w:shd w:val="clear" w:color="auto" w:fill="auto"/>
            <w:noWrap/>
            <w:hideMark/>
          </w:tcPr>
          <w:p w14:paraId="46846E2A" w14:textId="77777777" w:rsidR="004E7389" w:rsidRPr="00AE0B3D" w:rsidRDefault="004E7389" w:rsidP="000D1153">
            <w:pPr>
              <w:spacing w:after="0" w:line="240" w:lineRule="auto"/>
              <w:ind w:firstLine="0"/>
              <w:jc w:val="center"/>
              <w:rPr>
                <w:rFonts w:eastAsia="Times New Roman" w:cs="Times New Roman"/>
              </w:rPr>
            </w:pPr>
            <w:r w:rsidRPr="00AE0B3D">
              <w:rPr>
                <w:rFonts w:eastAsia="Times New Roman" w:cs="Times New Roman"/>
              </w:rPr>
              <w:t>24</w:t>
            </w:r>
          </w:p>
        </w:tc>
        <w:tc>
          <w:tcPr>
            <w:tcW w:w="1480" w:type="dxa"/>
            <w:tcBorders>
              <w:top w:val="nil"/>
              <w:left w:val="nil"/>
              <w:bottom w:val="nil"/>
              <w:right w:val="nil"/>
            </w:tcBorders>
            <w:shd w:val="clear" w:color="auto" w:fill="auto"/>
            <w:noWrap/>
            <w:hideMark/>
          </w:tcPr>
          <w:p w14:paraId="61831CBE" w14:textId="77777777" w:rsidR="004E7389" w:rsidRPr="00AE0B3D" w:rsidRDefault="004E7389" w:rsidP="000D1153">
            <w:pPr>
              <w:spacing w:after="0" w:line="240" w:lineRule="auto"/>
              <w:ind w:firstLine="0"/>
              <w:jc w:val="center"/>
              <w:rPr>
                <w:rFonts w:eastAsia="Times New Roman" w:cs="Times New Roman"/>
              </w:rPr>
            </w:pPr>
            <w:r w:rsidRPr="00AE0B3D">
              <w:rPr>
                <w:rFonts w:eastAsia="Times New Roman" w:cs="Times New Roman"/>
              </w:rPr>
              <w:t>1000</w:t>
            </w:r>
          </w:p>
        </w:tc>
        <w:tc>
          <w:tcPr>
            <w:tcW w:w="1000" w:type="dxa"/>
            <w:tcBorders>
              <w:top w:val="nil"/>
              <w:left w:val="nil"/>
              <w:bottom w:val="nil"/>
              <w:right w:val="nil"/>
            </w:tcBorders>
            <w:shd w:val="clear" w:color="auto" w:fill="auto"/>
            <w:noWrap/>
            <w:hideMark/>
          </w:tcPr>
          <w:p w14:paraId="7DF29CE8" w14:textId="77777777" w:rsidR="004E7389" w:rsidRPr="00AE0B3D" w:rsidRDefault="004E7389" w:rsidP="000D1153">
            <w:pPr>
              <w:spacing w:after="0" w:line="240" w:lineRule="auto"/>
              <w:ind w:firstLine="0"/>
              <w:jc w:val="center"/>
              <w:rPr>
                <w:rFonts w:eastAsia="Times New Roman" w:cs="Times New Roman"/>
              </w:rPr>
            </w:pPr>
            <w:r w:rsidRPr="00AE0B3D">
              <w:rPr>
                <w:rFonts w:eastAsia="Times New Roman" w:cs="Times New Roman"/>
              </w:rPr>
              <w:t>24000</w:t>
            </w:r>
          </w:p>
        </w:tc>
      </w:tr>
      <w:tr w:rsidR="00AE0B3D" w:rsidRPr="00AE0B3D" w14:paraId="3A078A03" w14:textId="77777777" w:rsidTr="000D1153">
        <w:trPr>
          <w:trHeight w:val="300"/>
        </w:trPr>
        <w:tc>
          <w:tcPr>
            <w:tcW w:w="2560" w:type="dxa"/>
            <w:tcBorders>
              <w:top w:val="nil"/>
              <w:left w:val="nil"/>
              <w:bottom w:val="nil"/>
              <w:right w:val="nil"/>
            </w:tcBorders>
            <w:shd w:val="clear" w:color="auto" w:fill="auto"/>
            <w:noWrap/>
            <w:hideMark/>
          </w:tcPr>
          <w:p w14:paraId="75122F9F" w14:textId="77777777" w:rsidR="004E7389" w:rsidRPr="00AE0B3D" w:rsidRDefault="004E7389" w:rsidP="000D1153">
            <w:pPr>
              <w:spacing w:after="0" w:line="240" w:lineRule="auto"/>
              <w:ind w:firstLine="0"/>
              <w:jc w:val="left"/>
              <w:rPr>
                <w:rFonts w:eastAsia="Times New Roman" w:cs="Times New Roman"/>
              </w:rPr>
            </w:pPr>
            <w:r w:rsidRPr="00AE0B3D">
              <w:rPr>
                <w:rFonts w:eastAsia="Times New Roman" w:cs="Times New Roman"/>
              </w:rPr>
              <w:t>Stationery</w:t>
            </w:r>
          </w:p>
        </w:tc>
        <w:tc>
          <w:tcPr>
            <w:tcW w:w="920" w:type="dxa"/>
            <w:tcBorders>
              <w:top w:val="nil"/>
              <w:left w:val="nil"/>
              <w:bottom w:val="nil"/>
              <w:right w:val="nil"/>
            </w:tcBorders>
            <w:shd w:val="clear" w:color="auto" w:fill="auto"/>
            <w:noWrap/>
            <w:hideMark/>
          </w:tcPr>
          <w:p w14:paraId="55B9DF18" w14:textId="77777777" w:rsidR="004E7389" w:rsidRPr="00AE0B3D" w:rsidRDefault="004E7389" w:rsidP="000D1153">
            <w:pPr>
              <w:spacing w:after="0" w:line="240" w:lineRule="auto"/>
              <w:ind w:firstLine="0"/>
              <w:jc w:val="left"/>
              <w:rPr>
                <w:rFonts w:eastAsia="Times New Roman" w:cs="Times New Roman"/>
              </w:rPr>
            </w:pPr>
          </w:p>
        </w:tc>
        <w:tc>
          <w:tcPr>
            <w:tcW w:w="1180" w:type="dxa"/>
            <w:tcBorders>
              <w:top w:val="nil"/>
              <w:left w:val="nil"/>
              <w:bottom w:val="nil"/>
              <w:right w:val="nil"/>
            </w:tcBorders>
            <w:shd w:val="clear" w:color="auto" w:fill="auto"/>
            <w:noWrap/>
            <w:hideMark/>
          </w:tcPr>
          <w:p w14:paraId="56B09121" w14:textId="77777777" w:rsidR="004E7389" w:rsidRPr="00AE0B3D" w:rsidRDefault="004E7389" w:rsidP="000D1153">
            <w:pPr>
              <w:spacing w:after="0" w:line="240" w:lineRule="auto"/>
              <w:ind w:firstLine="0"/>
              <w:jc w:val="center"/>
              <w:rPr>
                <w:rFonts w:eastAsia="Times New Roman" w:cs="Times New Roman"/>
              </w:rPr>
            </w:pPr>
            <w:r w:rsidRPr="00AE0B3D">
              <w:rPr>
                <w:rFonts w:eastAsia="Times New Roman" w:cs="Times New Roman"/>
              </w:rPr>
              <w:t>1</w:t>
            </w:r>
          </w:p>
        </w:tc>
        <w:tc>
          <w:tcPr>
            <w:tcW w:w="1480" w:type="dxa"/>
            <w:tcBorders>
              <w:top w:val="nil"/>
              <w:left w:val="nil"/>
              <w:bottom w:val="nil"/>
              <w:right w:val="nil"/>
            </w:tcBorders>
            <w:shd w:val="clear" w:color="auto" w:fill="auto"/>
            <w:noWrap/>
            <w:hideMark/>
          </w:tcPr>
          <w:p w14:paraId="4EBC9107" w14:textId="77777777" w:rsidR="004E7389" w:rsidRPr="00AE0B3D" w:rsidRDefault="004E7389" w:rsidP="000D1153">
            <w:pPr>
              <w:spacing w:after="0" w:line="240" w:lineRule="auto"/>
              <w:ind w:firstLine="0"/>
              <w:jc w:val="center"/>
              <w:rPr>
                <w:rFonts w:eastAsia="Times New Roman" w:cs="Times New Roman"/>
              </w:rPr>
            </w:pPr>
            <w:r w:rsidRPr="00AE0B3D">
              <w:rPr>
                <w:rFonts w:eastAsia="Times New Roman" w:cs="Times New Roman"/>
              </w:rPr>
              <w:t>10000</w:t>
            </w:r>
          </w:p>
        </w:tc>
        <w:tc>
          <w:tcPr>
            <w:tcW w:w="1000" w:type="dxa"/>
            <w:tcBorders>
              <w:top w:val="nil"/>
              <w:left w:val="nil"/>
              <w:bottom w:val="nil"/>
              <w:right w:val="nil"/>
            </w:tcBorders>
            <w:shd w:val="clear" w:color="auto" w:fill="auto"/>
            <w:noWrap/>
            <w:hideMark/>
          </w:tcPr>
          <w:p w14:paraId="3314A4EB" w14:textId="77777777" w:rsidR="004E7389" w:rsidRPr="00AE0B3D" w:rsidRDefault="004E7389" w:rsidP="000D1153">
            <w:pPr>
              <w:spacing w:after="0" w:line="240" w:lineRule="auto"/>
              <w:ind w:firstLine="0"/>
              <w:jc w:val="center"/>
              <w:rPr>
                <w:rFonts w:eastAsia="Times New Roman" w:cs="Times New Roman"/>
              </w:rPr>
            </w:pPr>
            <w:r w:rsidRPr="00AE0B3D">
              <w:rPr>
                <w:rFonts w:eastAsia="Times New Roman" w:cs="Times New Roman"/>
              </w:rPr>
              <w:t>10000</w:t>
            </w:r>
          </w:p>
        </w:tc>
      </w:tr>
      <w:tr w:rsidR="00AE0B3D" w:rsidRPr="00AE0B3D" w14:paraId="51B8DC49" w14:textId="77777777" w:rsidTr="000D1153">
        <w:trPr>
          <w:trHeight w:val="300"/>
        </w:trPr>
        <w:tc>
          <w:tcPr>
            <w:tcW w:w="2560" w:type="dxa"/>
            <w:tcBorders>
              <w:top w:val="nil"/>
              <w:left w:val="nil"/>
              <w:bottom w:val="nil"/>
              <w:right w:val="nil"/>
            </w:tcBorders>
            <w:shd w:val="clear" w:color="auto" w:fill="auto"/>
            <w:noWrap/>
            <w:hideMark/>
          </w:tcPr>
          <w:p w14:paraId="4E46693C" w14:textId="77777777" w:rsidR="004E7389" w:rsidRPr="00AE0B3D" w:rsidRDefault="004E7389" w:rsidP="000D1153">
            <w:pPr>
              <w:spacing w:after="0" w:line="240" w:lineRule="auto"/>
              <w:ind w:firstLine="0"/>
              <w:jc w:val="left"/>
              <w:rPr>
                <w:rFonts w:eastAsia="Times New Roman" w:cs="Times New Roman"/>
              </w:rPr>
            </w:pPr>
            <w:r w:rsidRPr="00AE0B3D">
              <w:rPr>
                <w:rFonts w:eastAsia="Times New Roman" w:cs="Times New Roman"/>
              </w:rPr>
              <w:t>Miscellaneous</w:t>
            </w:r>
          </w:p>
        </w:tc>
        <w:tc>
          <w:tcPr>
            <w:tcW w:w="920" w:type="dxa"/>
            <w:tcBorders>
              <w:top w:val="nil"/>
              <w:left w:val="nil"/>
              <w:bottom w:val="nil"/>
              <w:right w:val="nil"/>
            </w:tcBorders>
            <w:shd w:val="clear" w:color="auto" w:fill="auto"/>
            <w:noWrap/>
            <w:hideMark/>
          </w:tcPr>
          <w:p w14:paraId="7E3FFBF5" w14:textId="77777777" w:rsidR="004E7389" w:rsidRPr="00AE0B3D" w:rsidRDefault="004E7389" w:rsidP="000D1153">
            <w:pPr>
              <w:spacing w:after="0" w:line="240" w:lineRule="auto"/>
              <w:ind w:firstLine="0"/>
              <w:jc w:val="left"/>
              <w:rPr>
                <w:rFonts w:eastAsia="Times New Roman" w:cs="Times New Roman"/>
              </w:rPr>
            </w:pPr>
          </w:p>
        </w:tc>
        <w:tc>
          <w:tcPr>
            <w:tcW w:w="1180" w:type="dxa"/>
            <w:tcBorders>
              <w:top w:val="nil"/>
              <w:left w:val="nil"/>
              <w:bottom w:val="nil"/>
              <w:right w:val="nil"/>
            </w:tcBorders>
            <w:shd w:val="clear" w:color="auto" w:fill="auto"/>
            <w:noWrap/>
            <w:hideMark/>
          </w:tcPr>
          <w:p w14:paraId="77B1EC0C" w14:textId="77777777" w:rsidR="004E7389" w:rsidRPr="00AE0B3D" w:rsidRDefault="004E7389" w:rsidP="000D1153">
            <w:pPr>
              <w:spacing w:after="0" w:line="240" w:lineRule="auto"/>
              <w:ind w:firstLine="0"/>
              <w:jc w:val="center"/>
              <w:rPr>
                <w:rFonts w:eastAsia="Times New Roman" w:cs="Times New Roman"/>
                <w:szCs w:val="20"/>
              </w:rPr>
            </w:pPr>
          </w:p>
        </w:tc>
        <w:tc>
          <w:tcPr>
            <w:tcW w:w="1480" w:type="dxa"/>
            <w:tcBorders>
              <w:top w:val="nil"/>
              <w:left w:val="nil"/>
              <w:bottom w:val="nil"/>
              <w:right w:val="nil"/>
            </w:tcBorders>
            <w:shd w:val="clear" w:color="auto" w:fill="auto"/>
            <w:noWrap/>
            <w:hideMark/>
          </w:tcPr>
          <w:p w14:paraId="7FB986E9" w14:textId="77777777" w:rsidR="004E7389" w:rsidRPr="00AE0B3D" w:rsidRDefault="004E7389" w:rsidP="000D1153">
            <w:pPr>
              <w:spacing w:after="0" w:line="240" w:lineRule="auto"/>
              <w:ind w:firstLine="0"/>
              <w:jc w:val="center"/>
              <w:rPr>
                <w:rFonts w:eastAsia="Times New Roman" w:cs="Times New Roman"/>
                <w:szCs w:val="20"/>
              </w:rPr>
            </w:pPr>
          </w:p>
        </w:tc>
        <w:tc>
          <w:tcPr>
            <w:tcW w:w="1000" w:type="dxa"/>
            <w:tcBorders>
              <w:top w:val="nil"/>
              <w:left w:val="nil"/>
              <w:bottom w:val="nil"/>
              <w:right w:val="nil"/>
            </w:tcBorders>
            <w:shd w:val="clear" w:color="auto" w:fill="auto"/>
            <w:noWrap/>
            <w:hideMark/>
          </w:tcPr>
          <w:p w14:paraId="0B7990E8" w14:textId="77777777" w:rsidR="004E7389" w:rsidRPr="00AE0B3D" w:rsidRDefault="004E7389" w:rsidP="000D1153">
            <w:pPr>
              <w:spacing w:after="0" w:line="240" w:lineRule="auto"/>
              <w:ind w:firstLine="0"/>
              <w:jc w:val="center"/>
              <w:rPr>
                <w:rFonts w:eastAsia="Times New Roman" w:cs="Times New Roman"/>
              </w:rPr>
            </w:pPr>
            <w:r w:rsidRPr="00AE0B3D">
              <w:rPr>
                <w:rFonts w:eastAsia="Times New Roman" w:cs="Times New Roman"/>
              </w:rPr>
              <w:t>17000</w:t>
            </w:r>
          </w:p>
        </w:tc>
      </w:tr>
      <w:tr w:rsidR="00AE0B3D" w:rsidRPr="00AE0B3D" w14:paraId="652BD483" w14:textId="77777777" w:rsidTr="000D1153">
        <w:trPr>
          <w:trHeight w:val="300"/>
        </w:trPr>
        <w:tc>
          <w:tcPr>
            <w:tcW w:w="2560" w:type="dxa"/>
            <w:tcBorders>
              <w:top w:val="nil"/>
              <w:left w:val="nil"/>
              <w:bottom w:val="nil"/>
              <w:right w:val="nil"/>
            </w:tcBorders>
            <w:shd w:val="clear" w:color="auto" w:fill="auto"/>
            <w:noWrap/>
            <w:hideMark/>
          </w:tcPr>
          <w:p w14:paraId="3BE7CBB7" w14:textId="77777777" w:rsidR="004E7389" w:rsidRPr="00AE0B3D" w:rsidRDefault="004E7389" w:rsidP="000D1153">
            <w:pPr>
              <w:spacing w:after="0" w:line="240" w:lineRule="auto"/>
              <w:ind w:firstLine="0"/>
              <w:jc w:val="left"/>
              <w:rPr>
                <w:rFonts w:eastAsia="Times New Roman" w:cs="Times New Roman"/>
              </w:rPr>
            </w:pPr>
            <w:r w:rsidRPr="00AE0B3D">
              <w:rPr>
                <w:rFonts w:eastAsia="Times New Roman" w:cs="Times New Roman"/>
              </w:rPr>
              <w:t>Report binding</w:t>
            </w:r>
          </w:p>
        </w:tc>
        <w:tc>
          <w:tcPr>
            <w:tcW w:w="920" w:type="dxa"/>
            <w:tcBorders>
              <w:top w:val="nil"/>
              <w:left w:val="nil"/>
              <w:bottom w:val="nil"/>
              <w:right w:val="nil"/>
            </w:tcBorders>
            <w:shd w:val="clear" w:color="auto" w:fill="auto"/>
            <w:noWrap/>
            <w:hideMark/>
          </w:tcPr>
          <w:p w14:paraId="467EF43C" w14:textId="77777777" w:rsidR="004E7389" w:rsidRPr="00AE0B3D" w:rsidRDefault="004E7389" w:rsidP="000D1153">
            <w:pPr>
              <w:spacing w:after="0" w:line="240" w:lineRule="auto"/>
              <w:ind w:firstLine="0"/>
              <w:jc w:val="left"/>
              <w:rPr>
                <w:rFonts w:eastAsia="Times New Roman" w:cs="Times New Roman"/>
              </w:rPr>
            </w:pPr>
            <w:r w:rsidRPr="00AE0B3D">
              <w:rPr>
                <w:rFonts w:eastAsia="Times New Roman" w:cs="Times New Roman"/>
              </w:rPr>
              <w:t>reports</w:t>
            </w:r>
          </w:p>
        </w:tc>
        <w:tc>
          <w:tcPr>
            <w:tcW w:w="1180" w:type="dxa"/>
            <w:tcBorders>
              <w:top w:val="nil"/>
              <w:left w:val="nil"/>
              <w:bottom w:val="nil"/>
              <w:right w:val="nil"/>
            </w:tcBorders>
            <w:shd w:val="clear" w:color="auto" w:fill="auto"/>
            <w:noWrap/>
            <w:hideMark/>
          </w:tcPr>
          <w:p w14:paraId="0F6C89F3" w14:textId="77777777" w:rsidR="004E7389" w:rsidRPr="00AE0B3D" w:rsidRDefault="004E7389" w:rsidP="000D1153">
            <w:pPr>
              <w:spacing w:after="0" w:line="240" w:lineRule="auto"/>
              <w:ind w:firstLine="0"/>
              <w:jc w:val="center"/>
              <w:rPr>
                <w:rFonts w:eastAsia="Times New Roman" w:cs="Times New Roman"/>
              </w:rPr>
            </w:pPr>
            <w:r w:rsidRPr="00AE0B3D">
              <w:rPr>
                <w:rFonts w:eastAsia="Times New Roman" w:cs="Times New Roman"/>
              </w:rPr>
              <w:t>6</w:t>
            </w:r>
          </w:p>
        </w:tc>
        <w:tc>
          <w:tcPr>
            <w:tcW w:w="1480" w:type="dxa"/>
            <w:tcBorders>
              <w:top w:val="nil"/>
              <w:left w:val="nil"/>
              <w:bottom w:val="nil"/>
              <w:right w:val="nil"/>
            </w:tcBorders>
            <w:shd w:val="clear" w:color="auto" w:fill="auto"/>
            <w:noWrap/>
            <w:hideMark/>
          </w:tcPr>
          <w:p w14:paraId="51F4F52F" w14:textId="77777777" w:rsidR="004E7389" w:rsidRPr="00AE0B3D" w:rsidRDefault="004E7389" w:rsidP="000D1153">
            <w:pPr>
              <w:spacing w:after="0" w:line="240" w:lineRule="auto"/>
              <w:ind w:firstLine="0"/>
              <w:jc w:val="center"/>
              <w:rPr>
                <w:rFonts w:eastAsia="Times New Roman" w:cs="Times New Roman"/>
              </w:rPr>
            </w:pPr>
            <w:r w:rsidRPr="00AE0B3D">
              <w:rPr>
                <w:rFonts w:eastAsia="Times New Roman" w:cs="Times New Roman"/>
              </w:rPr>
              <w:t>600</w:t>
            </w:r>
          </w:p>
        </w:tc>
        <w:tc>
          <w:tcPr>
            <w:tcW w:w="1000" w:type="dxa"/>
            <w:tcBorders>
              <w:top w:val="nil"/>
              <w:left w:val="nil"/>
              <w:bottom w:val="nil"/>
              <w:right w:val="nil"/>
            </w:tcBorders>
            <w:shd w:val="clear" w:color="auto" w:fill="auto"/>
            <w:noWrap/>
            <w:hideMark/>
          </w:tcPr>
          <w:p w14:paraId="3D6EF7F9" w14:textId="77777777" w:rsidR="004E7389" w:rsidRPr="00AE0B3D" w:rsidRDefault="004E7389" w:rsidP="000D1153">
            <w:pPr>
              <w:spacing w:after="0" w:line="240" w:lineRule="auto"/>
              <w:ind w:firstLine="0"/>
              <w:jc w:val="center"/>
              <w:rPr>
                <w:rFonts w:eastAsia="Times New Roman" w:cs="Times New Roman"/>
              </w:rPr>
            </w:pPr>
            <w:r w:rsidRPr="00AE0B3D">
              <w:rPr>
                <w:rFonts w:eastAsia="Times New Roman" w:cs="Times New Roman"/>
              </w:rPr>
              <w:t>3600</w:t>
            </w:r>
          </w:p>
        </w:tc>
      </w:tr>
      <w:tr w:rsidR="00AE0B3D" w:rsidRPr="00AE0B3D" w14:paraId="35BE0A12" w14:textId="77777777" w:rsidTr="000D1153">
        <w:trPr>
          <w:trHeight w:val="300"/>
        </w:trPr>
        <w:tc>
          <w:tcPr>
            <w:tcW w:w="2560" w:type="dxa"/>
            <w:tcBorders>
              <w:top w:val="single" w:sz="4" w:space="0" w:color="auto"/>
              <w:left w:val="nil"/>
              <w:bottom w:val="single" w:sz="4" w:space="0" w:color="auto"/>
              <w:right w:val="nil"/>
            </w:tcBorders>
            <w:shd w:val="clear" w:color="auto" w:fill="auto"/>
            <w:noWrap/>
            <w:hideMark/>
          </w:tcPr>
          <w:p w14:paraId="5D848340" w14:textId="77777777" w:rsidR="004E7389" w:rsidRPr="00AE0B3D" w:rsidRDefault="004E7389" w:rsidP="000D1153">
            <w:pPr>
              <w:spacing w:after="0" w:line="240" w:lineRule="auto"/>
              <w:ind w:firstLine="0"/>
              <w:jc w:val="left"/>
              <w:rPr>
                <w:rFonts w:eastAsia="Times New Roman" w:cs="Times New Roman"/>
                <w:b/>
                <w:bCs/>
              </w:rPr>
            </w:pPr>
            <w:r w:rsidRPr="00AE0B3D">
              <w:rPr>
                <w:rFonts w:eastAsia="Times New Roman" w:cs="Times New Roman"/>
                <w:b/>
                <w:bCs/>
              </w:rPr>
              <w:t>Total (</w:t>
            </w:r>
            <w:proofErr w:type="spellStart"/>
            <w:r w:rsidRPr="00AE0B3D">
              <w:rPr>
                <w:rFonts w:eastAsia="Times New Roman" w:cs="Times New Roman"/>
                <w:b/>
                <w:bCs/>
              </w:rPr>
              <w:t>KSh</w:t>
            </w:r>
            <w:proofErr w:type="spellEnd"/>
            <w:r w:rsidRPr="00AE0B3D">
              <w:rPr>
                <w:rFonts w:eastAsia="Times New Roman" w:cs="Times New Roman"/>
                <w:b/>
                <w:bCs/>
              </w:rPr>
              <w:t>.)</w:t>
            </w:r>
          </w:p>
        </w:tc>
        <w:tc>
          <w:tcPr>
            <w:tcW w:w="920" w:type="dxa"/>
            <w:tcBorders>
              <w:top w:val="single" w:sz="4" w:space="0" w:color="auto"/>
              <w:left w:val="nil"/>
              <w:bottom w:val="single" w:sz="4" w:space="0" w:color="auto"/>
              <w:right w:val="nil"/>
            </w:tcBorders>
            <w:shd w:val="clear" w:color="auto" w:fill="auto"/>
            <w:noWrap/>
            <w:hideMark/>
          </w:tcPr>
          <w:p w14:paraId="3FAC0A0A" w14:textId="77777777" w:rsidR="004E7389" w:rsidRPr="00AE0B3D" w:rsidRDefault="004E7389" w:rsidP="000D1153">
            <w:pPr>
              <w:spacing w:after="0" w:line="240" w:lineRule="auto"/>
              <w:ind w:firstLine="0"/>
              <w:jc w:val="left"/>
              <w:rPr>
                <w:rFonts w:eastAsia="Times New Roman" w:cs="Times New Roman"/>
              </w:rPr>
            </w:pPr>
            <w:r w:rsidRPr="00AE0B3D">
              <w:rPr>
                <w:rFonts w:eastAsia="Times New Roman" w:cs="Times New Roman"/>
              </w:rPr>
              <w:t> </w:t>
            </w:r>
          </w:p>
        </w:tc>
        <w:tc>
          <w:tcPr>
            <w:tcW w:w="1180" w:type="dxa"/>
            <w:tcBorders>
              <w:top w:val="single" w:sz="4" w:space="0" w:color="auto"/>
              <w:left w:val="nil"/>
              <w:bottom w:val="single" w:sz="4" w:space="0" w:color="auto"/>
              <w:right w:val="nil"/>
            </w:tcBorders>
            <w:shd w:val="clear" w:color="auto" w:fill="auto"/>
            <w:noWrap/>
            <w:hideMark/>
          </w:tcPr>
          <w:p w14:paraId="4609E8AA" w14:textId="77777777" w:rsidR="004E7389" w:rsidRPr="00AE0B3D" w:rsidRDefault="004E7389" w:rsidP="000D1153">
            <w:pPr>
              <w:spacing w:after="0" w:line="240" w:lineRule="auto"/>
              <w:ind w:firstLine="0"/>
              <w:jc w:val="left"/>
              <w:rPr>
                <w:rFonts w:eastAsia="Times New Roman" w:cs="Times New Roman"/>
              </w:rPr>
            </w:pPr>
            <w:r w:rsidRPr="00AE0B3D">
              <w:rPr>
                <w:rFonts w:eastAsia="Times New Roman" w:cs="Times New Roman"/>
              </w:rPr>
              <w:t> </w:t>
            </w:r>
          </w:p>
        </w:tc>
        <w:tc>
          <w:tcPr>
            <w:tcW w:w="1480" w:type="dxa"/>
            <w:tcBorders>
              <w:top w:val="single" w:sz="4" w:space="0" w:color="auto"/>
              <w:left w:val="nil"/>
              <w:bottom w:val="single" w:sz="4" w:space="0" w:color="auto"/>
              <w:right w:val="nil"/>
            </w:tcBorders>
            <w:shd w:val="clear" w:color="auto" w:fill="auto"/>
            <w:noWrap/>
            <w:hideMark/>
          </w:tcPr>
          <w:p w14:paraId="052FA318" w14:textId="77777777" w:rsidR="004E7389" w:rsidRPr="00AE0B3D" w:rsidRDefault="004E7389" w:rsidP="000D1153">
            <w:pPr>
              <w:spacing w:after="0" w:line="240" w:lineRule="auto"/>
              <w:ind w:firstLine="0"/>
              <w:jc w:val="left"/>
              <w:rPr>
                <w:rFonts w:eastAsia="Times New Roman" w:cs="Times New Roman"/>
              </w:rPr>
            </w:pPr>
            <w:r w:rsidRPr="00AE0B3D">
              <w:rPr>
                <w:rFonts w:eastAsia="Times New Roman" w:cs="Times New Roman"/>
              </w:rPr>
              <w:t> </w:t>
            </w:r>
          </w:p>
        </w:tc>
        <w:tc>
          <w:tcPr>
            <w:tcW w:w="1000" w:type="dxa"/>
            <w:tcBorders>
              <w:top w:val="single" w:sz="4" w:space="0" w:color="auto"/>
              <w:left w:val="nil"/>
              <w:bottom w:val="single" w:sz="4" w:space="0" w:color="auto"/>
              <w:right w:val="nil"/>
            </w:tcBorders>
            <w:shd w:val="clear" w:color="auto" w:fill="auto"/>
            <w:noWrap/>
            <w:hideMark/>
          </w:tcPr>
          <w:p w14:paraId="0F908153" w14:textId="77777777" w:rsidR="004E7389" w:rsidRPr="00AE0B3D" w:rsidRDefault="004E7389" w:rsidP="000D1153">
            <w:pPr>
              <w:spacing w:after="0" w:line="240" w:lineRule="auto"/>
              <w:ind w:firstLine="0"/>
              <w:jc w:val="right"/>
              <w:rPr>
                <w:rFonts w:eastAsia="Times New Roman" w:cs="Times New Roman"/>
                <w:b/>
                <w:bCs/>
                <w:u w:val="double"/>
              </w:rPr>
            </w:pPr>
            <w:r w:rsidRPr="00AE0B3D">
              <w:rPr>
                <w:rFonts w:eastAsia="Times New Roman" w:cs="Times New Roman"/>
                <w:b/>
                <w:bCs/>
                <w:u w:val="double"/>
              </w:rPr>
              <w:t>119100</w:t>
            </w:r>
          </w:p>
        </w:tc>
      </w:tr>
    </w:tbl>
    <w:p w14:paraId="569521DD" w14:textId="1CE9F15E" w:rsidR="004B5912" w:rsidRPr="00AE0B3D" w:rsidRDefault="004B5912" w:rsidP="004E7389">
      <w:pPr>
        <w:rPr>
          <w:rFonts w:cs="Times New Roman"/>
        </w:rPr>
      </w:pPr>
    </w:p>
    <w:p w14:paraId="55DD6250" w14:textId="291175A0" w:rsidR="008955A4" w:rsidRPr="00AE0B3D" w:rsidRDefault="008955A4">
      <w:pPr>
        <w:spacing w:line="259" w:lineRule="auto"/>
        <w:ind w:firstLine="0"/>
        <w:jc w:val="left"/>
        <w:rPr>
          <w:rFonts w:cs="Times New Roman"/>
        </w:rPr>
      </w:pPr>
      <w:r w:rsidRPr="00AE0B3D">
        <w:rPr>
          <w:rFonts w:cs="Times New Roman"/>
        </w:rPr>
        <w:br w:type="page"/>
      </w:r>
    </w:p>
    <w:p w14:paraId="578DCC5B" w14:textId="0B46E833" w:rsidR="008955A4" w:rsidRPr="00AE0B3D" w:rsidRDefault="008955A4" w:rsidP="008955A4">
      <w:pPr>
        <w:pStyle w:val="Heading2"/>
      </w:pPr>
      <w:bookmarkStart w:id="91" w:name="_Toc78067545"/>
      <w:r w:rsidRPr="00AE0B3D">
        <w:lastRenderedPageBreak/>
        <w:t>Appendix 3: Data collection schedule</w:t>
      </w:r>
      <w:bookmarkEnd w:id="91"/>
    </w:p>
    <w:p w14:paraId="75E5A4E2" w14:textId="4BE1ADC0" w:rsidR="008955A4" w:rsidRPr="00AE0B3D" w:rsidRDefault="005E0EA9" w:rsidP="008955A4">
      <w:r w:rsidRPr="00AE0B3D">
        <w:t>Industry</w:t>
      </w:r>
      <w:r w:rsidR="008955A4" w:rsidRPr="00AE0B3D">
        <w:t xml:space="preserve"> </w:t>
      </w:r>
      <w:proofErr w:type="gramStart"/>
      <w:r w:rsidR="008955A4" w:rsidRPr="00AE0B3D">
        <w:t>name:…</w:t>
      </w:r>
      <w:proofErr w:type="gramEnd"/>
      <w:r w:rsidR="008955A4" w:rsidRPr="00AE0B3D">
        <w:t>…………………………….</w:t>
      </w:r>
    </w:p>
    <w:p w14:paraId="2BD37C56" w14:textId="793E7CED" w:rsidR="005E0EA9" w:rsidRPr="00AE0B3D" w:rsidRDefault="005E0EA9" w:rsidP="008955A4">
      <w:r w:rsidRPr="00AE0B3D">
        <w:t xml:space="preserve">Company </w:t>
      </w:r>
      <w:proofErr w:type="gramStart"/>
      <w:r w:rsidRPr="00AE0B3D">
        <w:t>code:…</w:t>
      </w:r>
      <w:proofErr w:type="gramEnd"/>
      <w:r w:rsidRPr="00AE0B3D">
        <w:t>……………………………</w:t>
      </w:r>
    </w:p>
    <w:p w14:paraId="05F36C8A" w14:textId="40AA7792" w:rsidR="008955A4" w:rsidRPr="00AE0B3D" w:rsidRDefault="00642FEC" w:rsidP="008955A4">
      <w:r w:rsidRPr="00AE0B3D">
        <w:t xml:space="preserve">Years in </w:t>
      </w:r>
      <w:proofErr w:type="gramStart"/>
      <w:r w:rsidRPr="00AE0B3D">
        <w:t>operat</w:t>
      </w:r>
      <w:r w:rsidR="008955A4" w:rsidRPr="00AE0B3D">
        <w:t>ion:…</w:t>
      </w:r>
      <w:proofErr w:type="gramEnd"/>
      <w:r w:rsidR="008955A4" w:rsidRPr="00AE0B3D">
        <w:t>………………………</w:t>
      </w:r>
    </w:p>
    <w:p w14:paraId="6697961D" w14:textId="77777777" w:rsidR="008955A4" w:rsidRPr="00AE0B3D" w:rsidRDefault="008955A4" w:rsidP="008955A4">
      <w:r w:rsidRPr="00AE0B3D">
        <w:t>Top management position being evaluated</w:t>
      </w:r>
    </w:p>
    <w:p w14:paraId="6066C846" w14:textId="247C34A6" w:rsidR="008955A4" w:rsidRPr="00AE0B3D" w:rsidRDefault="005A6858" w:rsidP="008955A4">
      <w:pPr>
        <w:rPr>
          <w:b/>
        </w:rPr>
      </w:pPr>
      <w:r w:rsidRPr="00AE0B3D">
        <w:rPr>
          <w:b/>
        </w:rPr>
        <w:t>Remuneration</w:t>
      </w:r>
      <w:r w:rsidR="008955A4" w:rsidRPr="00AE0B3D">
        <w:rPr>
          <w:b/>
        </w:rPr>
        <w:t xml:space="preserve"> strategies utilised:</w:t>
      </w:r>
    </w:p>
    <w:p w14:paraId="621E1B4A" w14:textId="5829A745" w:rsidR="008955A4" w:rsidRPr="00AE0B3D" w:rsidRDefault="008955A4" w:rsidP="008955A4">
      <w:r w:rsidRPr="00AE0B3D">
        <w:t>Salary:</w:t>
      </w:r>
      <w:r w:rsidR="00212161" w:rsidRPr="00AE0B3D">
        <w:t xml:space="preserve"> </w:t>
      </w:r>
      <w:proofErr w:type="gramStart"/>
      <w:r w:rsidR="000A2043" w:rsidRPr="00AE0B3D">
        <w:t>[  ]</w:t>
      </w:r>
      <w:proofErr w:type="gramEnd"/>
    </w:p>
    <w:p w14:paraId="3809DB5F" w14:textId="53DD0681" w:rsidR="008955A4" w:rsidRPr="00AE0B3D" w:rsidRDefault="008955A4" w:rsidP="008955A4">
      <w:r w:rsidRPr="00AE0B3D">
        <w:t xml:space="preserve">Benefit </w:t>
      </w:r>
      <w:proofErr w:type="gramStart"/>
      <w:r w:rsidRPr="00AE0B3D">
        <w:t>description:</w:t>
      </w:r>
      <w:r w:rsidR="000A2043" w:rsidRPr="00AE0B3D">
        <w:t>[</w:t>
      </w:r>
      <w:proofErr w:type="gramEnd"/>
      <w:r w:rsidR="000A2043" w:rsidRPr="00AE0B3D">
        <w:t xml:space="preserve">  ]</w:t>
      </w:r>
    </w:p>
    <w:p w14:paraId="6D319E28" w14:textId="1F93EB47" w:rsidR="008955A4" w:rsidRPr="00AE0B3D" w:rsidRDefault="008955A4" w:rsidP="008955A4">
      <w:r w:rsidRPr="00AE0B3D">
        <w:t>Bonus description:</w:t>
      </w:r>
      <w:r w:rsidR="000A2043" w:rsidRPr="00AE0B3D">
        <w:t xml:space="preserve"> </w:t>
      </w:r>
      <w:proofErr w:type="gramStart"/>
      <w:r w:rsidR="000A2043" w:rsidRPr="00AE0B3D">
        <w:t>[  ]</w:t>
      </w:r>
      <w:proofErr w:type="gramEnd"/>
    </w:p>
    <w:p w14:paraId="238D4BC9" w14:textId="29B47C4F" w:rsidR="008955A4" w:rsidRPr="00AE0B3D" w:rsidRDefault="008955A4" w:rsidP="008955A4">
      <w:r w:rsidRPr="00AE0B3D">
        <w:t>Shares paid:</w:t>
      </w:r>
      <w:r w:rsidR="000A2043" w:rsidRPr="00AE0B3D">
        <w:t xml:space="preserve"> </w:t>
      </w:r>
      <w:proofErr w:type="gramStart"/>
      <w:r w:rsidR="000A2043" w:rsidRPr="00AE0B3D">
        <w:t>[  ]</w:t>
      </w:r>
      <w:proofErr w:type="gramEnd"/>
    </w:p>
    <w:p w14:paraId="0C11A52A" w14:textId="470D2719" w:rsidR="005630AD" w:rsidRPr="00AE0B3D" w:rsidRDefault="002D3ECF" w:rsidP="008955A4">
      <w:r w:rsidRPr="00AE0B3D">
        <w:t xml:space="preserve">The </w:t>
      </w:r>
      <w:r w:rsidR="007A40B9" w:rsidRPr="00AE0B3D">
        <w:t xml:space="preserve">table </w:t>
      </w:r>
      <w:r w:rsidR="006A5250" w:rsidRPr="00AE0B3D">
        <w:t>was used to</w:t>
      </w:r>
      <w:r w:rsidR="007A40B9" w:rsidRPr="00AE0B3D">
        <w:t xml:space="preserve"> obtain the </w:t>
      </w:r>
      <w:r w:rsidR="005A6858" w:rsidRPr="00AE0B3D">
        <w:t>remuneration</w:t>
      </w:r>
      <w:r w:rsidR="007A40B9" w:rsidRPr="00AE0B3D">
        <w:t xml:space="preserve"> of the top management of the selected company. Focus </w:t>
      </w:r>
      <w:r w:rsidR="006A5250" w:rsidRPr="00AE0B3D">
        <w:t>was</w:t>
      </w:r>
      <w:r w:rsidR="007A40B9" w:rsidRPr="00AE0B3D">
        <w:t xml:space="preserve"> on the company CEO. </w:t>
      </w:r>
    </w:p>
    <w:tbl>
      <w:tblPr>
        <w:tblStyle w:val="TableGrid"/>
        <w:tblW w:w="0" w:type="auto"/>
        <w:tblLook w:val="04A0" w:firstRow="1" w:lastRow="0" w:firstColumn="1" w:lastColumn="0" w:noHBand="0" w:noVBand="1"/>
      </w:tblPr>
      <w:tblGrid>
        <w:gridCol w:w="1994"/>
        <w:gridCol w:w="1233"/>
        <w:gridCol w:w="1134"/>
        <w:gridCol w:w="1559"/>
        <w:gridCol w:w="1985"/>
      </w:tblGrid>
      <w:tr w:rsidR="00AE0B3D" w:rsidRPr="00AE0B3D" w14:paraId="07316A75" w14:textId="77777777" w:rsidTr="005C57D2">
        <w:tc>
          <w:tcPr>
            <w:tcW w:w="1994" w:type="dxa"/>
          </w:tcPr>
          <w:p w14:paraId="7EA11D2E" w14:textId="77777777" w:rsidR="005C57D2" w:rsidRPr="00AE0B3D" w:rsidRDefault="005C57D2" w:rsidP="00B157FE">
            <w:pPr>
              <w:ind w:firstLine="0"/>
            </w:pPr>
          </w:p>
        </w:tc>
        <w:tc>
          <w:tcPr>
            <w:tcW w:w="5911" w:type="dxa"/>
            <w:gridSpan w:val="4"/>
          </w:tcPr>
          <w:p w14:paraId="05E972A3" w14:textId="77777777" w:rsidR="005C57D2" w:rsidRPr="00AE0B3D" w:rsidRDefault="005C57D2" w:rsidP="00B6547F">
            <w:pPr>
              <w:ind w:firstLine="0"/>
              <w:jc w:val="center"/>
            </w:pPr>
            <w:r w:rsidRPr="00AE0B3D">
              <w:t>Remuneration</w:t>
            </w:r>
          </w:p>
        </w:tc>
      </w:tr>
      <w:tr w:rsidR="00AE0B3D" w:rsidRPr="00AE0B3D" w14:paraId="1E5DCFC0" w14:textId="77777777" w:rsidTr="002D3ECF">
        <w:tc>
          <w:tcPr>
            <w:tcW w:w="1994" w:type="dxa"/>
          </w:tcPr>
          <w:p w14:paraId="0DCDC1BB" w14:textId="77777777" w:rsidR="005C57D2" w:rsidRPr="00AE0B3D" w:rsidRDefault="005C57D2" w:rsidP="00B157FE">
            <w:pPr>
              <w:ind w:firstLine="0"/>
            </w:pPr>
            <w:r w:rsidRPr="00AE0B3D">
              <w:t>Financial Year</w:t>
            </w:r>
          </w:p>
        </w:tc>
        <w:tc>
          <w:tcPr>
            <w:tcW w:w="1233" w:type="dxa"/>
          </w:tcPr>
          <w:p w14:paraId="298DD164" w14:textId="77777777" w:rsidR="005C57D2" w:rsidRPr="00AE0B3D" w:rsidRDefault="005C57D2" w:rsidP="00B157FE">
            <w:pPr>
              <w:ind w:firstLine="0"/>
            </w:pPr>
            <w:r w:rsidRPr="00AE0B3D">
              <w:t>Salary</w:t>
            </w:r>
          </w:p>
        </w:tc>
        <w:tc>
          <w:tcPr>
            <w:tcW w:w="1134" w:type="dxa"/>
          </w:tcPr>
          <w:p w14:paraId="40A6B47B" w14:textId="77777777" w:rsidR="005C57D2" w:rsidRPr="00AE0B3D" w:rsidRDefault="005C57D2" w:rsidP="00B157FE">
            <w:pPr>
              <w:ind w:firstLine="0"/>
            </w:pPr>
            <w:r w:rsidRPr="00AE0B3D">
              <w:t>Benefits</w:t>
            </w:r>
          </w:p>
        </w:tc>
        <w:tc>
          <w:tcPr>
            <w:tcW w:w="1559" w:type="dxa"/>
          </w:tcPr>
          <w:p w14:paraId="5666B3A4" w14:textId="77777777" w:rsidR="005C57D2" w:rsidRPr="00AE0B3D" w:rsidRDefault="005C57D2" w:rsidP="00B157FE">
            <w:pPr>
              <w:ind w:firstLine="0"/>
            </w:pPr>
            <w:r w:rsidRPr="00AE0B3D">
              <w:t>Bonus</w:t>
            </w:r>
          </w:p>
        </w:tc>
        <w:tc>
          <w:tcPr>
            <w:tcW w:w="1985" w:type="dxa"/>
          </w:tcPr>
          <w:p w14:paraId="3D067611" w14:textId="6023B610" w:rsidR="005C57D2" w:rsidRPr="00AE0B3D" w:rsidRDefault="00C63AA1" w:rsidP="00B157FE">
            <w:pPr>
              <w:ind w:firstLine="0"/>
            </w:pPr>
            <w:r>
              <w:t>Allowances</w:t>
            </w:r>
          </w:p>
        </w:tc>
      </w:tr>
      <w:tr w:rsidR="00AE0B3D" w:rsidRPr="00AE0B3D" w14:paraId="17F5492A" w14:textId="77777777" w:rsidTr="002D3ECF">
        <w:tc>
          <w:tcPr>
            <w:tcW w:w="1994" w:type="dxa"/>
          </w:tcPr>
          <w:p w14:paraId="5DACD3BA" w14:textId="0BEC99CB" w:rsidR="005C57D2" w:rsidRPr="00AE0B3D" w:rsidRDefault="005630AD" w:rsidP="00B157FE">
            <w:pPr>
              <w:ind w:firstLine="0"/>
            </w:pPr>
            <w:r w:rsidRPr="00AE0B3D">
              <w:t>2016</w:t>
            </w:r>
          </w:p>
        </w:tc>
        <w:tc>
          <w:tcPr>
            <w:tcW w:w="1233" w:type="dxa"/>
          </w:tcPr>
          <w:p w14:paraId="4A4363DB" w14:textId="77777777" w:rsidR="005C57D2" w:rsidRPr="00AE0B3D" w:rsidRDefault="005C57D2" w:rsidP="00B157FE">
            <w:pPr>
              <w:ind w:firstLine="0"/>
            </w:pPr>
          </w:p>
        </w:tc>
        <w:tc>
          <w:tcPr>
            <w:tcW w:w="1134" w:type="dxa"/>
          </w:tcPr>
          <w:p w14:paraId="165AA7DF" w14:textId="77777777" w:rsidR="005C57D2" w:rsidRPr="00AE0B3D" w:rsidRDefault="005C57D2" w:rsidP="00B157FE">
            <w:pPr>
              <w:ind w:firstLine="0"/>
            </w:pPr>
          </w:p>
        </w:tc>
        <w:tc>
          <w:tcPr>
            <w:tcW w:w="1559" w:type="dxa"/>
          </w:tcPr>
          <w:p w14:paraId="2EE6CB49" w14:textId="77777777" w:rsidR="005C57D2" w:rsidRPr="00AE0B3D" w:rsidRDefault="005C57D2" w:rsidP="00B157FE">
            <w:pPr>
              <w:ind w:firstLine="0"/>
            </w:pPr>
          </w:p>
        </w:tc>
        <w:tc>
          <w:tcPr>
            <w:tcW w:w="1985" w:type="dxa"/>
          </w:tcPr>
          <w:p w14:paraId="67118EFA" w14:textId="77777777" w:rsidR="005C57D2" w:rsidRPr="00AE0B3D" w:rsidRDefault="005C57D2" w:rsidP="00B157FE">
            <w:pPr>
              <w:ind w:firstLine="0"/>
            </w:pPr>
          </w:p>
        </w:tc>
      </w:tr>
      <w:tr w:rsidR="00AE0B3D" w:rsidRPr="00AE0B3D" w14:paraId="21EAE9B4" w14:textId="77777777" w:rsidTr="002D3ECF">
        <w:tc>
          <w:tcPr>
            <w:tcW w:w="1994" w:type="dxa"/>
          </w:tcPr>
          <w:p w14:paraId="1CD82962" w14:textId="1B327A23" w:rsidR="005C57D2" w:rsidRPr="00AE0B3D" w:rsidRDefault="005630AD" w:rsidP="00B157FE">
            <w:pPr>
              <w:ind w:firstLine="0"/>
            </w:pPr>
            <w:r w:rsidRPr="00AE0B3D">
              <w:t>2017</w:t>
            </w:r>
          </w:p>
        </w:tc>
        <w:tc>
          <w:tcPr>
            <w:tcW w:w="1233" w:type="dxa"/>
          </w:tcPr>
          <w:p w14:paraId="2BB86048" w14:textId="77777777" w:rsidR="005C57D2" w:rsidRPr="00AE0B3D" w:rsidRDefault="005C57D2" w:rsidP="00B157FE">
            <w:pPr>
              <w:ind w:firstLine="0"/>
            </w:pPr>
          </w:p>
        </w:tc>
        <w:tc>
          <w:tcPr>
            <w:tcW w:w="1134" w:type="dxa"/>
          </w:tcPr>
          <w:p w14:paraId="5B526F2A" w14:textId="77777777" w:rsidR="005C57D2" w:rsidRPr="00AE0B3D" w:rsidRDefault="005C57D2" w:rsidP="00B157FE">
            <w:pPr>
              <w:ind w:firstLine="0"/>
            </w:pPr>
          </w:p>
        </w:tc>
        <w:tc>
          <w:tcPr>
            <w:tcW w:w="1559" w:type="dxa"/>
          </w:tcPr>
          <w:p w14:paraId="047F8344" w14:textId="77777777" w:rsidR="005C57D2" w:rsidRPr="00AE0B3D" w:rsidRDefault="005C57D2" w:rsidP="00B157FE">
            <w:pPr>
              <w:ind w:firstLine="0"/>
            </w:pPr>
          </w:p>
        </w:tc>
        <w:tc>
          <w:tcPr>
            <w:tcW w:w="1985" w:type="dxa"/>
          </w:tcPr>
          <w:p w14:paraId="2ADB757C" w14:textId="77777777" w:rsidR="005C57D2" w:rsidRPr="00AE0B3D" w:rsidRDefault="005C57D2" w:rsidP="00B157FE">
            <w:pPr>
              <w:ind w:firstLine="0"/>
            </w:pPr>
          </w:p>
        </w:tc>
      </w:tr>
      <w:tr w:rsidR="00AE0B3D" w:rsidRPr="00AE0B3D" w14:paraId="4A78319C" w14:textId="77777777" w:rsidTr="002D3ECF">
        <w:tc>
          <w:tcPr>
            <w:tcW w:w="1994" w:type="dxa"/>
          </w:tcPr>
          <w:p w14:paraId="4F7E141D" w14:textId="6BBC1668" w:rsidR="005630AD" w:rsidRPr="00AE0B3D" w:rsidRDefault="005630AD" w:rsidP="00B157FE">
            <w:pPr>
              <w:ind w:firstLine="0"/>
            </w:pPr>
            <w:r w:rsidRPr="00AE0B3D">
              <w:t>2018</w:t>
            </w:r>
          </w:p>
        </w:tc>
        <w:tc>
          <w:tcPr>
            <w:tcW w:w="1233" w:type="dxa"/>
          </w:tcPr>
          <w:p w14:paraId="32D67780" w14:textId="77777777" w:rsidR="005630AD" w:rsidRPr="00AE0B3D" w:rsidRDefault="005630AD" w:rsidP="00B157FE">
            <w:pPr>
              <w:ind w:firstLine="0"/>
            </w:pPr>
          </w:p>
        </w:tc>
        <w:tc>
          <w:tcPr>
            <w:tcW w:w="1134" w:type="dxa"/>
          </w:tcPr>
          <w:p w14:paraId="68B3309B" w14:textId="77777777" w:rsidR="005630AD" w:rsidRPr="00AE0B3D" w:rsidRDefault="005630AD" w:rsidP="00B157FE">
            <w:pPr>
              <w:ind w:firstLine="0"/>
            </w:pPr>
          </w:p>
        </w:tc>
        <w:tc>
          <w:tcPr>
            <w:tcW w:w="1559" w:type="dxa"/>
          </w:tcPr>
          <w:p w14:paraId="3D5C929C" w14:textId="77777777" w:rsidR="005630AD" w:rsidRPr="00AE0B3D" w:rsidRDefault="005630AD" w:rsidP="00B157FE">
            <w:pPr>
              <w:ind w:firstLine="0"/>
            </w:pPr>
          </w:p>
        </w:tc>
        <w:tc>
          <w:tcPr>
            <w:tcW w:w="1985" w:type="dxa"/>
          </w:tcPr>
          <w:p w14:paraId="23713E85" w14:textId="77777777" w:rsidR="005630AD" w:rsidRPr="00AE0B3D" w:rsidRDefault="005630AD" w:rsidP="00B157FE">
            <w:pPr>
              <w:ind w:firstLine="0"/>
            </w:pPr>
          </w:p>
        </w:tc>
      </w:tr>
    </w:tbl>
    <w:p w14:paraId="7D302901" w14:textId="20DDECD8" w:rsidR="000A2043" w:rsidRPr="00AE0B3D" w:rsidRDefault="00003C5E" w:rsidP="002F2E7C">
      <w:pPr>
        <w:rPr>
          <w:rFonts w:cs="Times New Roman"/>
        </w:rPr>
      </w:pPr>
      <w:r w:rsidRPr="00AE0B3D">
        <w:rPr>
          <w:rFonts w:cs="Times New Roman"/>
        </w:rPr>
        <w:t>The table capture</w:t>
      </w:r>
      <w:r w:rsidR="003F4A35">
        <w:rPr>
          <w:rFonts w:cs="Times New Roman"/>
        </w:rPr>
        <w:t>d</w:t>
      </w:r>
      <w:r w:rsidRPr="00AE0B3D">
        <w:rPr>
          <w:rFonts w:cs="Times New Roman"/>
        </w:rPr>
        <w:t xml:space="preserve"> </w:t>
      </w:r>
      <w:r w:rsidR="009D50F3" w:rsidRPr="00AE0B3D">
        <w:rPr>
          <w:rFonts w:cs="Times New Roman"/>
        </w:rPr>
        <w:t xml:space="preserve">the financial performance of the organisation using </w:t>
      </w:r>
      <w:r w:rsidR="002F2E7C" w:rsidRPr="00AE0B3D">
        <w:rPr>
          <w:rFonts w:cs="Times New Roman"/>
        </w:rPr>
        <w:t xml:space="preserve">the </w:t>
      </w:r>
      <w:r w:rsidR="002F2E7C" w:rsidRPr="00AE0B3D">
        <w:t xml:space="preserve">Profitability, </w:t>
      </w:r>
      <w:r w:rsidR="002F2E7C" w:rsidRPr="00AE0B3D">
        <w:rPr>
          <w:rFonts w:cs="Times New Roman"/>
        </w:rPr>
        <w:t>ROE</w:t>
      </w:r>
      <w:r w:rsidR="009D50F3" w:rsidRPr="00AE0B3D">
        <w:rPr>
          <w:rFonts w:cs="Times New Roman"/>
        </w:rPr>
        <w:t xml:space="preserve">, market share, </w:t>
      </w:r>
      <w:r w:rsidR="00745D49" w:rsidRPr="00AE0B3D">
        <w:rPr>
          <w:rFonts w:cs="Times New Roman"/>
        </w:rPr>
        <w:t xml:space="preserve">sales volume and share prices as the measures </w:t>
      </w:r>
    </w:p>
    <w:tbl>
      <w:tblPr>
        <w:tblStyle w:val="TableGrid"/>
        <w:tblW w:w="0" w:type="auto"/>
        <w:tblLook w:val="04A0" w:firstRow="1" w:lastRow="0" w:firstColumn="1" w:lastColumn="0" w:noHBand="0" w:noVBand="1"/>
      </w:tblPr>
      <w:tblGrid>
        <w:gridCol w:w="1669"/>
        <w:gridCol w:w="1689"/>
        <w:gridCol w:w="1023"/>
        <w:gridCol w:w="1357"/>
        <w:gridCol w:w="1549"/>
        <w:gridCol w:w="1343"/>
      </w:tblGrid>
      <w:tr w:rsidR="00AE0B3D" w:rsidRPr="00AE0B3D" w14:paraId="618257E9" w14:textId="77777777" w:rsidTr="004E4D05">
        <w:tc>
          <w:tcPr>
            <w:tcW w:w="1812" w:type="dxa"/>
          </w:tcPr>
          <w:p w14:paraId="3BA205DF" w14:textId="77777777" w:rsidR="00E37E56" w:rsidRPr="00AE0B3D" w:rsidRDefault="00E37E56" w:rsidP="00A57199">
            <w:pPr>
              <w:ind w:firstLine="0"/>
            </w:pPr>
          </w:p>
        </w:tc>
        <w:tc>
          <w:tcPr>
            <w:tcW w:w="7538" w:type="dxa"/>
            <w:gridSpan w:val="5"/>
          </w:tcPr>
          <w:p w14:paraId="03E41EE8" w14:textId="2D5895D6" w:rsidR="00E37E56" w:rsidRPr="00AE0B3D" w:rsidRDefault="00E37E56" w:rsidP="00E37E56">
            <w:pPr>
              <w:ind w:firstLine="0"/>
              <w:jc w:val="center"/>
            </w:pPr>
            <w:r w:rsidRPr="00AE0B3D">
              <w:t>Financial performance</w:t>
            </w:r>
          </w:p>
        </w:tc>
      </w:tr>
      <w:tr w:rsidR="00AE0B3D" w:rsidRPr="00AE0B3D" w14:paraId="50ACE134" w14:textId="77777777" w:rsidTr="002E5A40">
        <w:trPr>
          <w:trHeight w:val="707"/>
        </w:trPr>
        <w:tc>
          <w:tcPr>
            <w:tcW w:w="1812" w:type="dxa"/>
          </w:tcPr>
          <w:p w14:paraId="6073773C" w14:textId="77777777" w:rsidR="00E37E56" w:rsidRPr="00AE0B3D" w:rsidRDefault="00E37E56" w:rsidP="00A57199">
            <w:pPr>
              <w:ind w:firstLine="0"/>
            </w:pPr>
            <w:r w:rsidRPr="00AE0B3D">
              <w:t>Financial Year</w:t>
            </w:r>
          </w:p>
        </w:tc>
        <w:tc>
          <w:tcPr>
            <w:tcW w:w="1769" w:type="dxa"/>
          </w:tcPr>
          <w:p w14:paraId="1EDE8883" w14:textId="46F9490D" w:rsidR="00E37E56" w:rsidRPr="00AE0B3D" w:rsidRDefault="00E37E56" w:rsidP="00AF1E0E">
            <w:pPr>
              <w:ind w:firstLine="0"/>
            </w:pPr>
            <w:r w:rsidRPr="00AE0B3D">
              <w:t>Profitability</w:t>
            </w:r>
          </w:p>
        </w:tc>
        <w:tc>
          <w:tcPr>
            <w:tcW w:w="1107" w:type="dxa"/>
          </w:tcPr>
          <w:p w14:paraId="6B362416" w14:textId="4EAB5B68" w:rsidR="00E37E56" w:rsidRPr="00AE0B3D" w:rsidRDefault="00E37E56" w:rsidP="00A57199">
            <w:pPr>
              <w:ind w:firstLine="0"/>
            </w:pPr>
            <w:r w:rsidRPr="00AE0B3D">
              <w:t>ROE</w:t>
            </w:r>
          </w:p>
        </w:tc>
        <w:tc>
          <w:tcPr>
            <w:tcW w:w="1519" w:type="dxa"/>
          </w:tcPr>
          <w:p w14:paraId="17135615" w14:textId="07A77174" w:rsidR="00E37E56" w:rsidRPr="00AE0B3D" w:rsidRDefault="00C63AA1" w:rsidP="00A57199">
            <w:pPr>
              <w:ind w:firstLine="0"/>
            </w:pPr>
            <w:r>
              <w:t>ROA</w:t>
            </w:r>
          </w:p>
        </w:tc>
        <w:tc>
          <w:tcPr>
            <w:tcW w:w="1658" w:type="dxa"/>
          </w:tcPr>
          <w:p w14:paraId="5BDA214B" w14:textId="2DF3A7D0" w:rsidR="00E37E56" w:rsidRPr="00AE0B3D" w:rsidRDefault="00066825" w:rsidP="00A57199">
            <w:pPr>
              <w:ind w:firstLine="0"/>
            </w:pPr>
            <w:r>
              <w:t>operating expense</w:t>
            </w:r>
          </w:p>
        </w:tc>
        <w:tc>
          <w:tcPr>
            <w:tcW w:w="1485" w:type="dxa"/>
          </w:tcPr>
          <w:p w14:paraId="5A3C26E4" w14:textId="77777777" w:rsidR="00E37E56" w:rsidRPr="00AE0B3D" w:rsidRDefault="00E37E56" w:rsidP="00A57199">
            <w:pPr>
              <w:ind w:firstLine="0"/>
            </w:pPr>
            <w:r w:rsidRPr="00AE0B3D">
              <w:t>Share prices</w:t>
            </w:r>
          </w:p>
        </w:tc>
      </w:tr>
      <w:tr w:rsidR="00AE0B3D" w:rsidRPr="00AE0B3D" w14:paraId="6EB4CCAD" w14:textId="77777777" w:rsidTr="004E4D05">
        <w:tc>
          <w:tcPr>
            <w:tcW w:w="1812" w:type="dxa"/>
          </w:tcPr>
          <w:p w14:paraId="27345B83" w14:textId="6E52B13E" w:rsidR="00E37E56" w:rsidRPr="00AE0B3D" w:rsidRDefault="00E37E56" w:rsidP="00A57199">
            <w:pPr>
              <w:ind w:firstLine="0"/>
            </w:pPr>
            <w:r w:rsidRPr="00AE0B3D">
              <w:t>2016</w:t>
            </w:r>
          </w:p>
        </w:tc>
        <w:tc>
          <w:tcPr>
            <w:tcW w:w="1769" w:type="dxa"/>
          </w:tcPr>
          <w:p w14:paraId="68FC0BBB" w14:textId="77777777" w:rsidR="00E37E56" w:rsidRPr="00AE0B3D" w:rsidRDefault="00E37E56" w:rsidP="00A57199">
            <w:pPr>
              <w:ind w:firstLine="0"/>
            </w:pPr>
          </w:p>
        </w:tc>
        <w:tc>
          <w:tcPr>
            <w:tcW w:w="1107" w:type="dxa"/>
          </w:tcPr>
          <w:p w14:paraId="5DA6C67D" w14:textId="05D8CB4D" w:rsidR="00E37E56" w:rsidRPr="00AE0B3D" w:rsidRDefault="00E37E56" w:rsidP="00A57199">
            <w:pPr>
              <w:ind w:firstLine="0"/>
            </w:pPr>
          </w:p>
        </w:tc>
        <w:tc>
          <w:tcPr>
            <w:tcW w:w="1519" w:type="dxa"/>
          </w:tcPr>
          <w:p w14:paraId="62198977" w14:textId="77777777" w:rsidR="00E37E56" w:rsidRPr="00AE0B3D" w:rsidRDefault="00E37E56" w:rsidP="00A57199">
            <w:pPr>
              <w:ind w:firstLine="0"/>
            </w:pPr>
          </w:p>
        </w:tc>
        <w:tc>
          <w:tcPr>
            <w:tcW w:w="1658" w:type="dxa"/>
          </w:tcPr>
          <w:p w14:paraId="08BB9531" w14:textId="77777777" w:rsidR="00E37E56" w:rsidRPr="00AE0B3D" w:rsidRDefault="00E37E56" w:rsidP="00A57199">
            <w:pPr>
              <w:ind w:firstLine="0"/>
            </w:pPr>
          </w:p>
        </w:tc>
        <w:tc>
          <w:tcPr>
            <w:tcW w:w="1485" w:type="dxa"/>
          </w:tcPr>
          <w:p w14:paraId="1F572F0D" w14:textId="77777777" w:rsidR="00E37E56" w:rsidRPr="00AE0B3D" w:rsidRDefault="00E37E56" w:rsidP="00A57199">
            <w:pPr>
              <w:ind w:firstLine="0"/>
            </w:pPr>
          </w:p>
        </w:tc>
      </w:tr>
      <w:tr w:rsidR="00AE0B3D" w:rsidRPr="00AE0B3D" w14:paraId="40032B26" w14:textId="77777777" w:rsidTr="004E4D05">
        <w:tc>
          <w:tcPr>
            <w:tcW w:w="1812" w:type="dxa"/>
          </w:tcPr>
          <w:p w14:paraId="291D0994" w14:textId="71F4DC37" w:rsidR="00E37E56" w:rsidRPr="00AE0B3D" w:rsidRDefault="00E37E56" w:rsidP="00A57199">
            <w:pPr>
              <w:ind w:firstLine="0"/>
            </w:pPr>
            <w:r w:rsidRPr="00AE0B3D">
              <w:t>2017</w:t>
            </w:r>
          </w:p>
        </w:tc>
        <w:tc>
          <w:tcPr>
            <w:tcW w:w="1769" w:type="dxa"/>
          </w:tcPr>
          <w:p w14:paraId="45F80BDD" w14:textId="77777777" w:rsidR="00E37E56" w:rsidRPr="00AE0B3D" w:rsidRDefault="00E37E56" w:rsidP="00A57199">
            <w:pPr>
              <w:ind w:firstLine="0"/>
            </w:pPr>
          </w:p>
        </w:tc>
        <w:tc>
          <w:tcPr>
            <w:tcW w:w="1107" w:type="dxa"/>
          </w:tcPr>
          <w:p w14:paraId="3BC66520" w14:textId="285AFF12" w:rsidR="00E37E56" w:rsidRPr="00AE0B3D" w:rsidRDefault="00E37E56" w:rsidP="00A57199">
            <w:pPr>
              <w:ind w:firstLine="0"/>
            </w:pPr>
          </w:p>
        </w:tc>
        <w:tc>
          <w:tcPr>
            <w:tcW w:w="1519" w:type="dxa"/>
          </w:tcPr>
          <w:p w14:paraId="4522417C" w14:textId="77777777" w:rsidR="00E37E56" w:rsidRPr="00AE0B3D" w:rsidRDefault="00E37E56" w:rsidP="00A57199">
            <w:pPr>
              <w:ind w:firstLine="0"/>
            </w:pPr>
          </w:p>
        </w:tc>
        <w:tc>
          <w:tcPr>
            <w:tcW w:w="1658" w:type="dxa"/>
          </w:tcPr>
          <w:p w14:paraId="4E37091D" w14:textId="77777777" w:rsidR="00E37E56" w:rsidRPr="00AE0B3D" w:rsidRDefault="00E37E56" w:rsidP="00A57199">
            <w:pPr>
              <w:ind w:firstLine="0"/>
            </w:pPr>
          </w:p>
        </w:tc>
        <w:tc>
          <w:tcPr>
            <w:tcW w:w="1485" w:type="dxa"/>
          </w:tcPr>
          <w:p w14:paraId="306579EC" w14:textId="77777777" w:rsidR="00E37E56" w:rsidRPr="00AE0B3D" w:rsidRDefault="00E37E56" w:rsidP="00A57199">
            <w:pPr>
              <w:ind w:firstLine="0"/>
            </w:pPr>
          </w:p>
        </w:tc>
      </w:tr>
      <w:tr w:rsidR="00AE0B3D" w:rsidRPr="00AE0B3D" w14:paraId="0DE0C98E" w14:textId="77777777" w:rsidTr="004E4D05">
        <w:tc>
          <w:tcPr>
            <w:tcW w:w="1812" w:type="dxa"/>
          </w:tcPr>
          <w:p w14:paraId="6026D580" w14:textId="01F04346" w:rsidR="00E37E56" w:rsidRPr="00AE0B3D" w:rsidRDefault="00E37E56" w:rsidP="00A57199">
            <w:pPr>
              <w:ind w:firstLine="0"/>
            </w:pPr>
            <w:r w:rsidRPr="00AE0B3D">
              <w:t>2018</w:t>
            </w:r>
          </w:p>
        </w:tc>
        <w:tc>
          <w:tcPr>
            <w:tcW w:w="1769" w:type="dxa"/>
          </w:tcPr>
          <w:p w14:paraId="10AB4CDD" w14:textId="77777777" w:rsidR="00E37E56" w:rsidRPr="00AE0B3D" w:rsidRDefault="00E37E56" w:rsidP="00A57199">
            <w:pPr>
              <w:ind w:firstLine="0"/>
            </w:pPr>
          </w:p>
        </w:tc>
        <w:tc>
          <w:tcPr>
            <w:tcW w:w="1107" w:type="dxa"/>
          </w:tcPr>
          <w:p w14:paraId="5338755A" w14:textId="57EBEB36" w:rsidR="00E37E56" w:rsidRPr="00AE0B3D" w:rsidRDefault="00E37E56" w:rsidP="00A57199">
            <w:pPr>
              <w:ind w:firstLine="0"/>
            </w:pPr>
          </w:p>
        </w:tc>
        <w:tc>
          <w:tcPr>
            <w:tcW w:w="1519" w:type="dxa"/>
          </w:tcPr>
          <w:p w14:paraId="37FAEF4A" w14:textId="77777777" w:rsidR="00E37E56" w:rsidRPr="00AE0B3D" w:rsidRDefault="00E37E56" w:rsidP="00A57199">
            <w:pPr>
              <w:ind w:firstLine="0"/>
            </w:pPr>
          </w:p>
        </w:tc>
        <w:tc>
          <w:tcPr>
            <w:tcW w:w="1658" w:type="dxa"/>
          </w:tcPr>
          <w:p w14:paraId="30BAAB72" w14:textId="77777777" w:rsidR="00E37E56" w:rsidRPr="00AE0B3D" w:rsidRDefault="00E37E56" w:rsidP="00A57199">
            <w:pPr>
              <w:ind w:firstLine="0"/>
            </w:pPr>
          </w:p>
        </w:tc>
        <w:tc>
          <w:tcPr>
            <w:tcW w:w="1485" w:type="dxa"/>
          </w:tcPr>
          <w:p w14:paraId="04500BC9" w14:textId="77777777" w:rsidR="00E37E56" w:rsidRPr="00AE0B3D" w:rsidRDefault="00E37E56" w:rsidP="00A57199">
            <w:pPr>
              <w:ind w:firstLine="0"/>
            </w:pPr>
          </w:p>
        </w:tc>
      </w:tr>
    </w:tbl>
    <w:p w14:paraId="5E68CB8E" w14:textId="65FED6E9" w:rsidR="006B3120" w:rsidRPr="00AE0B3D" w:rsidRDefault="006B3120" w:rsidP="004E7389">
      <w:pPr>
        <w:rPr>
          <w:rFonts w:cs="Times New Roman"/>
        </w:rPr>
      </w:pPr>
    </w:p>
    <w:p w14:paraId="7C878986" w14:textId="77777777" w:rsidR="006B3120" w:rsidRPr="00AE0B3D" w:rsidRDefault="006B3120">
      <w:pPr>
        <w:spacing w:line="259" w:lineRule="auto"/>
        <w:ind w:firstLine="0"/>
        <w:jc w:val="left"/>
        <w:rPr>
          <w:rFonts w:cs="Times New Roman"/>
        </w:rPr>
      </w:pPr>
      <w:r w:rsidRPr="00AE0B3D">
        <w:rPr>
          <w:rFonts w:cs="Times New Roman"/>
        </w:rPr>
        <w:br w:type="page"/>
      </w:r>
    </w:p>
    <w:p w14:paraId="4623C9BB" w14:textId="421BE9A5" w:rsidR="008955A4" w:rsidRPr="00AE0B3D" w:rsidRDefault="006B3120" w:rsidP="00CE1B92">
      <w:pPr>
        <w:pStyle w:val="Heading2"/>
      </w:pPr>
      <w:bookmarkStart w:id="92" w:name="_Toc78067546"/>
      <w:r w:rsidRPr="00AE0B3D">
        <w:lastRenderedPageBreak/>
        <w:t>Appendix 4: public listed companies in NSE under the different categories.</w:t>
      </w:r>
      <w:bookmarkEnd w:id="92"/>
    </w:p>
    <w:tbl>
      <w:tblPr>
        <w:tblW w:w="7900" w:type="dxa"/>
        <w:tblLook w:val="04A0" w:firstRow="1" w:lastRow="0" w:firstColumn="1" w:lastColumn="0" w:noHBand="0" w:noVBand="1"/>
      </w:tblPr>
      <w:tblGrid>
        <w:gridCol w:w="4440"/>
        <w:gridCol w:w="1740"/>
        <w:gridCol w:w="1720"/>
      </w:tblGrid>
      <w:tr w:rsidR="00AE0B3D" w:rsidRPr="00AE0B3D" w14:paraId="4B1F0C49" w14:textId="77777777" w:rsidTr="006B3120">
        <w:trPr>
          <w:trHeight w:val="290"/>
        </w:trPr>
        <w:tc>
          <w:tcPr>
            <w:tcW w:w="4440" w:type="dxa"/>
            <w:tcBorders>
              <w:top w:val="single" w:sz="4" w:space="0" w:color="auto"/>
              <w:left w:val="nil"/>
              <w:bottom w:val="nil"/>
              <w:right w:val="nil"/>
            </w:tcBorders>
            <w:shd w:val="clear" w:color="auto" w:fill="auto"/>
            <w:noWrap/>
            <w:vAlign w:val="bottom"/>
            <w:hideMark/>
          </w:tcPr>
          <w:p w14:paraId="3EF98091"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r w:rsidRPr="00AE0B3D">
              <w:rPr>
                <w:rFonts w:ascii="Calibri" w:eastAsia="Times New Roman" w:hAnsi="Calibri" w:cs="Calibri"/>
                <w:b/>
                <w:bCs/>
                <w:sz w:val="20"/>
                <w:szCs w:val="20"/>
              </w:rPr>
              <w:t>FEATURES OF NSE EQUITY SECURITIES</w:t>
            </w:r>
          </w:p>
        </w:tc>
        <w:tc>
          <w:tcPr>
            <w:tcW w:w="1740" w:type="dxa"/>
            <w:tcBorders>
              <w:top w:val="single" w:sz="4" w:space="0" w:color="auto"/>
              <w:left w:val="nil"/>
              <w:bottom w:val="nil"/>
              <w:right w:val="nil"/>
            </w:tcBorders>
            <w:shd w:val="clear" w:color="auto" w:fill="auto"/>
            <w:noWrap/>
            <w:vAlign w:val="bottom"/>
            <w:hideMark/>
          </w:tcPr>
          <w:p w14:paraId="04C6017D"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w:t>
            </w:r>
          </w:p>
        </w:tc>
        <w:tc>
          <w:tcPr>
            <w:tcW w:w="1720" w:type="dxa"/>
            <w:tcBorders>
              <w:top w:val="single" w:sz="4" w:space="0" w:color="auto"/>
              <w:left w:val="nil"/>
              <w:bottom w:val="nil"/>
              <w:right w:val="nil"/>
            </w:tcBorders>
            <w:shd w:val="clear" w:color="auto" w:fill="auto"/>
            <w:noWrap/>
            <w:vAlign w:val="bottom"/>
            <w:hideMark/>
          </w:tcPr>
          <w:p w14:paraId="3B33BE79"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w:t>
            </w:r>
          </w:p>
        </w:tc>
      </w:tr>
      <w:tr w:rsidR="00AE0B3D" w:rsidRPr="00AE0B3D" w14:paraId="4DD3AD5E" w14:textId="77777777" w:rsidTr="006B3120">
        <w:trPr>
          <w:trHeight w:val="290"/>
        </w:trPr>
        <w:tc>
          <w:tcPr>
            <w:tcW w:w="4440" w:type="dxa"/>
            <w:tcBorders>
              <w:top w:val="nil"/>
              <w:left w:val="nil"/>
              <w:bottom w:val="single" w:sz="4" w:space="0" w:color="auto"/>
              <w:right w:val="nil"/>
            </w:tcBorders>
            <w:shd w:val="clear" w:color="000000" w:fill="92D050"/>
            <w:noWrap/>
            <w:vAlign w:val="bottom"/>
            <w:hideMark/>
          </w:tcPr>
          <w:p w14:paraId="01272EAE"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r w:rsidRPr="00AE0B3D">
              <w:rPr>
                <w:rFonts w:ascii="Calibri" w:eastAsia="Times New Roman" w:hAnsi="Calibri" w:cs="Calibri"/>
                <w:b/>
                <w:bCs/>
                <w:sz w:val="20"/>
                <w:szCs w:val="20"/>
              </w:rPr>
              <w:t>SECURITIES</w:t>
            </w:r>
          </w:p>
        </w:tc>
        <w:tc>
          <w:tcPr>
            <w:tcW w:w="1740" w:type="dxa"/>
            <w:tcBorders>
              <w:top w:val="nil"/>
              <w:left w:val="nil"/>
              <w:bottom w:val="single" w:sz="4" w:space="0" w:color="auto"/>
              <w:right w:val="nil"/>
            </w:tcBorders>
            <w:shd w:val="clear" w:color="000000" w:fill="92D050"/>
            <w:noWrap/>
            <w:vAlign w:val="bottom"/>
            <w:hideMark/>
          </w:tcPr>
          <w:p w14:paraId="57367ABD" w14:textId="77777777" w:rsidR="006B3120" w:rsidRPr="00AE0B3D" w:rsidRDefault="006B3120" w:rsidP="006B3120">
            <w:pPr>
              <w:spacing w:after="0" w:line="240" w:lineRule="auto"/>
              <w:ind w:firstLine="0"/>
              <w:jc w:val="center"/>
              <w:rPr>
                <w:rFonts w:ascii="Calibri" w:eastAsia="Times New Roman" w:hAnsi="Calibri" w:cs="Calibri"/>
                <w:b/>
                <w:bCs/>
                <w:sz w:val="20"/>
                <w:szCs w:val="20"/>
              </w:rPr>
            </w:pPr>
            <w:r w:rsidRPr="00AE0B3D">
              <w:rPr>
                <w:rFonts w:ascii="Calibri" w:eastAsia="Times New Roman" w:hAnsi="Calibri" w:cs="Calibri"/>
                <w:b/>
                <w:bCs/>
                <w:sz w:val="20"/>
                <w:szCs w:val="20"/>
              </w:rPr>
              <w:t xml:space="preserve"> </w:t>
            </w:r>
            <w:proofErr w:type="gramStart"/>
            <w:r w:rsidRPr="00AE0B3D">
              <w:rPr>
                <w:rFonts w:ascii="Calibri" w:eastAsia="Times New Roman" w:hAnsi="Calibri" w:cs="Calibri"/>
                <w:b/>
                <w:bCs/>
                <w:sz w:val="20"/>
                <w:szCs w:val="20"/>
              </w:rPr>
              <w:t>ISIN  CODE</w:t>
            </w:r>
            <w:proofErr w:type="gramEnd"/>
          </w:p>
        </w:tc>
        <w:tc>
          <w:tcPr>
            <w:tcW w:w="1720" w:type="dxa"/>
            <w:tcBorders>
              <w:top w:val="nil"/>
              <w:left w:val="nil"/>
              <w:bottom w:val="single" w:sz="4" w:space="0" w:color="auto"/>
              <w:right w:val="nil"/>
            </w:tcBorders>
            <w:shd w:val="clear" w:color="000000" w:fill="92D050"/>
            <w:noWrap/>
            <w:vAlign w:val="bottom"/>
            <w:hideMark/>
          </w:tcPr>
          <w:p w14:paraId="600F80F9"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r w:rsidRPr="00AE0B3D">
              <w:rPr>
                <w:rFonts w:ascii="Calibri" w:eastAsia="Times New Roman" w:hAnsi="Calibri" w:cs="Calibri"/>
                <w:b/>
                <w:bCs/>
                <w:sz w:val="20"/>
                <w:szCs w:val="20"/>
              </w:rPr>
              <w:t>TRADING SYMBOL</w:t>
            </w:r>
          </w:p>
        </w:tc>
      </w:tr>
      <w:tr w:rsidR="00AE0B3D" w:rsidRPr="00AE0B3D" w14:paraId="72E968DF" w14:textId="77777777" w:rsidTr="006B3120">
        <w:trPr>
          <w:trHeight w:val="290"/>
        </w:trPr>
        <w:tc>
          <w:tcPr>
            <w:tcW w:w="4440" w:type="dxa"/>
            <w:tcBorders>
              <w:top w:val="nil"/>
              <w:left w:val="nil"/>
              <w:bottom w:val="nil"/>
              <w:right w:val="nil"/>
            </w:tcBorders>
            <w:shd w:val="clear" w:color="auto" w:fill="auto"/>
            <w:noWrap/>
            <w:vAlign w:val="bottom"/>
            <w:hideMark/>
          </w:tcPr>
          <w:p w14:paraId="4CAED1FA"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r w:rsidRPr="00AE0B3D">
              <w:rPr>
                <w:rFonts w:ascii="Calibri" w:eastAsia="Times New Roman" w:hAnsi="Calibri" w:cs="Calibri"/>
                <w:b/>
                <w:bCs/>
                <w:sz w:val="20"/>
                <w:szCs w:val="20"/>
              </w:rPr>
              <w:t>AGRICULTURAL</w:t>
            </w:r>
          </w:p>
        </w:tc>
        <w:tc>
          <w:tcPr>
            <w:tcW w:w="1740" w:type="dxa"/>
            <w:tcBorders>
              <w:top w:val="nil"/>
              <w:left w:val="nil"/>
              <w:bottom w:val="nil"/>
              <w:right w:val="nil"/>
            </w:tcBorders>
            <w:shd w:val="clear" w:color="auto" w:fill="auto"/>
            <w:noWrap/>
            <w:vAlign w:val="bottom"/>
            <w:hideMark/>
          </w:tcPr>
          <w:p w14:paraId="69BA5410"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 </w:t>
            </w:r>
          </w:p>
        </w:tc>
        <w:tc>
          <w:tcPr>
            <w:tcW w:w="1720" w:type="dxa"/>
            <w:tcBorders>
              <w:top w:val="nil"/>
              <w:left w:val="nil"/>
              <w:bottom w:val="nil"/>
              <w:right w:val="nil"/>
            </w:tcBorders>
            <w:shd w:val="clear" w:color="auto" w:fill="auto"/>
            <w:noWrap/>
            <w:vAlign w:val="bottom"/>
            <w:hideMark/>
          </w:tcPr>
          <w:p w14:paraId="2C37C766"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w:t>
            </w:r>
          </w:p>
        </w:tc>
      </w:tr>
      <w:tr w:rsidR="00AE0B3D" w:rsidRPr="00AE0B3D" w14:paraId="356F15C5" w14:textId="77777777" w:rsidTr="006B3120">
        <w:trPr>
          <w:trHeight w:val="290"/>
        </w:trPr>
        <w:tc>
          <w:tcPr>
            <w:tcW w:w="4440" w:type="dxa"/>
            <w:tcBorders>
              <w:top w:val="nil"/>
              <w:left w:val="nil"/>
              <w:bottom w:val="nil"/>
              <w:right w:val="nil"/>
            </w:tcBorders>
            <w:shd w:val="clear" w:color="auto" w:fill="auto"/>
            <w:noWrap/>
            <w:vAlign w:val="bottom"/>
            <w:hideMark/>
          </w:tcPr>
          <w:p w14:paraId="7F692486"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w:t>
            </w:r>
            <w:proofErr w:type="spellStart"/>
            <w:r w:rsidRPr="00AE0B3D">
              <w:rPr>
                <w:rFonts w:ascii="Calibri" w:eastAsia="Times New Roman" w:hAnsi="Calibri" w:cs="Calibri"/>
                <w:sz w:val="20"/>
                <w:szCs w:val="20"/>
              </w:rPr>
              <w:t>Eaagads</w:t>
            </w:r>
            <w:proofErr w:type="spellEnd"/>
            <w:r w:rsidRPr="00AE0B3D">
              <w:rPr>
                <w:rFonts w:ascii="Calibri" w:eastAsia="Times New Roman" w:hAnsi="Calibri" w:cs="Calibri"/>
                <w:sz w:val="20"/>
                <w:szCs w:val="20"/>
              </w:rPr>
              <w:t xml:space="preserve"> Ltd Ord 1.25 AIM </w:t>
            </w:r>
          </w:p>
        </w:tc>
        <w:tc>
          <w:tcPr>
            <w:tcW w:w="1740" w:type="dxa"/>
            <w:tcBorders>
              <w:top w:val="nil"/>
              <w:left w:val="nil"/>
              <w:bottom w:val="nil"/>
              <w:right w:val="nil"/>
            </w:tcBorders>
            <w:shd w:val="clear" w:color="auto" w:fill="auto"/>
            <w:noWrap/>
            <w:vAlign w:val="center"/>
            <w:hideMark/>
          </w:tcPr>
          <w:p w14:paraId="7FAB3012"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KE0000000208</w:t>
            </w:r>
          </w:p>
        </w:tc>
        <w:tc>
          <w:tcPr>
            <w:tcW w:w="1720" w:type="dxa"/>
            <w:tcBorders>
              <w:top w:val="nil"/>
              <w:left w:val="nil"/>
              <w:bottom w:val="nil"/>
              <w:right w:val="nil"/>
            </w:tcBorders>
            <w:shd w:val="clear" w:color="auto" w:fill="auto"/>
            <w:noWrap/>
            <w:vAlign w:val="bottom"/>
            <w:hideMark/>
          </w:tcPr>
          <w:p w14:paraId="65602B6E"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EGAD</w:t>
            </w:r>
          </w:p>
        </w:tc>
      </w:tr>
      <w:tr w:rsidR="00AE0B3D" w:rsidRPr="00AE0B3D" w14:paraId="00FADAE3" w14:textId="77777777" w:rsidTr="006B3120">
        <w:trPr>
          <w:trHeight w:val="290"/>
        </w:trPr>
        <w:tc>
          <w:tcPr>
            <w:tcW w:w="4440" w:type="dxa"/>
            <w:tcBorders>
              <w:top w:val="nil"/>
              <w:left w:val="nil"/>
              <w:bottom w:val="nil"/>
              <w:right w:val="nil"/>
            </w:tcBorders>
            <w:shd w:val="clear" w:color="auto" w:fill="auto"/>
            <w:noWrap/>
            <w:vAlign w:val="bottom"/>
            <w:hideMark/>
          </w:tcPr>
          <w:p w14:paraId="01A2F53F"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w:t>
            </w:r>
            <w:proofErr w:type="spellStart"/>
            <w:r w:rsidRPr="00AE0B3D">
              <w:rPr>
                <w:rFonts w:ascii="Calibri" w:eastAsia="Times New Roman" w:hAnsi="Calibri" w:cs="Calibri"/>
                <w:sz w:val="20"/>
                <w:szCs w:val="20"/>
              </w:rPr>
              <w:t>Kakuzi</w:t>
            </w:r>
            <w:proofErr w:type="spellEnd"/>
            <w:r w:rsidRPr="00AE0B3D">
              <w:rPr>
                <w:rFonts w:ascii="Calibri" w:eastAsia="Times New Roman" w:hAnsi="Calibri" w:cs="Calibri"/>
                <w:sz w:val="20"/>
                <w:szCs w:val="20"/>
              </w:rPr>
              <w:t xml:space="preserve"> Plc Ord.5.00 </w:t>
            </w:r>
          </w:p>
        </w:tc>
        <w:tc>
          <w:tcPr>
            <w:tcW w:w="1740" w:type="dxa"/>
            <w:tcBorders>
              <w:top w:val="nil"/>
              <w:left w:val="nil"/>
              <w:bottom w:val="nil"/>
              <w:right w:val="nil"/>
            </w:tcBorders>
            <w:shd w:val="clear" w:color="auto" w:fill="auto"/>
            <w:noWrap/>
            <w:vAlign w:val="center"/>
            <w:hideMark/>
          </w:tcPr>
          <w:p w14:paraId="63A71AB9"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KE0000000281</w:t>
            </w:r>
          </w:p>
        </w:tc>
        <w:tc>
          <w:tcPr>
            <w:tcW w:w="1720" w:type="dxa"/>
            <w:tcBorders>
              <w:top w:val="nil"/>
              <w:left w:val="nil"/>
              <w:bottom w:val="nil"/>
              <w:right w:val="nil"/>
            </w:tcBorders>
            <w:shd w:val="clear" w:color="auto" w:fill="auto"/>
            <w:noWrap/>
            <w:vAlign w:val="bottom"/>
            <w:hideMark/>
          </w:tcPr>
          <w:p w14:paraId="1CB904D3"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KUKZ</w:t>
            </w:r>
          </w:p>
        </w:tc>
      </w:tr>
      <w:tr w:rsidR="00AE0B3D" w:rsidRPr="00AE0B3D" w14:paraId="6D299BFF" w14:textId="77777777" w:rsidTr="006B3120">
        <w:trPr>
          <w:trHeight w:val="290"/>
        </w:trPr>
        <w:tc>
          <w:tcPr>
            <w:tcW w:w="4440" w:type="dxa"/>
            <w:tcBorders>
              <w:top w:val="nil"/>
              <w:left w:val="nil"/>
              <w:bottom w:val="nil"/>
              <w:right w:val="nil"/>
            </w:tcBorders>
            <w:shd w:val="clear" w:color="auto" w:fill="auto"/>
            <w:noWrap/>
            <w:vAlign w:val="bottom"/>
            <w:hideMark/>
          </w:tcPr>
          <w:p w14:paraId="32ABEDD7"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w:t>
            </w:r>
            <w:proofErr w:type="spellStart"/>
            <w:r w:rsidRPr="00AE0B3D">
              <w:rPr>
                <w:rFonts w:ascii="Calibri" w:eastAsia="Times New Roman" w:hAnsi="Calibri" w:cs="Calibri"/>
                <w:sz w:val="20"/>
                <w:szCs w:val="20"/>
              </w:rPr>
              <w:t>Kapchorua</w:t>
            </w:r>
            <w:proofErr w:type="spellEnd"/>
            <w:r w:rsidRPr="00AE0B3D">
              <w:rPr>
                <w:rFonts w:ascii="Calibri" w:eastAsia="Times New Roman" w:hAnsi="Calibri" w:cs="Calibri"/>
                <w:sz w:val="20"/>
                <w:szCs w:val="20"/>
              </w:rPr>
              <w:t xml:space="preserve"> Tea Co. Ltd Ord </w:t>
            </w:r>
            <w:proofErr w:type="spellStart"/>
            <w:r w:rsidRPr="00AE0B3D">
              <w:rPr>
                <w:rFonts w:ascii="Calibri" w:eastAsia="Times New Roman" w:hAnsi="Calibri" w:cs="Calibri"/>
                <w:sz w:val="20"/>
                <w:szCs w:val="20"/>
              </w:rPr>
              <w:t>Ord</w:t>
            </w:r>
            <w:proofErr w:type="spellEnd"/>
            <w:r w:rsidRPr="00AE0B3D">
              <w:rPr>
                <w:rFonts w:ascii="Calibri" w:eastAsia="Times New Roman" w:hAnsi="Calibri" w:cs="Calibri"/>
                <w:sz w:val="20"/>
                <w:szCs w:val="20"/>
              </w:rPr>
              <w:t xml:space="preserve"> 5.00 AIM </w:t>
            </w:r>
          </w:p>
        </w:tc>
        <w:tc>
          <w:tcPr>
            <w:tcW w:w="1740" w:type="dxa"/>
            <w:tcBorders>
              <w:top w:val="nil"/>
              <w:left w:val="nil"/>
              <w:bottom w:val="nil"/>
              <w:right w:val="nil"/>
            </w:tcBorders>
            <w:shd w:val="clear" w:color="auto" w:fill="auto"/>
            <w:noWrap/>
            <w:vAlign w:val="center"/>
            <w:hideMark/>
          </w:tcPr>
          <w:p w14:paraId="08D00D81"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KE4000001760</w:t>
            </w:r>
          </w:p>
        </w:tc>
        <w:tc>
          <w:tcPr>
            <w:tcW w:w="1720" w:type="dxa"/>
            <w:tcBorders>
              <w:top w:val="nil"/>
              <w:left w:val="nil"/>
              <w:bottom w:val="nil"/>
              <w:right w:val="nil"/>
            </w:tcBorders>
            <w:shd w:val="clear" w:color="auto" w:fill="auto"/>
            <w:noWrap/>
            <w:vAlign w:val="bottom"/>
            <w:hideMark/>
          </w:tcPr>
          <w:p w14:paraId="30A2B5EA"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KAPC</w:t>
            </w:r>
          </w:p>
        </w:tc>
      </w:tr>
      <w:tr w:rsidR="00AE0B3D" w:rsidRPr="00AE0B3D" w14:paraId="6EA87A05" w14:textId="77777777" w:rsidTr="006B3120">
        <w:trPr>
          <w:trHeight w:val="290"/>
        </w:trPr>
        <w:tc>
          <w:tcPr>
            <w:tcW w:w="4440" w:type="dxa"/>
            <w:tcBorders>
              <w:top w:val="nil"/>
              <w:left w:val="nil"/>
              <w:bottom w:val="nil"/>
              <w:right w:val="nil"/>
            </w:tcBorders>
            <w:shd w:val="clear" w:color="auto" w:fill="auto"/>
            <w:noWrap/>
            <w:vAlign w:val="bottom"/>
            <w:hideMark/>
          </w:tcPr>
          <w:p w14:paraId="705280DB"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The Limuru Tea Co. Plc Ord 20.00AIMS</w:t>
            </w:r>
          </w:p>
        </w:tc>
        <w:tc>
          <w:tcPr>
            <w:tcW w:w="1740" w:type="dxa"/>
            <w:tcBorders>
              <w:top w:val="nil"/>
              <w:left w:val="nil"/>
              <w:bottom w:val="nil"/>
              <w:right w:val="nil"/>
            </w:tcBorders>
            <w:shd w:val="clear" w:color="auto" w:fill="auto"/>
            <w:noWrap/>
            <w:vAlign w:val="center"/>
            <w:hideMark/>
          </w:tcPr>
          <w:p w14:paraId="2826337E"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KE0000000356</w:t>
            </w:r>
          </w:p>
        </w:tc>
        <w:tc>
          <w:tcPr>
            <w:tcW w:w="1720" w:type="dxa"/>
            <w:tcBorders>
              <w:top w:val="nil"/>
              <w:left w:val="nil"/>
              <w:bottom w:val="nil"/>
              <w:right w:val="nil"/>
            </w:tcBorders>
            <w:shd w:val="clear" w:color="auto" w:fill="auto"/>
            <w:noWrap/>
            <w:vAlign w:val="bottom"/>
            <w:hideMark/>
          </w:tcPr>
          <w:p w14:paraId="5C922BD5"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LIMT</w:t>
            </w:r>
          </w:p>
        </w:tc>
      </w:tr>
      <w:tr w:rsidR="00AE0B3D" w:rsidRPr="00AE0B3D" w14:paraId="123BE2B0" w14:textId="77777777" w:rsidTr="006B3120">
        <w:trPr>
          <w:trHeight w:val="290"/>
        </w:trPr>
        <w:tc>
          <w:tcPr>
            <w:tcW w:w="4440" w:type="dxa"/>
            <w:tcBorders>
              <w:top w:val="nil"/>
              <w:left w:val="nil"/>
              <w:bottom w:val="nil"/>
              <w:right w:val="nil"/>
            </w:tcBorders>
            <w:shd w:val="clear" w:color="auto" w:fill="auto"/>
            <w:noWrap/>
            <w:vAlign w:val="bottom"/>
            <w:hideMark/>
          </w:tcPr>
          <w:p w14:paraId="505E0462"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w:t>
            </w:r>
            <w:proofErr w:type="spellStart"/>
            <w:r w:rsidRPr="00AE0B3D">
              <w:rPr>
                <w:rFonts w:ascii="Calibri" w:eastAsia="Times New Roman" w:hAnsi="Calibri" w:cs="Calibri"/>
                <w:sz w:val="20"/>
                <w:szCs w:val="20"/>
              </w:rPr>
              <w:t>Sasini</w:t>
            </w:r>
            <w:proofErr w:type="spellEnd"/>
            <w:r w:rsidRPr="00AE0B3D">
              <w:rPr>
                <w:rFonts w:ascii="Calibri" w:eastAsia="Times New Roman" w:hAnsi="Calibri" w:cs="Calibri"/>
                <w:sz w:val="20"/>
                <w:szCs w:val="20"/>
              </w:rPr>
              <w:t xml:space="preserve"> Plc Ord 1.00</w:t>
            </w:r>
          </w:p>
        </w:tc>
        <w:tc>
          <w:tcPr>
            <w:tcW w:w="1740" w:type="dxa"/>
            <w:tcBorders>
              <w:top w:val="nil"/>
              <w:left w:val="nil"/>
              <w:bottom w:val="nil"/>
              <w:right w:val="nil"/>
            </w:tcBorders>
            <w:shd w:val="clear" w:color="auto" w:fill="auto"/>
            <w:noWrap/>
            <w:vAlign w:val="center"/>
            <w:hideMark/>
          </w:tcPr>
          <w:p w14:paraId="41DAF31A"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KE0000000430</w:t>
            </w:r>
          </w:p>
        </w:tc>
        <w:tc>
          <w:tcPr>
            <w:tcW w:w="1720" w:type="dxa"/>
            <w:tcBorders>
              <w:top w:val="nil"/>
              <w:left w:val="nil"/>
              <w:bottom w:val="nil"/>
              <w:right w:val="nil"/>
            </w:tcBorders>
            <w:shd w:val="clear" w:color="auto" w:fill="auto"/>
            <w:noWrap/>
            <w:vAlign w:val="bottom"/>
            <w:hideMark/>
          </w:tcPr>
          <w:p w14:paraId="07ACFB93"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SASN</w:t>
            </w:r>
          </w:p>
        </w:tc>
      </w:tr>
      <w:tr w:rsidR="00AE0B3D" w:rsidRPr="00AE0B3D" w14:paraId="66A702F7" w14:textId="77777777" w:rsidTr="006B3120">
        <w:trPr>
          <w:trHeight w:val="290"/>
        </w:trPr>
        <w:tc>
          <w:tcPr>
            <w:tcW w:w="4440" w:type="dxa"/>
            <w:tcBorders>
              <w:top w:val="nil"/>
              <w:left w:val="nil"/>
              <w:bottom w:val="nil"/>
              <w:right w:val="nil"/>
            </w:tcBorders>
            <w:shd w:val="clear" w:color="auto" w:fill="auto"/>
            <w:noWrap/>
            <w:vAlign w:val="bottom"/>
            <w:hideMark/>
          </w:tcPr>
          <w:p w14:paraId="1E743AD4"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Williamson Tea Kenya Ltd Ord 5.00 AIM</w:t>
            </w:r>
          </w:p>
        </w:tc>
        <w:tc>
          <w:tcPr>
            <w:tcW w:w="1740" w:type="dxa"/>
            <w:tcBorders>
              <w:top w:val="nil"/>
              <w:left w:val="nil"/>
              <w:bottom w:val="nil"/>
              <w:right w:val="nil"/>
            </w:tcBorders>
            <w:shd w:val="clear" w:color="auto" w:fill="auto"/>
            <w:noWrap/>
            <w:vAlign w:val="center"/>
            <w:hideMark/>
          </w:tcPr>
          <w:p w14:paraId="6C019607"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KE0000000505</w:t>
            </w:r>
          </w:p>
        </w:tc>
        <w:tc>
          <w:tcPr>
            <w:tcW w:w="1720" w:type="dxa"/>
            <w:tcBorders>
              <w:top w:val="nil"/>
              <w:left w:val="nil"/>
              <w:bottom w:val="nil"/>
              <w:right w:val="nil"/>
            </w:tcBorders>
            <w:shd w:val="clear" w:color="auto" w:fill="auto"/>
            <w:noWrap/>
            <w:vAlign w:val="bottom"/>
            <w:hideMark/>
          </w:tcPr>
          <w:p w14:paraId="13E58188"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WTK</w:t>
            </w:r>
          </w:p>
        </w:tc>
      </w:tr>
      <w:tr w:rsidR="00AE0B3D" w:rsidRPr="00AE0B3D" w14:paraId="5E718656" w14:textId="77777777" w:rsidTr="006B3120">
        <w:trPr>
          <w:trHeight w:val="290"/>
        </w:trPr>
        <w:tc>
          <w:tcPr>
            <w:tcW w:w="4440" w:type="dxa"/>
            <w:tcBorders>
              <w:top w:val="nil"/>
              <w:left w:val="nil"/>
              <w:bottom w:val="nil"/>
              <w:right w:val="nil"/>
            </w:tcBorders>
            <w:shd w:val="clear" w:color="auto" w:fill="auto"/>
            <w:noWrap/>
            <w:vAlign w:val="bottom"/>
            <w:hideMark/>
          </w:tcPr>
          <w:p w14:paraId="30299F4A"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r w:rsidRPr="00AE0B3D">
              <w:rPr>
                <w:rFonts w:ascii="Calibri" w:eastAsia="Times New Roman" w:hAnsi="Calibri" w:cs="Calibri"/>
                <w:b/>
                <w:bCs/>
                <w:sz w:val="20"/>
                <w:szCs w:val="20"/>
              </w:rPr>
              <w:t>AUTOMOBILES &amp; ACCESSORIES</w:t>
            </w:r>
          </w:p>
        </w:tc>
        <w:tc>
          <w:tcPr>
            <w:tcW w:w="1740" w:type="dxa"/>
            <w:tcBorders>
              <w:top w:val="nil"/>
              <w:left w:val="nil"/>
              <w:bottom w:val="nil"/>
              <w:right w:val="nil"/>
            </w:tcBorders>
            <w:shd w:val="clear" w:color="auto" w:fill="auto"/>
            <w:noWrap/>
            <w:vAlign w:val="bottom"/>
            <w:hideMark/>
          </w:tcPr>
          <w:p w14:paraId="47D0A064"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p>
        </w:tc>
        <w:tc>
          <w:tcPr>
            <w:tcW w:w="1720" w:type="dxa"/>
            <w:tcBorders>
              <w:top w:val="nil"/>
              <w:left w:val="nil"/>
              <w:bottom w:val="nil"/>
              <w:right w:val="nil"/>
            </w:tcBorders>
            <w:shd w:val="clear" w:color="auto" w:fill="auto"/>
            <w:noWrap/>
            <w:vAlign w:val="bottom"/>
            <w:hideMark/>
          </w:tcPr>
          <w:p w14:paraId="29A5F33F" w14:textId="77777777" w:rsidR="006B3120" w:rsidRPr="00AE0B3D" w:rsidRDefault="006B3120" w:rsidP="006B3120">
            <w:pPr>
              <w:spacing w:after="0" w:line="240" w:lineRule="auto"/>
              <w:ind w:firstLine="0"/>
              <w:jc w:val="center"/>
              <w:rPr>
                <w:rFonts w:eastAsia="Times New Roman" w:cs="Times New Roman"/>
                <w:sz w:val="20"/>
                <w:szCs w:val="20"/>
              </w:rPr>
            </w:pPr>
          </w:p>
        </w:tc>
      </w:tr>
      <w:tr w:rsidR="00AE0B3D" w:rsidRPr="00AE0B3D" w14:paraId="016E3D77" w14:textId="77777777" w:rsidTr="006B3120">
        <w:trPr>
          <w:trHeight w:val="290"/>
        </w:trPr>
        <w:tc>
          <w:tcPr>
            <w:tcW w:w="4440" w:type="dxa"/>
            <w:tcBorders>
              <w:top w:val="nil"/>
              <w:left w:val="nil"/>
              <w:bottom w:val="nil"/>
              <w:right w:val="nil"/>
            </w:tcBorders>
            <w:shd w:val="clear" w:color="auto" w:fill="auto"/>
            <w:noWrap/>
            <w:vAlign w:val="bottom"/>
            <w:hideMark/>
          </w:tcPr>
          <w:p w14:paraId="443B71E6"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Car &amp; General (K) Ltd Ord 5.00</w:t>
            </w:r>
          </w:p>
        </w:tc>
        <w:tc>
          <w:tcPr>
            <w:tcW w:w="1740" w:type="dxa"/>
            <w:tcBorders>
              <w:top w:val="nil"/>
              <w:left w:val="nil"/>
              <w:bottom w:val="nil"/>
              <w:right w:val="nil"/>
            </w:tcBorders>
            <w:shd w:val="clear" w:color="auto" w:fill="auto"/>
            <w:noWrap/>
            <w:vAlign w:val="center"/>
            <w:hideMark/>
          </w:tcPr>
          <w:p w14:paraId="378D6A88"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KE0000000109</w:t>
            </w:r>
          </w:p>
        </w:tc>
        <w:tc>
          <w:tcPr>
            <w:tcW w:w="1720" w:type="dxa"/>
            <w:tcBorders>
              <w:top w:val="nil"/>
              <w:left w:val="nil"/>
              <w:bottom w:val="nil"/>
              <w:right w:val="nil"/>
            </w:tcBorders>
            <w:shd w:val="clear" w:color="auto" w:fill="auto"/>
            <w:noWrap/>
            <w:vAlign w:val="bottom"/>
            <w:hideMark/>
          </w:tcPr>
          <w:p w14:paraId="473CC56A"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C&amp;G</w:t>
            </w:r>
          </w:p>
        </w:tc>
      </w:tr>
      <w:tr w:rsidR="00AE0B3D" w:rsidRPr="00AE0B3D" w14:paraId="60AB7515" w14:textId="77777777" w:rsidTr="006B3120">
        <w:trPr>
          <w:trHeight w:val="290"/>
        </w:trPr>
        <w:tc>
          <w:tcPr>
            <w:tcW w:w="4440" w:type="dxa"/>
            <w:tcBorders>
              <w:top w:val="nil"/>
              <w:left w:val="nil"/>
              <w:bottom w:val="nil"/>
              <w:right w:val="nil"/>
            </w:tcBorders>
            <w:shd w:val="clear" w:color="auto" w:fill="auto"/>
            <w:noWrap/>
            <w:vAlign w:val="bottom"/>
            <w:hideMark/>
          </w:tcPr>
          <w:p w14:paraId="7D38BC6B"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r w:rsidRPr="00AE0B3D">
              <w:rPr>
                <w:rFonts w:ascii="Calibri" w:eastAsia="Times New Roman" w:hAnsi="Calibri" w:cs="Calibri"/>
                <w:b/>
                <w:bCs/>
                <w:sz w:val="20"/>
                <w:szCs w:val="20"/>
              </w:rPr>
              <w:t>BANKING</w:t>
            </w:r>
          </w:p>
        </w:tc>
        <w:tc>
          <w:tcPr>
            <w:tcW w:w="1740" w:type="dxa"/>
            <w:tcBorders>
              <w:top w:val="nil"/>
              <w:left w:val="nil"/>
              <w:bottom w:val="nil"/>
              <w:right w:val="nil"/>
            </w:tcBorders>
            <w:shd w:val="clear" w:color="auto" w:fill="auto"/>
            <w:noWrap/>
            <w:vAlign w:val="bottom"/>
            <w:hideMark/>
          </w:tcPr>
          <w:p w14:paraId="04A14BF0"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p>
        </w:tc>
        <w:tc>
          <w:tcPr>
            <w:tcW w:w="1720" w:type="dxa"/>
            <w:tcBorders>
              <w:top w:val="nil"/>
              <w:left w:val="nil"/>
              <w:bottom w:val="nil"/>
              <w:right w:val="nil"/>
            </w:tcBorders>
            <w:shd w:val="clear" w:color="auto" w:fill="auto"/>
            <w:noWrap/>
            <w:vAlign w:val="bottom"/>
            <w:hideMark/>
          </w:tcPr>
          <w:p w14:paraId="3AEAE6F7" w14:textId="77777777" w:rsidR="006B3120" w:rsidRPr="00AE0B3D" w:rsidRDefault="006B3120" w:rsidP="006B3120">
            <w:pPr>
              <w:spacing w:after="0" w:line="240" w:lineRule="auto"/>
              <w:ind w:firstLine="0"/>
              <w:jc w:val="center"/>
              <w:rPr>
                <w:rFonts w:eastAsia="Times New Roman" w:cs="Times New Roman"/>
                <w:sz w:val="20"/>
                <w:szCs w:val="20"/>
              </w:rPr>
            </w:pPr>
          </w:p>
        </w:tc>
      </w:tr>
      <w:tr w:rsidR="00AE0B3D" w:rsidRPr="00AE0B3D" w14:paraId="3999B6C2" w14:textId="77777777" w:rsidTr="006B3120">
        <w:trPr>
          <w:trHeight w:val="290"/>
        </w:trPr>
        <w:tc>
          <w:tcPr>
            <w:tcW w:w="4440" w:type="dxa"/>
            <w:tcBorders>
              <w:top w:val="nil"/>
              <w:left w:val="nil"/>
              <w:bottom w:val="nil"/>
              <w:right w:val="nil"/>
            </w:tcBorders>
            <w:shd w:val="clear" w:color="auto" w:fill="auto"/>
            <w:noWrap/>
            <w:vAlign w:val="bottom"/>
            <w:hideMark/>
          </w:tcPr>
          <w:p w14:paraId="2CB7A14A"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Barclays Bank of Kenya Ltd Ord 0.50</w:t>
            </w:r>
          </w:p>
        </w:tc>
        <w:tc>
          <w:tcPr>
            <w:tcW w:w="1740" w:type="dxa"/>
            <w:tcBorders>
              <w:top w:val="nil"/>
              <w:left w:val="nil"/>
              <w:bottom w:val="nil"/>
              <w:right w:val="nil"/>
            </w:tcBorders>
            <w:shd w:val="clear" w:color="auto" w:fill="auto"/>
            <w:noWrap/>
            <w:vAlign w:val="center"/>
            <w:hideMark/>
          </w:tcPr>
          <w:p w14:paraId="1BB354A0"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KE0000000067</w:t>
            </w:r>
          </w:p>
        </w:tc>
        <w:tc>
          <w:tcPr>
            <w:tcW w:w="1720" w:type="dxa"/>
            <w:tcBorders>
              <w:top w:val="nil"/>
              <w:left w:val="nil"/>
              <w:bottom w:val="nil"/>
              <w:right w:val="nil"/>
            </w:tcBorders>
            <w:shd w:val="clear" w:color="auto" w:fill="auto"/>
            <w:noWrap/>
            <w:vAlign w:val="bottom"/>
            <w:hideMark/>
          </w:tcPr>
          <w:p w14:paraId="49C22F34"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BBK</w:t>
            </w:r>
          </w:p>
        </w:tc>
      </w:tr>
      <w:tr w:rsidR="00AE0B3D" w:rsidRPr="00AE0B3D" w14:paraId="06749B93" w14:textId="77777777" w:rsidTr="006B3120">
        <w:trPr>
          <w:trHeight w:val="290"/>
        </w:trPr>
        <w:tc>
          <w:tcPr>
            <w:tcW w:w="4440" w:type="dxa"/>
            <w:tcBorders>
              <w:top w:val="nil"/>
              <w:left w:val="nil"/>
              <w:bottom w:val="nil"/>
              <w:right w:val="nil"/>
            </w:tcBorders>
            <w:shd w:val="clear" w:color="auto" w:fill="auto"/>
            <w:noWrap/>
            <w:vAlign w:val="bottom"/>
            <w:hideMark/>
          </w:tcPr>
          <w:p w14:paraId="5904F449"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BK Group Plc Ord 0.80</w:t>
            </w:r>
          </w:p>
        </w:tc>
        <w:tc>
          <w:tcPr>
            <w:tcW w:w="1740" w:type="dxa"/>
            <w:tcBorders>
              <w:top w:val="nil"/>
              <w:left w:val="nil"/>
              <w:bottom w:val="nil"/>
              <w:right w:val="nil"/>
            </w:tcBorders>
            <w:shd w:val="clear" w:color="auto" w:fill="auto"/>
            <w:noWrap/>
            <w:vAlign w:val="bottom"/>
            <w:hideMark/>
          </w:tcPr>
          <w:p w14:paraId="2E1C7D1F"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KE5000008986</w:t>
            </w:r>
          </w:p>
        </w:tc>
        <w:tc>
          <w:tcPr>
            <w:tcW w:w="1720" w:type="dxa"/>
            <w:tcBorders>
              <w:top w:val="nil"/>
              <w:left w:val="nil"/>
              <w:bottom w:val="nil"/>
              <w:right w:val="nil"/>
            </w:tcBorders>
            <w:shd w:val="clear" w:color="auto" w:fill="auto"/>
            <w:noWrap/>
            <w:vAlign w:val="bottom"/>
            <w:hideMark/>
          </w:tcPr>
          <w:p w14:paraId="15F8D79F"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BKG</w:t>
            </w:r>
          </w:p>
        </w:tc>
      </w:tr>
      <w:tr w:rsidR="00AE0B3D" w:rsidRPr="00AE0B3D" w14:paraId="23086DA9" w14:textId="77777777" w:rsidTr="006B3120">
        <w:trPr>
          <w:trHeight w:val="290"/>
        </w:trPr>
        <w:tc>
          <w:tcPr>
            <w:tcW w:w="4440" w:type="dxa"/>
            <w:tcBorders>
              <w:top w:val="nil"/>
              <w:left w:val="nil"/>
              <w:bottom w:val="nil"/>
              <w:right w:val="nil"/>
            </w:tcBorders>
            <w:shd w:val="clear" w:color="auto" w:fill="auto"/>
            <w:noWrap/>
            <w:vAlign w:val="bottom"/>
            <w:hideMark/>
          </w:tcPr>
          <w:p w14:paraId="4280FB58"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Diamond Trust Bank Kenya Ltd Ord 4.00</w:t>
            </w:r>
          </w:p>
        </w:tc>
        <w:tc>
          <w:tcPr>
            <w:tcW w:w="1740" w:type="dxa"/>
            <w:tcBorders>
              <w:top w:val="nil"/>
              <w:left w:val="nil"/>
              <w:bottom w:val="nil"/>
              <w:right w:val="nil"/>
            </w:tcBorders>
            <w:shd w:val="clear" w:color="auto" w:fill="auto"/>
            <w:noWrap/>
            <w:vAlign w:val="center"/>
            <w:hideMark/>
          </w:tcPr>
          <w:p w14:paraId="6937277F"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KE0000000158</w:t>
            </w:r>
          </w:p>
        </w:tc>
        <w:tc>
          <w:tcPr>
            <w:tcW w:w="1720" w:type="dxa"/>
            <w:tcBorders>
              <w:top w:val="nil"/>
              <w:left w:val="nil"/>
              <w:bottom w:val="nil"/>
              <w:right w:val="nil"/>
            </w:tcBorders>
            <w:shd w:val="clear" w:color="auto" w:fill="auto"/>
            <w:noWrap/>
            <w:vAlign w:val="bottom"/>
            <w:hideMark/>
          </w:tcPr>
          <w:p w14:paraId="03F32CC0"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DTK</w:t>
            </w:r>
          </w:p>
        </w:tc>
      </w:tr>
      <w:tr w:rsidR="00AE0B3D" w:rsidRPr="00AE0B3D" w14:paraId="383160C8" w14:textId="77777777" w:rsidTr="006B3120">
        <w:trPr>
          <w:trHeight w:val="290"/>
        </w:trPr>
        <w:tc>
          <w:tcPr>
            <w:tcW w:w="4440" w:type="dxa"/>
            <w:tcBorders>
              <w:top w:val="nil"/>
              <w:left w:val="nil"/>
              <w:bottom w:val="nil"/>
              <w:right w:val="nil"/>
            </w:tcBorders>
            <w:shd w:val="clear" w:color="auto" w:fill="auto"/>
            <w:noWrap/>
            <w:vAlign w:val="bottom"/>
            <w:hideMark/>
          </w:tcPr>
          <w:p w14:paraId="1563B0CF"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Equity Group Holdings Plc Ord 0.50</w:t>
            </w:r>
          </w:p>
        </w:tc>
        <w:tc>
          <w:tcPr>
            <w:tcW w:w="1740" w:type="dxa"/>
            <w:tcBorders>
              <w:top w:val="nil"/>
              <w:left w:val="nil"/>
              <w:bottom w:val="nil"/>
              <w:right w:val="nil"/>
            </w:tcBorders>
            <w:shd w:val="clear" w:color="auto" w:fill="auto"/>
            <w:noWrap/>
            <w:vAlign w:val="center"/>
            <w:hideMark/>
          </w:tcPr>
          <w:p w14:paraId="2C82A275"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KE0000000554</w:t>
            </w:r>
          </w:p>
        </w:tc>
        <w:tc>
          <w:tcPr>
            <w:tcW w:w="1720" w:type="dxa"/>
            <w:tcBorders>
              <w:top w:val="nil"/>
              <w:left w:val="nil"/>
              <w:bottom w:val="nil"/>
              <w:right w:val="nil"/>
            </w:tcBorders>
            <w:shd w:val="clear" w:color="auto" w:fill="auto"/>
            <w:noWrap/>
            <w:vAlign w:val="bottom"/>
            <w:hideMark/>
          </w:tcPr>
          <w:p w14:paraId="2A9F3141"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EQTY</w:t>
            </w:r>
          </w:p>
        </w:tc>
      </w:tr>
      <w:tr w:rsidR="00AE0B3D" w:rsidRPr="00AE0B3D" w14:paraId="43C8C452" w14:textId="77777777" w:rsidTr="006B3120">
        <w:trPr>
          <w:trHeight w:val="290"/>
        </w:trPr>
        <w:tc>
          <w:tcPr>
            <w:tcW w:w="4440" w:type="dxa"/>
            <w:tcBorders>
              <w:top w:val="nil"/>
              <w:left w:val="nil"/>
              <w:bottom w:val="nil"/>
              <w:right w:val="nil"/>
            </w:tcBorders>
            <w:shd w:val="clear" w:color="auto" w:fill="auto"/>
            <w:noWrap/>
            <w:vAlign w:val="bottom"/>
            <w:hideMark/>
          </w:tcPr>
          <w:p w14:paraId="595AAE26"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HF Group Plc Ord 5.00</w:t>
            </w:r>
          </w:p>
        </w:tc>
        <w:tc>
          <w:tcPr>
            <w:tcW w:w="1740" w:type="dxa"/>
            <w:tcBorders>
              <w:top w:val="nil"/>
              <w:left w:val="nil"/>
              <w:bottom w:val="nil"/>
              <w:right w:val="nil"/>
            </w:tcBorders>
            <w:shd w:val="clear" w:color="auto" w:fill="auto"/>
            <w:noWrap/>
            <w:vAlign w:val="center"/>
            <w:hideMark/>
          </w:tcPr>
          <w:p w14:paraId="06D7CB50"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KE0000000240</w:t>
            </w:r>
          </w:p>
        </w:tc>
        <w:tc>
          <w:tcPr>
            <w:tcW w:w="1720" w:type="dxa"/>
            <w:tcBorders>
              <w:top w:val="nil"/>
              <w:left w:val="nil"/>
              <w:bottom w:val="nil"/>
              <w:right w:val="nil"/>
            </w:tcBorders>
            <w:shd w:val="clear" w:color="auto" w:fill="auto"/>
            <w:noWrap/>
            <w:vAlign w:val="bottom"/>
            <w:hideMark/>
          </w:tcPr>
          <w:p w14:paraId="1F9F77EF"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HFCK</w:t>
            </w:r>
          </w:p>
        </w:tc>
      </w:tr>
      <w:tr w:rsidR="00AE0B3D" w:rsidRPr="00AE0B3D" w14:paraId="4068D549" w14:textId="77777777" w:rsidTr="006B3120">
        <w:trPr>
          <w:trHeight w:val="290"/>
        </w:trPr>
        <w:tc>
          <w:tcPr>
            <w:tcW w:w="4440" w:type="dxa"/>
            <w:tcBorders>
              <w:top w:val="nil"/>
              <w:left w:val="nil"/>
              <w:bottom w:val="nil"/>
              <w:right w:val="nil"/>
            </w:tcBorders>
            <w:shd w:val="clear" w:color="auto" w:fill="auto"/>
            <w:noWrap/>
            <w:vAlign w:val="bottom"/>
            <w:hideMark/>
          </w:tcPr>
          <w:p w14:paraId="082055FC"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I&amp;M Holdings Plc Ord 1.00 </w:t>
            </w:r>
          </w:p>
        </w:tc>
        <w:tc>
          <w:tcPr>
            <w:tcW w:w="1740" w:type="dxa"/>
            <w:tcBorders>
              <w:top w:val="nil"/>
              <w:left w:val="nil"/>
              <w:bottom w:val="nil"/>
              <w:right w:val="nil"/>
            </w:tcBorders>
            <w:shd w:val="clear" w:color="auto" w:fill="auto"/>
            <w:noWrap/>
            <w:vAlign w:val="center"/>
            <w:hideMark/>
          </w:tcPr>
          <w:p w14:paraId="5B8F5001"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KE0000000125</w:t>
            </w:r>
          </w:p>
        </w:tc>
        <w:tc>
          <w:tcPr>
            <w:tcW w:w="1720" w:type="dxa"/>
            <w:tcBorders>
              <w:top w:val="nil"/>
              <w:left w:val="nil"/>
              <w:bottom w:val="nil"/>
              <w:right w:val="nil"/>
            </w:tcBorders>
            <w:shd w:val="clear" w:color="auto" w:fill="auto"/>
            <w:noWrap/>
            <w:vAlign w:val="bottom"/>
            <w:hideMark/>
          </w:tcPr>
          <w:p w14:paraId="23FD1DB1"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I&amp;M</w:t>
            </w:r>
          </w:p>
        </w:tc>
      </w:tr>
      <w:tr w:rsidR="00AE0B3D" w:rsidRPr="00AE0B3D" w14:paraId="25C9304E" w14:textId="77777777" w:rsidTr="006B3120">
        <w:trPr>
          <w:trHeight w:val="290"/>
        </w:trPr>
        <w:tc>
          <w:tcPr>
            <w:tcW w:w="4440" w:type="dxa"/>
            <w:tcBorders>
              <w:top w:val="nil"/>
              <w:left w:val="nil"/>
              <w:bottom w:val="nil"/>
              <w:right w:val="nil"/>
            </w:tcBorders>
            <w:shd w:val="clear" w:color="auto" w:fill="auto"/>
            <w:noWrap/>
            <w:vAlign w:val="bottom"/>
            <w:hideMark/>
          </w:tcPr>
          <w:p w14:paraId="10CB1E06"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KCB Group Plc Ord 1.00</w:t>
            </w:r>
          </w:p>
        </w:tc>
        <w:tc>
          <w:tcPr>
            <w:tcW w:w="1740" w:type="dxa"/>
            <w:tcBorders>
              <w:top w:val="nil"/>
              <w:left w:val="nil"/>
              <w:bottom w:val="nil"/>
              <w:right w:val="nil"/>
            </w:tcBorders>
            <w:shd w:val="clear" w:color="auto" w:fill="auto"/>
            <w:noWrap/>
            <w:vAlign w:val="center"/>
            <w:hideMark/>
          </w:tcPr>
          <w:p w14:paraId="5B4B911D"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KE0000000315</w:t>
            </w:r>
          </w:p>
        </w:tc>
        <w:tc>
          <w:tcPr>
            <w:tcW w:w="1720" w:type="dxa"/>
            <w:tcBorders>
              <w:top w:val="nil"/>
              <w:left w:val="nil"/>
              <w:bottom w:val="nil"/>
              <w:right w:val="nil"/>
            </w:tcBorders>
            <w:shd w:val="clear" w:color="auto" w:fill="auto"/>
            <w:noWrap/>
            <w:vAlign w:val="bottom"/>
            <w:hideMark/>
          </w:tcPr>
          <w:p w14:paraId="7D0AE391"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KCB</w:t>
            </w:r>
          </w:p>
        </w:tc>
      </w:tr>
      <w:tr w:rsidR="00AE0B3D" w:rsidRPr="00AE0B3D" w14:paraId="2CAE840C" w14:textId="77777777" w:rsidTr="006B3120">
        <w:trPr>
          <w:trHeight w:val="290"/>
        </w:trPr>
        <w:tc>
          <w:tcPr>
            <w:tcW w:w="4440" w:type="dxa"/>
            <w:tcBorders>
              <w:top w:val="nil"/>
              <w:left w:val="nil"/>
              <w:bottom w:val="nil"/>
              <w:right w:val="nil"/>
            </w:tcBorders>
            <w:shd w:val="clear" w:color="auto" w:fill="auto"/>
            <w:noWrap/>
            <w:vAlign w:val="bottom"/>
            <w:hideMark/>
          </w:tcPr>
          <w:p w14:paraId="324EF947"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National Bank of Kenya Ltd Ord 5.00</w:t>
            </w:r>
          </w:p>
        </w:tc>
        <w:tc>
          <w:tcPr>
            <w:tcW w:w="1740" w:type="dxa"/>
            <w:tcBorders>
              <w:top w:val="nil"/>
              <w:left w:val="nil"/>
              <w:bottom w:val="nil"/>
              <w:right w:val="nil"/>
            </w:tcBorders>
            <w:shd w:val="clear" w:color="auto" w:fill="auto"/>
            <w:noWrap/>
            <w:vAlign w:val="center"/>
            <w:hideMark/>
          </w:tcPr>
          <w:p w14:paraId="1ABDE393"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KE0000000398</w:t>
            </w:r>
          </w:p>
        </w:tc>
        <w:tc>
          <w:tcPr>
            <w:tcW w:w="1720" w:type="dxa"/>
            <w:tcBorders>
              <w:top w:val="nil"/>
              <w:left w:val="nil"/>
              <w:bottom w:val="nil"/>
              <w:right w:val="nil"/>
            </w:tcBorders>
            <w:shd w:val="clear" w:color="auto" w:fill="auto"/>
            <w:noWrap/>
            <w:vAlign w:val="bottom"/>
            <w:hideMark/>
          </w:tcPr>
          <w:p w14:paraId="01D03C86"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NBK</w:t>
            </w:r>
          </w:p>
        </w:tc>
      </w:tr>
      <w:tr w:rsidR="00AE0B3D" w:rsidRPr="00AE0B3D" w14:paraId="5ED37774" w14:textId="77777777" w:rsidTr="006B3120">
        <w:trPr>
          <w:trHeight w:val="290"/>
        </w:trPr>
        <w:tc>
          <w:tcPr>
            <w:tcW w:w="4440" w:type="dxa"/>
            <w:tcBorders>
              <w:top w:val="nil"/>
              <w:left w:val="nil"/>
              <w:bottom w:val="nil"/>
              <w:right w:val="nil"/>
            </w:tcBorders>
            <w:shd w:val="clear" w:color="auto" w:fill="auto"/>
            <w:noWrap/>
            <w:vAlign w:val="bottom"/>
            <w:hideMark/>
          </w:tcPr>
          <w:p w14:paraId="3E0C9003"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NIC Group Plc Ord 5.00</w:t>
            </w:r>
          </w:p>
        </w:tc>
        <w:tc>
          <w:tcPr>
            <w:tcW w:w="1740" w:type="dxa"/>
            <w:tcBorders>
              <w:top w:val="nil"/>
              <w:left w:val="nil"/>
              <w:bottom w:val="nil"/>
              <w:right w:val="nil"/>
            </w:tcBorders>
            <w:shd w:val="clear" w:color="auto" w:fill="auto"/>
            <w:noWrap/>
            <w:vAlign w:val="center"/>
            <w:hideMark/>
          </w:tcPr>
          <w:p w14:paraId="02FD90CB"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KE0000000406</w:t>
            </w:r>
          </w:p>
        </w:tc>
        <w:tc>
          <w:tcPr>
            <w:tcW w:w="1720" w:type="dxa"/>
            <w:tcBorders>
              <w:top w:val="nil"/>
              <w:left w:val="nil"/>
              <w:bottom w:val="nil"/>
              <w:right w:val="nil"/>
            </w:tcBorders>
            <w:shd w:val="clear" w:color="auto" w:fill="auto"/>
            <w:noWrap/>
            <w:vAlign w:val="bottom"/>
            <w:hideMark/>
          </w:tcPr>
          <w:p w14:paraId="54A87D15"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NIC</w:t>
            </w:r>
          </w:p>
        </w:tc>
      </w:tr>
      <w:tr w:rsidR="00AE0B3D" w:rsidRPr="00AE0B3D" w14:paraId="472150B7" w14:textId="77777777" w:rsidTr="006B3120">
        <w:trPr>
          <w:trHeight w:val="290"/>
        </w:trPr>
        <w:tc>
          <w:tcPr>
            <w:tcW w:w="4440" w:type="dxa"/>
            <w:tcBorders>
              <w:top w:val="nil"/>
              <w:left w:val="nil"/>
              <w:bottom w:val="nil"/>
              <w:right w:val="nil"/>
            </w:tcBorders>
            <w:shd w:val="clear" w:color="auto" w:fill="auto"/>
            <w:noWrap/>
            <w:vAlign w:val="bottom"/>
            <w:hideMark/>
          </w:tcPr>
          <w:p w14:paraId="719A9267"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Stanbic Holdings Plc ord.5.00</w:t>
            </w:r>
          </w:p>
        </w:tc>
        <w:tc>
          <w:tcPr>
            <w:tcW w:w="1740" w:type="dxa"/>
            <w:tcBorders>
              <w:top w:val="nil"/>
              <w:left w:val="nil"/>
              <w:bottom w:val="nil"/>
              <w:right w:val="nil"/>
            </w:tcBorders>
            <w:shd w:val="clear" w:color="auto" w:fill="auto"/>
            <w:noWrap/>
            <w:vAlign w:val="center"/>
            <w:hideMark/>
          </w:tcPr>
          <w:p w14:paraId="51EF5D85"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KE0000000091</w:t>
            </w:r>
          </w:p>
        </w:tc>
        <w:tc>
          <w:tcPr>
            <w:tcW w:w="1720" w:type="dxa"/>
            <w:tcBorders>
              <w:top w:val="nil"/>
              <w:left w:val="nil"/>
              <w:bottom w:val="nil"/>
              <w:right w:val="nil"/>
            </w:tcBorders>
            <w:shd w:val="clear" w:color="auto" w:fill="auto"/>
            <w:noWrap/>
            <w:vAlign w:val="bottom"/>
            <w:hideMark/>
          </w:tcPr>
          <w:p w14:paraId="66E3AAEE"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CFC</w:t>
            </w:r>
          </w:p>
        </w:tc>
      </w:tr>
      <w:tr w:rsidR="00AE0B3D" w:rsidRPr="00AE0B3D" w14:paraId="573C9EDA" w14:textId="77777777" w:rsidTr="006B3120">
        <w:trPr>
          <w:trHeight w:val="290"/>
        </w:trPr>
        <w:tc>
          <w:tcPr>
            <w:tcW w:w="4440" w:type="dxa"/>
            <w:tcBorders>
              <w:top w:val="nil"/>
              <w:left w:val="nil"/>
              <w:bottom w:val="nil"/>
              <w:right w:val="nil"/>
            </w:tcBorders>
            <w:shd w:val="clear" w:color="auto" w:fill="auto"/>
            <w:noWrap/>
            <w:vAlign w:val="bottom"/>
            <w:hideMark/>
          </w:tcPr>
          <w:p w14:paraId="642257AB"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Standard Chartered Bank Kenya Ltd Ord 5.00</w:t>
            </w:r>
          </w:p>
        </w:tc>
        <w:tc>
          <w:tcPr>
            <w:tcW w:w="1740" w:type="dxa"/>
            <w:tcBorders>
              <w:top w:val="nil"/>
              <w:left w:val="nil"/>
              <w:bottom w:val="nil"/>
              <w:right w:val="nil"/>
            </w:tcBorders>
            <w:shd w:val="clear" w:color="auto" w:fill="auto"/>
            <w:noWrap/>
            <w:vAlign w:val="center"/>
            <w:hideMark/>
          </w:tcPr>
          <w:p w14:paraId="148A1723"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KE0000000448</w:t>
            </w:r>
          </w:p>
        </w:tc>
        <w:tc>
          <w:tcPr>
            <w:tcW w:w="1720" w:type="dxa"/>
            <w:tcBorders>
              <w:top w:val="nil"/>
              <w:left w:val="nil"/>
              <w:bottom w:val="nil"/>
              <w:right w:val="nil"/>
            </w:tcBorders>
            <w:shd w:val="clear" w:color="auto" w:fill="auto"/>
            <w:noWrap/>
            <w:vAlign w:val="bottom"/>
            <w:hideMark/>
          </w:tcPr>
          <w:p w14:paraId="10A64F4B"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SCBK</w:t>
            </w:r>
          </w:p>
        </w:tc>
      </w:tr>
      <w:tr w:rsidR="00AE0B3D" w:rsidRPr="00AE0B3D" w14:paraId="3B7EB8C0" w14:textId="77777777" w:rsidTr="006B3120">
        <w:trPr>
          <w:trHeight w:val="290"/>
        </w:trPr>
        <w:tc>
          <w:tcPr>
            <w:tcW w:w="4440" w:type="dxa"/>
            <w:tcBorders>
              <w:top w:val="nil"/>
              <w:left w:val="nil"/>
              <w:bottom w:val="nil"/>
              <w:right w:val="nil"/>
            </w:tcBorders>
            <w:shd w:val="clear" w:color="auto" w:fill="auto"/>
            <w:noWrap/>
            <w:vAlign w:val="bottom"/>
            <w:hideMark/>
          </w:tcPr>
          <w:p w14:paraId="4BA6EA49"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The Co-operative Bank of Kenya Ltd Ord 1.00</w:t>
            </w:r>
          </w:p>
        </w:tc>
        <w:tc>
          <w:tcPr>
            <w:tcW w:w="1740" w:type="dxa"/>
            <w:tcBorders>
              <w:top w:val="nil"/>
              <w:left w:val="nil"/>
              <w:bottom w:val="nil"/>
              <w:right w:val="nil"/>
            </w:tcBorders>
            <w:shd w:val="clear" w:color="auto" w:fill="auto"/>
            <w:noWrap/>
            <w:vAlign w:val="center"/>
            <w:hideMark/>
          </w:tcPr>
          <w:p w14:paraId="5D76CB3C"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KE1000001568</w:t>
            </w:r>
          </w:p>
        </w:tc>
        <w:tc>
          <w:tcPr>
            <w:tcW w:w="1720" w:type="dxa"/>
            <w:tcBorders>
              <w:top w:val="nil"/>
              <w:left w:val="nil"/>
              <w:bottom w:val="nil"/>
              <w:right w:val="nil"/>
            </w:tcBorders>
            <w:shd w:val="clear" w:color="auto" w:fill="auto"/>
            <w:noWrap/>
            <w:vAlign w:val="bottom"/>
            <w:hideMark/>
          </w:tcPr>
          <w:p w14:paraId="315F9909"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COOP</w:t>
            </w:r>
          </w:p>
        </w:tc>
      </w:tr>
      <w:tr w:rsidR="00AE0B3D" w:rsidRPr="00AE0B3D" w14:paraId="180C7AEA" w14:textId="77777777" w:rsidTr="006B3120">
        <w:trPr>
          <w:trHeight w:val="290"/>
        </w:trPr>
        <w:tc>
          <w:tcPr>
            <w:tcW w:w="4440" w:type="dxa"/>
            <w:tcBorders>
              <w:top w:val="nil"/>
              <w:left w:val="nil"/>
              <w:bottom w:val="nil"/>
              <w:right w:val="nil"/>
            </w:tcBorders>
            <w:shd w:val="clear" w:color="auto" w:fill="auto"/>
            <w:noWrap/>
            <w:vAlign w:val="bottom"/>
            <w:hideMark/>
          </w:tcPr>
          <w:p w14:paraId="0782665C"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r w:rsidRPr="00AE0B3D">
              <w:rPr>
                <w:rFonts w:ascii="Calibri" w:eastAsia="Times New Roman" w:hAnsi="Calibri" w:cs="Calibri"/>
                <w:b/>
                <w:bCs/>
                <w:sz w:val="20"/>
                <w:szCs w:val="20"/>
              </w:rPr>
              <w:t>COMMERCIAL AND SERVICES</w:t>
            </w:r>
          </w:p>
        </w:tc>
        <w:tc>
          <w:tcPr>
            <w:tcW w:w="1740" w:type="dxa"/>
            <w:tcBorders>
              <w:top w:val="nil"/>
              <w:left w:val="nil"/>
              <w:bottom w:val="nil"/>
              <w:right w:val="nil"/>
            </w:tcBorders>
            <w:shd w:val="clear" w:color="auto" w:fill="auto"/>
            <w:noWrap/>
            <w:vAlign w:val="bottom"/>
            <w:hideMark/>
          </w:tcPr>
          <w:p w14:paraId="309D8B46"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p>
        </w:tc>
        <w:tc>
          <w:tcPr>
            <w:tcW w:w="1720" w:type="dxa"/>
            <w:tcBorders>
              <w:top w:val="nil"/>
              <w:left w:val="nil"/>
              <w:bottom w:val="nil"/>
              <w:right w:val="nil"/>
            </w:tcBorders>
            <w:shd w:val="clear" w:color="auto" w:fill="auto"/>
            <w:noWrap/>
            <w:vAlign w:val="bottom"/>
            <w:hideMark/>
          </w:tcPr>
          <w:p w14:paraId="26F4CA95" w14:textId="77777777" w:rsidR="006B3120" w:rsidRPr="00AE0B3D" w:rsidRDefault="006B3120" w:rsidP="006B3120">
            <w:pPr>
              <w:spacing w:after="0" w:line="240" w:lineRule="auto"/>
              <w:ind w:firstLine="0"/>
              <w:jc w:val="center"/>
              <w:rPr>
                <w:rFonts w:eastAsia="Times New Roman" w:cs="Times New Roman"/>
                <w:sz w:val="20"/>
                <w:szCs w:val="20"/>
              </w:rPr>
            </w:pPr>
          </w:p>
        </w:tc>
      </w:tr>
      <w:tr w:rsidR="00AE0B3D" w:rsidRPr="00AE0B3D" w14:paraId="44F6397B" w14:textId="77777777" w:rsidTr="006B3120">
        <w:trPr>
          <w:trHeight w:val="290"/>
        </w:trPr>
        <w:tc>
          <w:tcPr>
            <w:tcW w:w="4440" w:type="dxa"/>
            <w:tcBorders>
              <w:top w:val="nil"/>
              <w:left w:val="nil"/>
              <w:bottom w:val="nil"/>
              <w:right w:val="nil"/>
            </w:tcBorders>
            <w:shd w:val="clear" w:color="auto" w:fill="auto"/>
            <w:noWrap/>
            <w:vAlign w:val="bottom"/>
            <w:hideMark/>
          </w:tcPr>
          <w:p w14:paraId="31D4331B"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Deacons (East Africa) Plc Ord 2.50AIMS</w:t>
            </w:r>
          </w:p>
        </w:tc>
        <w:tc>
          <w:tcPr>
            <w:tcW w:w="1740" w:type="dxa"/>
            <w:tcBorders>
              <w:top w:val="nil"/>
              <w:left w:val="nil"/>
              <w:bottom w:val="nil"/>
              <w:right w:val="nil"/>
            </w:tcBorders>
            <w:shd w:val="clear" w:color="auto" w:fill="auto"/>
            <w:noWrap/>
            <w:vAlign w:val="bottom"/>
            <w:hideMark/>
          </w:tcPr>
          <w:p w14:paraId="34B97351"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KE5000005438</w:t>
            </w:r>
          </w:p>
        </w:tc>
        <w:tc>
          <w:tcPr>
            <w:tcW w:w="1720" w:type="dxa"/>
            <w:tcBorders>
              <w:top w:val="nil"/>
              <w:left w:val="nil"/>
              <w:bottom w:val="nil"/>
              <w:right w:val="nil"/>
            </w:tcBorders>
            <w:shd w:val="clear" w:color="auto" w:fill="auto"/>
            <w:noWrap/>
            <w:vAlign w:val="bottom"/>
            <w:hideMark/>
          </w:tcPr>
          <w:p w14:paraId="4989C277"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DCON</w:t>
            </w:r>
          </w:p>
        </w:tc>
      </w:tr>
      <w:tr w:rsidR="00AE0B3D" w:rsidRPr="00AE0B3D" w14:paraId="7EAA5233" w14:textId="77777777" w:rsidTr="006B3120">
        <w:trPr>
          <w:trHeight w:val="290"/>
        </w:trPr>
        <w:tc>
          <w:tcPr>
            <w:tcW w:w="4440" w:type="dxa"/>
            <w:tcBorders>
              <w:top w:val="nil"/>
              <w:left w:val="nil"/>
              <w:bottom w:val="nil"/>
              <w:right w:val="nil"/>
            </w:tcBorders>
            <w:shd w:val="clear" w:color="auto" w:fill="auto"/>
            <w:noWrap/>
            <w:vAlign w:val="bottom"/>
            <w:hideMark/>
          </w:tcPr>
          <w:p w14:paraId="3507ECE4"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Eveready East Africa Ltd Ord.1.00</w:t>
            </w:r>
          </w:p>
        </w:tc>
        <w:tc>
          <w:tcPr>
            <w:tcW w:w="1740" w:type="dxa"/>
            <w:tcBorders>
              <w:top w:val="nil"/>
              <w:left w:val="nil"/>
              <w:bottom w:val="nil"/>
              <w:right w:val="nil"/>
            </w:tcBorders>
            <w:shd w:val="clear" w:color="auto" w:fill="auto"/>
            <w:noWrap/>
            <w:vAlign w:val="center"/>
            <w:hideMark/>
          </w:tcPr>
          <w:p w14:paraId="0C17AC11"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KE0000000588</w:t>
            </w:r>
          </w:p>
        </w:tc>
        <w:tc>
          <w:tcPr>
            <w:tcW w:w="1720" w:type="dxa"/>
            <w:tcBorders>
              <w:top w:val="nil"/>
              <w:left w:val="nil"/>
              <w:bottom w:val="nil"/>
              <w:right w:val="nil"/>
            </w:tcBorders>
            <w:shd w:val="clear" w:color="auto" w:fill="auto"/>
            <w:noWrap/>
            <w:vAlign w:val="bottom"/>
            <w:hideMark/>
          </w:tcPr>
          <w:p w14:paraId="0330B55D"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EVRD</w:t>
            </w:r>
          </w:p>
        </w:tc>
      </w:tr>
      <w:tr w:rsidR="00AE0B3D" w:rsidRPr="00AE0B3D" w14:paraId="0AAD5AE8" w14:textId="77777777" w:rsidTr="006B3120">
        <w:trPr>
          <w:trHeight w:val="290"/>
        </w:trPr>
        <w:tc>
          <w:tcPr>
            <w:tcW w:w="4440" w:type="dxa"/>
            <w:tcBorders>
              <w:top w:val="nil"/>
              <w:left w:val="nil"/>
              <w:bottom w:val="nil"/>
              <w:right w:val="nil"/>
            </w:tcBorders>
            <w:shd w:val="clear" w:color="auto" w:fill="auto"/>
            <w:noWrap/>
            <w:vAlign w:val="bottom"/>
            <w:hideMark/>
          </w:tcPr>
          <w:p w14:paraId="67206F2E"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Express Kenya Ltd Ord 5.00 AIMS</w:t>
            </w:r>
          </w:p>
        </w:tc>
        <w:tc>
          <w:tcPr>
            <w:tcW w:w="1740" w:type="dxa"/>
            <w:tcBorders>
              <w:top w:val="nil"/>
              <w:left w:val="nil"/>
              <w:bottom w:val="nil"/>
              <w:right w:val="nil"/>
            </w:tcBorders>
            <w:shd w:val="clear" w:color="auto" w:fill="auto"/>
            <w:noWrap/>
            <w:vAlign w:val="center"/>
            <w:hideMark/>
          </w:tcPr>
          <w:p w14:paraId="625623D5"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KE0000000224</w:t>
            </w:r>
          </w:p>
        </w:tc>
        <w:tc>
          <w:tcPr>
            <w:tcW w:w="1720" w:type="dxa"/>
            <w:tcBorders>
              <w:top w:val="nil"/>
              <w:left w:val="nil"/>
              <w:bottom w:val="nil"/>
              <w:right w:val="nil"/>
            </w:tcBorders>
            <w:shd w:val="clear" w:color="auto" w:fill="auto"/>
            <w:noWrap/>
            <w:vAlign w:val="bottom"/>
            <w:hideMark/>
          </w:tcPr>
          <w:p w14:paraId="1DA98057"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XPRS</w:t>
            </w:r>
          </w:p>
        </w:tc>
      </w:tr>
      <w:tr w:rsidR="00AE0B3D" w:rsidRPr="00AE0B3D" w14:paraId="7E8574B3" w14:textId="77777777" w:rsidTr="006B3120">
        <w:trPr>
          <w:trHeight w:val="290"/>
        </w:trPr>
        <w:tc>
          <w:tcPr>
            <w:tcW w:w="4440" w:type="dxa"/>
            <w:tcBorders>
              <w:top w:val="nil"/>
              <w:left w:val="nil"/>
              <w:bottom w:val="nil"/>
              <w:right w:val="nil"/>
            </w:tcBorders>
            <w:shd w:val="clear" w:color="auto" w:fill="auto"/>
            <w:noWrap/>
            <w:vAlign w:val="bottom"/>
            <w:hideMark/>
          </w:tcPr>
          <w:p w14:paraId="37852CD4"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Kenya Airways Ltd Ord 5.00</w:t>
            </w:r>
          </w:p>
        </w:tc>
        <w:tc>
          <w:tcPr>
            <w:tcW w:w="1740" w:type="dxa"/>
            <w:tcBorders>
              <w:top w:val="nil"/>
              <w:left w:val="nil"/>
              <w:bottom w:val="nil"/>
              <w:right w:val="nil"/>
            </w:tcBorders>
            <w:shd w:val="clear" w:color="auto" w:fill="auto"/>
            <w:noWrap/>
            <w:vAlign w:val="center"/>
            <w:hideMark/>
          </w:tcPr>
          <w:p w14:paraId="0B15A3D9"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KE0000000307</w:t>
            </w:r>
          </w:p>
        </w:tc>
        <w:tc>
          <w:tcPr>
            <w:tcW w:w="1720" w:type="dxa"/>
            <w:tcBorders>
              <w:top w:val="nil"/>
              <w:left w:val="nil"/>
              <w:bottom w:val="nil"/>
              <w:right w:val="nil"/>
            </w:tcBorders>
            <w:shd w:val="clear" w:color="auto" w:fill="auto"/>
            <w:noWrap/>
            <w:vAlign w:val="bottom"/>
            <w:hideMark/>
          </w:tcPr>
          <w:p w14:paraId="583B85B6"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KQ</w:t>
            </w:r>
          </w:p>
        </w:tc>
      </w:tr>
      <w:tr w:rsidR="00AE0B3D" w:rsidRPr="00AE0B3D" w14:paraId="78422A2A" w14:textId="77777777" w:rsidTr="006B3120">
        <w:trPr>
          <w:trHeight w:val="290"/>
        </w:trPr>
        <w:tc>
          <w:tcPr>
            <w:tcW w:w="4440" w:type="dxa"/>
            <w:tcBorders>
              <w:top w:val="nil"/>
              <w:left w:val="nil"/>
              <w:bottom w:val="nil"/>
              <w:right w:val="nil"/>
            </w:tcBorders>
            <w:shd w:val="clear" w:color="auto" w:fill="auto"/>
            <w:noWrap/>
            <w:vAlign w:val="bottom"/>
            <w:hideMark/>
          </w:tcPr>
          <w:p w14:paraId="60DAF235"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Longhorn Publishers Plc Ord 1.00AIMS</w:t>
            </w:r>
          </w:p>
        </w:tc>
        <w:tc>
          <w:tcPr>
            <w:tcW w:w="1740" w:type="dxa"/>
            <w:tcBorders>
              <w:top w:val="nil"/>
              <w:left w:val="nil"/>
              <w:bottom w:val="nil"/>
              <w:right w:val="nil"/>
            </w:tcBorders>
            <w:shd w:val="clear" w:color="auto" w:fill="auto"/>
            <w:noWrap/>
            <w:vAlign w:val="center"/>
            <w:hideMark/>
          </w:tcPr>
          <w:p w14:paraId="4A8ACCC5"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KE2000002275</w:t>
            </w:r>
          </w:p>
        </w:tc>
        <w:tc>
          <w:tcPr>
            <w:tcW w:w="1720" w:type="dxa"/>
            <w:tcBorders>
              <w:top w:val="nil"/>
              <w:left w:val="nil"/>
              <w:bottom w:val="nil"/>
              <w:right w:val="nil"/>
            </w:tcBorders>
            <w:shd w:val="clear" w:color="auto" w:fill="auto"/>
            <w:noWrap/>
            <w:vAlign w:val="bottom"/>
            <w:hideMark/>
          </w:tcPr>
          <w:p w14:paraId="49DE8286"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LKL</w:t>
            </w:r>
          </w:p>
        </w:tc>
      </w:tr>
      <w:tr w:rsidR="00AE0B3D" w:rsidRPr="00AE0B3D" w14:paraId="49976866" w14:textId="77777777" w:rsidTr="006B3120">
        <w:trPr>
          <w:trHeight w:val="290"/>
        </w:trPr>
        <w:tc>
          <w:tcPr>
            <w:tcW w:w="4440" w:type="dxa"/>
            <w:tcBorders>
              <w:top w:val="nil"/>
              <w:left w:val="nil"/>
              <w:bottom w:val="nil"/>
              <w:right w:val="nil"/>
            </w:tcBorders>
            <w:shd w:val="clear" w:color="auto" w:fill="auto"/>
            <w:noWrap/>
            <w:vAlign w:val="bottom"/>
            <w:hideMark/>
          </w:tcPr>
          <w:p w14:paraId="1D588525"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Nairobi Business Ventures Ltd Ord. 1.00 GEMS</w:t>
            </w:r>
          </w:p>
        </w:tc>
        <w:tc>
          <w:tcPr>
            <w:tcW w:w="1740" w:type="dxa"/>
            <w:tcBorders>
              <w:top w:val="nil"/>
              <w:left w:val="nil"/>
              <w:bottom w:val="nil"/>
              <w:right w:val="nil"/>
            </w:tcBorders>
            <w:shd w:val="clear" w:color="auto" w:fill="auto"/>
            <w:noWrap/>
            <w:vAlign w:val="center"/>
            <w:hideMark/>
          </w:tcPr>
          <w:p w14:paraId="67F8A7E4"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KE5000000090</w:t>
            </w:r>
          </w:p>
        </w:tc>
        <w:tc>
          <w:tcPr>
            <w:tcW w:w="1720" w:type="dxa"/>
            <w:tcBorders>
              <w:top w:val="nil"/>
              <w:left w:val="nil"/>
              <w:bottom w:val="nil"/>
              <w:right w:val="nil"/>
            </w:tcBorders>
            <w:shd w:val="clear" w:color="auto" w:fill="auto"/>
            <w:noWrap/>
            <w:vAlign w:val="bottom"/>
            <w:hideMark/>
          </w:tcPr>
          <w:p w14:paraId="494DD2A9"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NBV</w:t>
            </w:r>
          </w:p>
        </w:tc>
      </w:tr>
      <w:tr w:rsidR="00AE0B3D" w:rsidRPr="00AE0B3D" w14:paraId="2B0F379F" w14:textId="77777777" w:rsidTr="006B3120">
        <w:trPr>
          <w:trHeight w:val="290"/>
        </w:trPr>
        <w:tc>
          <w:tcPr>
            <w:tcW w:w="4440" w:type="dxa"/>
            <w:tcBorders>
              <w:top w:val="nil"/>
              <w:left w:val="nil"/>
              <w:bottom w:val="nil"/>
              <w:right w:val="nil"/>
            </w:tcBorders>
            <w:shd w:val="clear" w:color="auto" w:fill="auto"/>
            <w:noWrap/>
            <w:vAlign w:val="bottom"/>
            <w:hideMark/>
          </w:tcPr>
          <w:p w14:paraId="508CE413"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Nation Media Group Ltd Ord. 2.50</w:t>
            </w:r>
          </w:p>
        </w:tc>
        <w:tc>
          <w:tcPr>
            <w:tcW w:w="1740" w:type="dxa"/>
            <w:tcBorders>
              <w:top w:val="nil"/>
              <w:left w:val="nil"/>
              <w:bottom w:val="nil"/>
              <w:right w:val="nil"/>
            </w:tcBorders>
            <w:shd w:val="clear" w:color="auto" w:fill="auto"/>
            <w:noWrap/>
            <w:vAlign w:val="center"/>
            <w:hideMark/>
          </w:tcPr>
          <w:p w14:paraId="481690A2"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KE0000000380</w:t>
            </w:r>
          </w:p>
        </w:tc>
        <w:tc>
          <w:tcPr>
            <w:tcW w:w="1720" w:type="dxa"/>
            <w:tcBorders>
              <w:top w:val="nil"/>
              <w:left w:val="nil"/>
              <w:bottom w:val="nil"/>
              <w:right w:val="nil"/>
            </w:tcBorders>
            <w:shd w:val="clear" w:color="auto" w:fill="auto"/>
            <w:noWrap/>
            <w:vAlign w:val="bottom"/>
            <w:hideMark/>
          </w:tcPr>
          <w:p w14:paraId="24B767A0"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NMG</w:t>
            </w:r>
          </w:p>
        </w:tc>
      </w:tr>
      <w:tr w:rsidR="00AE0B3D" w:rsidRPr="00AE0B3D" w14:paraId="62E9BC44" w14:textId="77777777" w:rsidTr="006B3120">
        <w:trPr>
          <w:trHeight w:val="290"/>
        </w:trPr>
        <w:tc>
          <w:tcPr>
            <w:tcW w:w="4440" w:type="dxa"/>
            <w:tcBorders>
              <w:top w:val="nil"/>
              <w:left w:val="nil"/>
              <w:bottom w:val="nil"/>
              <w:right w:val="nil"/>
            </w:tcBorders>
            <w:shd w:val="clear" w:color="auto" w:fill="auto"/>
            <w:noWrap/>
            <w:vAlign w:val="bottom"/>
            <w:hideMark/>
          </w:tcPr>
          <w:p w14:paraId="01D5A815"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Sameer Africa Plc Ord 5.00</w:t>
            </w:r>
          </w:p>
        </w:tc>
        <w:tc>
          <w:tcPr>
            <w:tcW w:w="1740" w:type="dxa"/>
            <w:tcBorders>
              <w:top w:val="nil"/>
              <w:left w:val="nil"/>
              <w:bottom w:val="nil"/>
              <w:right w:val="nil"/>
            </w:tcBorders>
            <w:shd w:val="clear" w:color="auto" w:fill="auto"/>
            <w:noWrap/>
            <w:vAlign w:val="center"/>
            <w:hideMark/>
          </w:tcPr>
          <w:p w14:paraId="7C9DCE85"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KE0000000232</w:t>
            </w:r>
          </w:p>
        </w:tc>
        <w:tc>
          <w:tcPr>
            <w:tcW w:w="1720" w:type="dxa"/>
            <w:tcBorders>
              <w:top w:val="nil"/>
              <w:left w:val="nil"/>
              <w:bottom w:val="nil"/>
              <w:right w:val="nil"/>
            </w:tcBorders>
            <w:shd w:val="clear" w:color="auto" w:fill="auto"/>
            <w:noWrap/>
            <w:vAlign w:val="bottom"/>
            <w:hideMark/>
          </w:tcPr>
          <w:p w14:paraId="4D08BA8E"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FIRE</w:t>
            </w:r>
          </w:p>
        </w:tc>
      </w:tr>
      <w:tr w:rsidR="00AE0B3D" w:rsidRPr="00AE0B3D" w14:paraId="5293EB3A" w14:textId="77777777" w:rsidTr="006B3120">
        <w:trPr>
          <w:trHeight w:val="290"/>
        </w:trPr>
        <w:tc>
          <w:tcPr>
            <w:tcW w:w="4440" w:type="dxa"/>
            <w:tcBorders>
              <w:top w:val="nil"/>
              <w:left w:val="nil"/>
              <w:bottom w:val="nil"/>
              <w:right w:val="nil"/>
            </w:tcBorders>
            <w:shd w:val="clear" w:color="auto" w:fill="auto"/>
            <w:noWrap/>
            <w:vAlign w:val="bottom"/>
            <w:hideMark/>
          </w:tcPr>
          <w:p w14:paraId="3BE85F02"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Standard Group Plc Ord 5.00</w:t>
            </w:r>
          </w:p>
        </w:tc>
        <w:tc>
          <w:tcPr>
            <w:tcW w:w="1740" w:type="dxa"/>
            <w:tcBorders>
              <w:top w:val="nil"/>
              <w:left w:val="nil"/>
              <w:bottom w:val="nil"/>
              <w:right w:val="nil"/>
            </w:tcBorders>
            <w:shd w:val="clear" w:color="auto" w:fill="auto"/>
            <w:noWrap/>
            <w:vAlign w:val="center"/>
            <w:hideMark/>
          </w:tcPr>
          <w:p w14:paraId="5C91B58D"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KE0000000455</w:t>
            </w:r>
          </w:p>
        </w:tc>
        <w:tc>
          <w:tcPr>
            <w:tcW w:w="1720" w:type="dxa"/>
            <w:tcBorders>
              <w:top w:val="nil"/>
              <w:left w:val="nil"/>
              <w:bottom w:val="nil"/>
              <w:right w:val="nil"/>
            </w:tcBorders>
            <w:shd w:val="clear" w:color="auto" w:fill="auto"/>
            <w:noWrap/>
            <w:vAlign w:val="bottom"/>
            <w:hideMark/>
          </w:tcPr>
          <w:p w14:paraId="5CEEDCA7"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SGL</w:t>
            </w:r>
          </w:p>
        </w:tc>
      </w:tr>
      <w:tr w:rsidR="00AE0B3D" w:rsidRPr="00AE0B3D" w14:paraId="211F801F" w14:textId="77777777" w:rsidTr="006B3120">
        <w:trPr>
          <w:trHeight w:val="290"/>
        </w:trPr>
        <w:tc>
          <w:tcPr>
            <w:tcW w:w="4440" w:type="dxa"/>
            <w:tcBorders>
              <w:top w:val="nil"/>
              <w:left w:val="nil"/>
              <w:bottom w:val="nil"/>
              <w:right w:val="nil"/>
            </w:tcBorders>
            <w:shd w:val="clear" w:color="auto" w:fill="auto"/>
            <w:noWrap/>
            <w:vAlign w:val="bottom"/>
            <w:hideMark/>
          </w:tcPr>
          <w:p w14:paraId="0FB3F3E1"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TPS Eastern </w:t>
            </w:r>
            <w:proofErr w:type="gramStart"/>
            <w:r w:rsidRPr="00AE0B3D">
              <w:rPr>
                <w:rFonts w:ascii="Calibri" w:eastAsia="Times New Roman" w:hAnsi="Calibri" w:cs="Calibri"/>
                <w:sz w:val="20"/>
                <w:szCs w:val="20"/>
              </w:rPr>
              <w:t>Africa  Ltd</w:t>
            </w:r>
            <w:proofErr w:type="gramEnd"/>
            <w:r w:rsidRPr="00AE0B3D">
              <w:rPr>
                <w:rFonts w:ascii="Calibri" w:eastAsia="Times New Roman" w:hAnsi="Calibri" w:cs="Calibri"/>
                <w:sz w:val="20"/>
                <w:szCs w:val="20"/>
              </w:rPr>
              <w:t xml:space="preserve"> Ord 1.00  </w:t>
            </w:r>
          </w:p>
        </w:tc>
        <w:tc>
          <w:tcPr>
            <w:tcW w:w="1740" w:type="dxa"/>
            <w:tcBorders>
              <w:top w:val="nil"/>
              <w:left w:val="nil"/>
              <w:bottom w:val="nil"/>
              <w:right w:val="nil"/>
            </w:tcBorders>
            <w:shd w:val="clear" w:color="auto" w:fill="auto"/>
            <w:noWrap/>
            <w:vAlign w:val="center"/>
            <w:hideMark/>
          </w:tcPr>
          <w:p w14:paraId="059FB01F"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KE0000000539</w:t>
            </w:r>
          </w:p>
        </w:tc>
        <w:tc>
          <w:tcPr>
            <w:tcW w:w="1720" w:type="dxa"/>
            <w:tcBorders>
              <w:top w:val="nil"/>
              <w:left w:val="nil"/>
              <w:bottom w:val="nil"/>
              <w:right w:val="nil"/>
            </w:tcBorders>
            <w:shd w:val="clear" w:color="auto" w:fill="auto"/>
            <w:noWrap/>
            <w:vAlign w:val="bottom"/>
            <w:hideMark/>
          </w:tcPr>
          <w:p w14:paraId="5A343D46"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TPSE</w:t>
            </w:r>
          </w:p>
        </w:tc>
      </w:tr>
      <w:tr w:rsidR="00AE0B3D" w:rsidRPr="00AE0B3D" w14:paraId="6D861B4A" w14:textId="77777777" w:rsidTr="006B3120">
        <w:trPr>
          <w:trHeight w:val="290"/>
        </w:trPr>
        <w:tc>
          <w:tcPr>
            <w:tcW w:w="4440" w:type="dxa"/>
            <w:tcBorders>
              <w:top w:val="nil"/>
              <w:left w:val="nil"/>
              <w:bottom w:val="nil"/>
              <w:right w:val="nil"/>
            </w:tcBorders>
            <w:shd w:val="clear" w:color="auto" w:fill="auto"/>
            <w:noWrap/>
            <w:vAlign w:val="bottom"/>
            <w:hideMark/>
          </w:tcPr>
          <w:p w14:paraId="5082E8FF"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w:t>
            </w:r>
            <w:proofErr w:type="spellStart"/>
            <w:r w:rsidRPr="00AE0B3D">
              <w:rPr>
                <w:rFonts w:ascii="Calibri" w:eastAsia="Times New Roman" w:hAnsi="Calibri" w:cs="Calibri"/>
                <w:sz w:val="20"/>
                <w:szCs w:val="20"/>
              </w:rPr>
              <w:t>Uchumi</w:t>
            </w:r>
            <w:proofErr w:type="spellEnd"/>
            <w:r w:rsidRPr="00AE0B3D">
              <w:rPr>
                <w:rFonts w:ascii="Calibri" w:eastAsia="Times New Roman" w:hAnsi="Calibri" w:cs="Calibri"/>
                <w:sz w:val="20"/>
                <w:szCs w:val="20"/>
              </w:rPr>
              <w:t xml:space="preserve"> Supermarket Plc Ord 5.00</w:t>
            </w:r>
          </w:p>
        </w:tc>
        <w:tc>
          <w:tcPr>
            <w:tcW w:w="1740" w:type="dxa"/>
            <w:tcBorders>
              <w:top w:val="nil"/>
              <w:left w:val="nil"/>
              <w:bottom w:val="nil"/>
              <w:right w:val="nil"/>
            </w:tcBorders>
            <w:shd w:val="clear" w:color="auto" w:fill="auto"/>
            <w:noWrap/>
            <w:vAlign w:val="center"/>
            <w:hideMark/>
          </w:tcPr>
          <w:p w14:paraId="49316045"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KE0000000489</w:t>
            </w:r>
          </w:p>
        </w:tc>
        <w:tc>
          <w:tcPr>
            <w:tcW w:w="1720" w:type="dxa"/>
            <w:tcBorders>
              <w:top w:val="nil"/>
              <w:left w:val="nil"/>
              <w:bottom w:val="nil"/>
              <w:right w:val="nil"/>
            </w:tcBorders>
            <w:shd w:val="clear" w:color="auto" w:fill="auto"/>
            <w:noWrap/>
            <w:vAlign w:val="bottom"/>
            <w:hideMark/>
          </w:tcPr>
          <w:p w14:paraId="0647048C"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UCHM</w:t>
            </w:r>
          </w:p>
        </w:tc>
      </w:tr>
      <w:tr w:rsidR="00AE0B3D" w:rsidRPr="00AE0B3D" w14:paraId="1957DC3A" w14:textId="77777777" w:rsidTr="006B3120">
        <w:trPr>
          <w:trHeight w:val="290"/>
        </w:trPr>
        <w:tc>
          <w:tcPr>
            <w:tcW w:w="4440" w:type="dxa"/>
            <w:tcBorders>
              <w:top w:val="nil"/>
              <w:left w:val="nil"/>
              <w:bottom w:val="nil"/>
              <w:right w:val="nil"/>
            </w:tcBorders>
            <w:shd w:val="clear" w:color="auto" w:fill="auto"/>
            <w:noWrap/>
            <w:vAlign w:val="bottom"/>
            <w:hideMark/>
          </w:tcPr>
          <w:p w14:paraId="4CD1DB12"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WPP </w:t>
            </w:r>
            <w:proofErr w:type="spellStart"/>
            <w:r w:rsidRPr="00AE0B3D">
              <w:rPr>
                <w:rFonts w:ascii="Calibri" w:eastAsia="Times New Roman" w:hAnsi="Calibri" w:cs="Calibri"/>
                <w:sz w:val="20"/>
                <w:szCs w:val="20"/>
              </w:rPr>
              <w:t>Scangroup</w:t>
            </w:r>
            <w:proofErr w:type="spellEnd"/>
            <w:r w:rsidRPr="00AE0B3D">
              <w:rPr>
                <w:rFonts w:ascii="Calibri" w:eastAsia="Times New Roman" w:hAnsi="Calibri" w:cs="Calibri"/>
                <w:sz w:val="20"/>
                <w:szCs w:val="20"/>
              </w:rPr>
              <w:t xml:space="preserve"> Plc Ord 1.00</w:t>
            </w:r>
          </w:p>
        </w:tc>
        <w:tc>
          <w:tcPr>
            <w:tcW w:w="1740" w:type="dxa"/>
            <w:tcBorders>
              <w:top w:val="nil"/>
              <w:left w:val="nil"/>
              <w:bottom w:val="nil"/>
              <w:right w:val="nil"/>
            </w:tcBorders>
            <w:shd w:val="clear" w:color="auto" w:fill="auto"/>
            <w:noWrap/>
            <w:vAlign w:val="center"/>
            <w:hideMark/>
          </w:tcPr>
          <w:p w14:paraId="29CE1EAD"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KE0000000562</w:t>
            </w:r>
          </w:p>
        </w:tc>
        <w:tc>
          <w:tcPr>
            <w:tcW w:w="1720" w:type="dxa"/>
            <w:tcBorders>
              <w:top w:val="nil"/>
              <w:left w:val="nil"/>
              <w:bottom w:val="nil"/>
              <w:right w:val="nil"/>
            </w:tcBorders>
            <w:shd w:val="clear" w:color="auto" w:fill="auto"/>
            <w:noWrap/>
            <w:vAlign w:val="bottom"/>
            <w:hideMark/>
          </w:tcPr>
          <w:p w14:paraId="637BA438"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SCAN</w:t>
            </w:r>
          </w:p>
        </w:tc>
      </w:tr>
      <w:tr w:rsidR="00AE0B3D" w:rsidRPr="00AE0B3D" w14:paraId="64288B83" w14:textId="77777777" w:rsidTr="006B3120">
        <w:trPr>
          <w:trHeight w:val="290"/>
        </w:trPr>
        <w:tc>
          <w:tcPr>
            <w:tcW w:w="4440" w:type="dxa"/>
            <w:tcBorders>
              <w:top w:val="nil"/>
              <w:left w:val="nil"/>
              <w:bottom w:val="nil"/>
              <w:right w:val="nil"/>
            </w:tcBorders>
            <w:shd w:val="clear" w:color="auto" w:fill="auto"/>
            <w:noWrap/>
            <w:vAlign w:val="bottom"/>
            <w:hideMark/>
          </w:tcPr>
          <w:p w14:paraId="5AA8556A"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r w:rsidRPr="00AE0B3D">
              <w:rPr>
                <w:rFonts w:ascii="Calibri" w:eastAsia="Times New Roman" w:hAnsi="Calibri" w:cs="Calibri"/>
                <w:b/>
                <w:bCs/>
                <w:sz w:val="20"/>
                <w:szCs w:val="20"/>
              </w:rPr>
              <w:t>CONSTRUCTION &amp; ALLIED</w:t>
            </w:r>
          </w:p>
        </w:tc>
        <w:tc>
          <w:tcPr>
            <w:tcW w:w="1740" w:type="dxa"/>
            <w:tcBorders>
              <w:top w:val="nil"/>
              <w:left w:val="nil"/>
              <w:bottom w:val="nil"/>
              <w:right w:val="nil"/>
            </w:tcBorders>
            <w:shd w:val="clear" w:color="auto" w:fill="auto"/>
            <w:noWrap/>
            <w:vAlign w:val="bottom"/>
            <w:hideMark/>
          </w:tcPr>
          <w:p w14:paraId="06E1B421"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p>
        </w:tc>
        <w:tc>
          <w:tcPr>
            <w:tcW w:w="1720" w:type="dxa"/>
            <w:tcBorders>
              <w:top w:val="nil"/>
              <w:left w:val="nil"/>
              <w:bottom w:val="nil"/>
              <w:right w:val="nil"/>
            </w:tcBorders>
            <w:shd w:val="clear" w:color="auto" w:fill="auto"/>
            <w:noWrap/>
            <w:vAlign w:val="bottom"/>
            <w:hideMark/>
          </w:tcPr>
          <w:p w14:paraId="1BC809B1" w14:textId="77777777" w:rsidR="006B3120" w:rsidRPr="00AE0B3D" w:rsidRDefault="006B3120" w:rsidP="006B3120">
            <w:pPr>
              <w:spacing w:after="0" w:line="240" w:lineRule="auto"/>
              <w:ind w:firstLine="0"/>
              <w:jc w:val="center"/>
              <w:rPr>
                <w:rFonts w:eastAsia="Times New Roman" w:cs="Times New Roman"/>
                <w:sz w:val="20"/>
                <w:szCs w:val="20"/>
              </w:rPr>
            </w:pPr>
          </w:p>
        </w:tc>
      </w:tr>
      <w:tr w:rsidR="00AE0B3D" w:rsidRPr="00AE0B3D" w14:paraId="7B94FBE4" w14:textId="77777777" w:rsidTr="006B3120">
        <w:trPr>
          <w:trHeight w:val="290"/>
        </w:trPr>
        <w:tc>
          <w:tcPr>
            <w:tcW w:w="4440" w:type="dxa"/>
            <w:tcBorders>
              <w:top w:val="nil"/>
              <w:left w:val="nil"/>
              <w:bottom w:val="nil"/>
              <w:right w:val="nil"/>
            </w:tcBorders>
            <w:shd w:val="clear" w:color="auto" w:fill="auto"/>
            <w:noWrap/>
            <w:vAlign w:val="bottom"/>
            <w:hideMark/>
          </w:tcPr>
          <w:p w14:paraId="027D13FC"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ARM Cement Plc Ord 1.00</w:t>
            </w:r>
          </w:p>
        </w:tc>
        <w:tc>
          <w:tcPr>
            <w:tcW w:w="1740" w:type="dxa"/>
            <w:tcBorders>
              <w:top w:val="nil"/>
              <w:left w:val="nil"/>
              <w:bottom w:val="nil"/>
              <w:right w:val="nil"/>
            </w:tcBorders>
            <w:shd w:val="clear" w:color="auto" w:fill="auto"/>
            <w:noWrap/>
            <w:vAlign w:val="center"/>
            <w:hideMark/>
          </w:tcPr>
          <w:p w14:paraId="13745389"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KE0000000034</w:t>
            </w:r>
          </w:p>
        </w:tc>
        <w:tc>
          <w:tcPr>
            <w:tcW w:w="1720" w:type="dxa"/>
            <w:tcBorders>
              <w:top w:val="nil"/>
              <w:left w:val="nil"/>
              <w:bottom w:val="nil"/>
              <w:right w:val="nil"/>
            </w:tcBorders>
            <w:shd w:val="clear" w:color="auto" w:fill="auto"/>
            <w:noWrap/>
            <w:vAlign w:val="bottom"/>
            <w:hideMark/>
          </w:tcPr>
          <w:p w14:paraId="70B56FF5"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ARM</w:t>
            </w:r>
          </w:p>
        </w:tc>
      </w:tr>
      <w:tr w:rsidR="00AE0B3D" w:rsidRPr="00AE0B3D" w14:paraId="5182B161" w14:textId="77777777" w:rsidTr="006B3120">
        <w:trPr>
          <w:trHeight w:val="290"/>
        </w:trPr>
        <w:tc>
          <w:tcPr>
            <w:tcW w:w="4440" w:type="dxa"/>
            <w:tcBorders>
              <w:top w:val="nil"/>
              <w:left w:val="nil"/>
              <w:bottom w:val="nil"/>
              <w:right w:val="nil"/>
            </w:tcBorders>
            <w:shd w:val="clear" w:color="auto" w:fill="auto"/>
            <w:noWrap/>
            <w:vAlign w:val="bottom"/>
            <w:hideMark/>
          </w:tcPr>
          <w:p w14:paraId="1D905DA1"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lastRenderedPageBreak/>
              <w:t xml:space="preserve"> </w:t>
            </w:r>
            <w:proofErr w:type="spellStart"/>
            <w:r w:rsidRPr="00AE0B3D">
              <w:rPr>
                <w:rFonts w:ascii="Calibri" w:eastAsia="Times New Roman" w:hAnsi="Calibri" w:cs="Calibri"/>
                <w:sz w:val="20"/>
                <w:szCs w:val="20"/>
              </w:rPr>
              <w:t>Bamburi</w:t>
            </w:r>
            <w:proofErr w:type="spellEnd"/>
            <w:r w:rsidRPr="00AE0B3D">
              <w:rPr>
                <w:rFonts w:ascii="Calibri" w:eastAsia="Times New Roman" w:hAnsi="Calibri" w:cs="Calibri"/>
                <w:sz w:val="20"/>
                <w:szCs w:val="20"/>
              </w:rPr>
              <w:t xml:space="preserve"> Cement Ltd Ord 5.00</w:t>
            </w:r>
          </w:p>
        </w:tc>
        <w:tc>
          <w:tcPr>
            <w:tcW w:w="1740" w:type="dxa"/>
            <w:tcBorders>
              <w:top w:val="nil"/>
              <w:left w:val="nil"/>
              <w:bottom w:val="nil"/>
              <w:right w:val="nil"/>
            </w:tcBorders>
            <w:shd w:val="clear" w:color="auto" w:fill="auto"/>
            <w:noWrap/>
            <w:vAlign w:val="center"/>
            <w:hideMark/>
          </w:tcPr>
          <w:p w14:paraId="4664B072"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KE0000000059</w:t>
            </w:r>
          </w:p>
        </w:tc>
        <w:tc>
          <w:tcPr>
            <w:tcW w:w="1720" w:type="dxa"/>
            <w:tcBorders>
              <w:top w:val="nil"/>
              <w:left w:val="nil"/>
              <w:bottom w:val="nil"/>
              <w:right w:val="nil"/>
            </w:tcBorders>
            <w:shd w:val="clear" w:color="auto" w:fill="auto"/>
            <w:noWrap/>
            <w:vAlign w:val="bottom"/>
            <w:hideMark/>
          </w:tcPr>
          <w:p w14:paraId="1FD1DFC8"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BAMB</w:t>
            </w:r>
          </w:p>
        </w:tc>
      </w:tr>
      <w:tr w:rsidR="00AE0B3D" w:rsidRPr="00AE0B3D" w14:paraId="2C953487" w14:textId="77777777" w:rsidTr="006B3120">
        <w:trPr>
          <w:trHeight w:val="290"/>
        </w:trPr>
        <w:tc>
          <w:tcPr>
            <w:tcW w:w="4440" w:type="dxa"/>
            <w:tcBorders>
              <w:top w:val="nil"/>
              <w:left w:val="nil"/>
              <w:bottom w:val="nil"/>
              <w:right w:val="nil"/>
            </w:tcBorders>
            <w:shd w:val="clear" w:color="auto" w:fill="auto"/>
            <w:noWrap/>
            <w:vAlign w:val="bottom"/>
            <w:hideMark/>
          </w:tcPr>
          <w:p w14:paraId="1DDBB925"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Crown Paints Kenya Plc Ord 5.00</w:t>
            </w:r>
          </w:p>
        </w:tc>
        <w:tc>
          <w:tcPr>
            <w:tcW w:w="1740" w:type="dxa"/>
            <w:tcBorders>
              <w:top w:val="nil"/>
              <w:left w:val="nil"/>
              <w:bottom w:val="nil"/>
              <w:right w:val="nil"/>
            </w:tcBorders>
            <w:shd w:val="clear" w:color="auto" w:fill="auto"/>
            <w:noWrap/>
            <w:vAlign w:val="center"/>
            <w:hideMark/>
          </w:tcPr>
          <w:p w14:paraId="115A914B"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KE0000000141</w:t>
            </w:r>
          </w:p>
        </w:tc>
        <w:tc>
          <w:tcPr>
            <w:tcW w:w="1720" w:type="dxa"/>
            <w:tcBorders>
              <w:top w:val="nil"/>
              <w:left w:val="nil"/>
              <w:bottom w:val="nil"/>
              <w:right w:val="nil"/>
            </w:tcBorders>
            <w:shd w:val="clear" w:color="auto" w:fill="auto"/>
            <w:noWrap/>
            <w:vAlign w:val="bottom"/>
            <w:hideMark/>
          </w:tcPr>
          <w:p w14:paraId="5A849D59"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BERG</w:t>
            </w:r>
          </w:p>
        </w:tc>
      </w:tr>
      <w:tr w:rsidR="00AE0B3D" w:rsidRPr="00AE0B3D" w14:paraId="50B7669D" w14:textId="77777777" w:rsidTr="006B3120">
        <w:trPr>
          <w:trHeight w:val="290"/>
        </w:trPr>
        <w:tc>
          <w:tcPr>
            <w:tcW w:w="4440" w:type="dxa"/>
            <w:tcBorders>
              <w:top w:val="nil"/>
              <w:left w:val="nil"/>
              <w:bottom w:val="nil"/>
              <w:right w:val="nil"/>
            </w:tcBorders>
            <w:shd w:val="clear" w:color="auto" w:fill="auto"/>
            <w:noWrap/>
            <w:vAlign w:val="bottom"/>
            <w:hideMark/>
          </w:tcPr>
          <w:p w14:paraId="730CE6AC"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w:t>
            </w:r>
            <w:proofErr w:type="spellStart"/>
            <w:r w:rsidRPr="00AE0B3D">
              <w:rPr>
                <w:rFonts w:ascii="Calibri" w:eastAsia="Times New Roman" w:hAnsi="Calibri" w:cs="Calibri"/>
                <w:sz w:val="20"/>
                <w:szCs w:val="20"/>
              </w:rPr>
              <w:t>E.</w:t>
            </w:r>
            <w:proofErr w:type="gramStart"/>
            <w:r w:rsidRPr="00AE0B3D">
              <w:rPr>
                <w:rFonts w:ascii="Calibri" w:eastAsia="Times New Roman" w:hAnsi="Calibri" w:cs="Calibri"/>
                <w:sz w:val="20"/>
                <w:szCs w:val="20"/>
              </w:rPr>
              <w:t>A.Cables</w:t>
            </w:r>
            <w:proofErr w:type="spellEnd"/>
            <w:proofErr w:type="gramEnd"/>
            <w:r w:rsidRPr="00AE0B3D">
              <w:rPr>
                <w:rFonts w:ascii="Calibri" w:eastAsia="Times New Roman" w:hAnsi="Calibri" w:cs="Calibri"/>
                <w:sz w:val="20"/>
                <w:szCs w:val="20"/>
              </w:rPr>
              <w:t xml:space="preserve"> Ltd Ord 0.50</w:t>
            </w:r>
          </w:p>
        </w:tc>
        <w:tc>
          <w:tcPr>
            <w:tcW w:w="1740" w:type="dxa"/>
            <w:tcBorders>
              <w:top w:val="nil"/>
              <w:left w:val="nil"/>
              <w:bottom w:val="nil"/>
              <w:right w:val="nil"/>
            </w:tcBorders>
            <w:shd w:val="clear" w:color="auto" w:fill="auto"/>
            <w:noWrap/>
            <w:vAlign w:val="center"/>
            <w:hideMark/>
          </w:tcPr>
          <w:p w14:paraId="50FA4733"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KE0000000174</w:t>
            </w:r>
          </w:p>
        </w:tc>
        <w:tc>
          <w:tcPr>
            <w:tcW w:w="1720" w:type="dxa"/>
            <w:tcBorders>
              <w:top w:val="nil"/>
              <w:left w:val="nil"/>
              <w:bottom w:val="nil"/>
              <w:right w:val="nil"/>
            </w:tcBorders>
            <w:shd w:val="clear" w:color="auto" w:fill="auto"/>
            <w:noWrap/>
            <w:vAlign w:val="bottom"/>
            <w:hideMark/>
          </w:tcPr>
          <w:p w14:paraId="2C8A4CF7"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CABL</w:t>
            </w:r>
          </w:p>
        </w:tc>
      </w:tr>
      <w:tr w:rsidR="00AE0B3D" w:rsidRPr="00AE0B3D" w14:paraId="76537489" w14:textId="77777777" w:rsidTr="006B3120">
        <w:trPr>
          <w:trHeight w:val="290"/>
        </w:trPr>
        <w:tc>
          <w:tcPr>
            <w:tcW w:w="4440" w:type="dxa"/>
            <w:tcBorders>
              <w:top w:val="nil"/>
              <w:left w:val="nil"/>
              <w:bottom w:val="nil"/>
              <w:right w:val="nil"/>
            </w:tcBorders>
            <w:shd w:val="clear" w:color="auto" w:fill="auto"/>
            <w:noWrap/>
            <w:vAlign w:val="bottom"/>
            <w:hideMark/>
          </w:tcPr>
          <w:p w14:paraId="26E8686F"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w:t>
            </w:r>
            <w:proofErr w:type="spellStart"/>
            <w:r w:rsidRPr="00AE0B3D">
              <w:rPr>
                <w:rFonts w:ascii="Calibri" w:eastAsia="Times New Roman" w:hAnsi="Calibri" w:cs="Calibri"/>
                <w:sz w:val="20"/>
                <w:szCs w:val="20"/>
              </w:rPr>
              <w:t>E.</w:t>
            </w:r>
            <w:proofErr w:type="gramStart"/>
            <w:r w:rsidRPr="00AE0B3D">
              <w:rPr>
                <w:rFonts w:ascii="Calibri" w:eastAsia="Times New Roman" w:hAnsi="Calibri" w:cs="Calibri"/>
                <w:sz w:val="20"/>
                <w:szCs w:val="20"/>
              </w:rPr>
              <w:t>A.Portland</w:t>
            </w:r>
            <w:proofErr w:type="spellEnd"/>
            <w:proofErr w:type="gramEnd"/>
            <w:r w:rsidRPr="00AE0B3D">
              <w:rPr>
                <w:rFonts w:ascii="Calibri" w:eastAsia="Times New Roman" w:hAnsi="Calibri" w:cs="Calibri"/>
                <w:sz w:val="20"/>
                <w:szCs w:val="20"/>
              </w:rPr>
              <w:t xml:space="preserve"> Cement Co. Ltd Ord 5.00</w:t>
            </w:r>
          </w:p>
        </w:tc>
        <w:tc>
          <w:tcPr>
            <w:tcW w:w="1740" w:type="dxa"/>
            <w:tcBorders>
              <w:top w:val="nil"/>
              <w:left w:val="nil"/>
              <w:bottom w:val="nil"/>
              <w:right w:val="nil"/>
            </w:tcBorders>
            <w:shd w:val="clear" w:color="auto" w:fill="auto"/>
            <w:noWrap/>
            <w:vAlign w:val="center"/>
            <w:hideMark/>
          </w:tcPr>
          <w:p w14:paraId="3CFB242B"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KE0000000190</w:t>
            </w:r>
          </w:p>
        </w:tc>
        <w:tc>
          <w:tcPr>
            <w:tcW w:w="1720" w:type="dxa"/>
            <w:tcBorders>
              <w:top w:val="nil"/>
              <w:left w:val="nil"/>
              <w:bottom w:val="nil"/>
              <w:right w:val="nil"/>
            </w:tcBorders>
            <w:shd w:val="clear" w:color="auto" w:fill="auto"/>
            <w:noWrap/>
            <w:vAlign w:val="bottom"/>
            <w:hideMark/>
          </w:tcPr>
          <w:p w14:paraId="09A76828"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PORT</w:t>
            </w:r>
          </w:p>
        </w:tc>
      </w:tr>
      <w:tr w:rsidR="00AE0B3D" w:rsidRPr="00AE0B3D" w14:paraId="4C3D983B" w14:textId="77777777" w:rsidTr="006B3120">
        <w:trPr>
          <w:trHeight w:val="290"/>
        </w:trPr>
        <w:tc>
          <w:tcPr>
            <w:tcW w:w="4440" w:type="dxa"/>
            <w:tcBorders>
              <w:top w:val="nil"/>
              <w:left w:val="nil"/>
              <w:bottom w:val="nil"/>
              <w:right w:val="nil"/>
            </w:tcBorders>
            <w:shd w:val="clear" w:color="auto" w:fill="auto"/>
            <w:noWrap/>
            <w:vAlign w:val="bottom"/>
            <w:hideMark/>
          </w:tcPr>
          <w:p w14:paraId="7AAA99D6"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r w:rsidRPr="00AE0B3D">
              <w:rPr>
                <w:rFonts w:ascii="Calibri" w:eastAsia="Times New Roman" w:hAnsi="Calibri" w:cs="Calibri"/>
                <w:b/>
                <w:bCs/>
                <w:sz w:val="20"/>
                <w:szCs w:val="20"/>
              </w:rPr>
              <w:t>ENERGY &amp; PETROLEUM</w:t>
            </w:r>
          </w:p>
        </w:tc>
        <w:tc>
          <w:tcPr>
            <w:tcW w:w="1740" w:type="dxa"/>
            <w:tcBorders>
              <w:top w:val="nil"/>
              <w:left w:val="nil"/>
              <w:bottom w:val="nil"/>
              <w:right w:val="nil"/>
            </w:tcBorders>
            <w:shd w:val="clear" w:color="auto" w:fill="auto"/>
            <w:noWrap/>
            <w:vAlign w:val="bottom"/>
            <w:hideMark/>
          </w:tcPr>
          <w:p w14:paraId="7DDCA07F"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p>
        </w:tc>
        <w:tc>
          <w:tcPr>
            <w:tcW w:w="1720" w:type="dxa"/>
            <w:tcBorders>
              <w:top w:val="nil"/>
              <w:left w:val="nil"/>
              <w:bottom w:val="nil"/>
              <w:right w:val="nil"/>
            </w:tcBorders>
            <w:shd w:val="clear" w:color="auto" w:fill="auto"/>
            <w:noWrap/>
            <w:vAlign w:val="bottom"/>
            <w:hideMark/>
          </w:tcPr>
          <w:p w14:paraId="14062EC9" w14:textId="77777777" w:rsidR="006B3120" w:rsidRPr="00AE0B3D" w:rsidRDefault="006B3120" w:rsidP="006B3120">
            <w:pPr>
              <w:spacing w:after="0" w:line="240" w:lineRule="auto"/>
              <w:ind w:firstLine="0"/>
              <w:jc w:val="center"/>
              <w:rPr>
                <w:rFonts w:eastAsia="Times New Roman" w:cs="Times New Roman"/>
                <w:sz w:val="20"/>
                <w:szCs w:val="20"/>
              </w:rPr>
            </w:pPr>
          </w:p>
        </w:tc>
      </w:tr>
      <w:tr w:rsidR="00AE0B3D" w:rsidRPr="00AE0B3D" w14:paraId="47CF62BE" w14:textId="77777777" w:rsidTr="006B3120">
        <w:trPr>
          <w:trHeight w:val="290"/>
        </w:trPr>
        <w:tc>
          <w:tcPr>
            <w:tcW w:w="4440" w:type="dxa"/>
            <w:tcBorders>
              <w:top w:val="nil"/>
              <w:left w:val="nil"/>
              <w:bottom w:val="nil"/>
              <w:right w:val="nil"/>
            </w:tcBorders>
            <w:shd w:val="clear" w:color="auto" w:fill="auto"/>
            <w:noWrap/>
            <w:vAlign w:val="bottom"/>
            <w:hideMark/>
          </w:tcPr>
          <w:p w14:paraId="7205E6A6"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w:t>
            </w:r>
            <w:proofErr w:type="spellStart"/>
            <w:r w:rsidRPr="00AE0B3D">
              <w:rPr>
                <w:rFonts w:ascii="Calibri" w:eastAsia="Times New Roman" w:hAnsi="Calibri" w:cs="Calibri"/>
                <w:sz w:val="20"/>
                <w:szCs w:val="20"/>
              </w:rPr>
              <w:t>KenGen</w:t>
            </w:r>
            <w:proofErr w:type="spellEnd"/>
            <w:r w:rsidRPr="00AE0B3D">
              <w:rPr>
                <w:rFonts w:ascii="Calibri" w:eastAsia="Times New Roman" w:hAnsi="Calibri" w:cs="Calibri"/>
                <w:sz w:val="20"/>
                <w:szCs w:val="20"/>
              </w:rPr>
              <w:t xml:space="preserve"> Co. Plc Ord. 2.50</w:t>
            </w:r>
          </w:p>
        </w:tc>
        <w:tc>
          <w:tcPr>
            <w:tcW w:w="1740" w:type="dxa"/>
            <w:tcBorders>
              <w:top w:val="nil"/>
              <w:left w:val="nil"/>
              <w:bottom w:val="nil"/>
              <w:right w:val="nil"/>
            </w:tcBorders>
            <w:shd w:val="clear" w:color="auto" w:fill="auto"/>
            <w:noWrap/>
            <w:vAlign w:val="center"/>
            <w:hideMark/>
          </w:tcPr>
          <w:p w14:paraId="676E58A0"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KE0000000547</w:t>
            </w:r>
          </w:p>
        </w:tc>
        <w:tc>
          <w:tcPr>
            <w:tcW w:w="1720" w:type="dxa"/>
            <w:tcBorders>
              <w:top w:val="nil"/>
              <w:left w:val="nil"/>
              <w:bottom w:val="nil"/>
              <w:right w:val="nil"/>
            </w:tcBorders>
            <w:shd w:val="clear" w:color="auto" w:fill="auto"/>
            <w:noWrap/>
            <w:vAlign w:val="bottom"/>
            <w:hideMark/>
          </w:tcPr>
          <w:p w14:paraId="0F4AE8BD"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KEGN</w:t>
            </w:r>
          </w:p>
        </w:tc>
      </w:tr>
      <w:tr w:rsidR="00AE0B3D" w:rsidRPr="00AE0B3D" w14:paraId="65AA88BE" w14:textId="77777777" w:rsidTr="006B3120">
        <w:trPr>
          <w:trHeight w:val="290"/>
        </w:trPr>
        <w:tc>
          <w:tcPr>
            <w:tcW w:w="4440" w:type="dxa"/>
            <w:tcBorders>
              <w:top w:val="nil"/>
              <w:left w:val="nil"/>
              <w:bottom w:val="nil"/>
              <w:right w:val="nil"/>
            </w:tcBorders>
            <w:shd w:val="clear" w:color="auto" w:fill="auto"/>
            <w:noWrap/>
            <w:vAlign w:val="bottom"/>
            <w:hideMark/>
          </w:tcPr>
          <w:p w14:paraId="7A0BE2D2"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Kenya Power &amp; </w:t>
            </w:r>
            <w:proofErr w:type="gramStart"/>
            <w:r w:rsidRPr="00AE0B3D">
              <w:rPr>
                <w:rFonts w:ascii="Calibri" w:eastAsia="Times New Roman" w:hAnsi="Calibri" w:cs="Calibri"/>
                <w:sz w:val="20"/>
                <w:szCs w:val="20"/>
              </w:rPr>
              <w:t>Lighting  Co</w:t>
            </w:r>
            <w:proofErr w:type="gramEnd"/>
            <w:r w:rsidRPr="00AE0B3D">
              <w:rPr>
                <w:rFonts w:ascii="Calibri" w:eastAsia="Times New Roman" w:hAnsi="Calibri" w:cs="Calibri"/>
                <w:sz w:val="20"/>
                <w:szCs w:val="20"/>
              </w:rPr>
              <w:t xml:space="preserve"> Ltd Ord 2.50</w:t>
            </w:r>
          </w:p>
        </w:tc>
        <w:tc>
          <w:tcPr>
            <w:tcW w:w="1740" w:type="dxa"/>
            <w:tcBorders>
              <w:top w:val="nil"/>
              <w:left w:val="nil"/>
              <w:bottom w:val="nil"/>
              <w:right w:val="nil"/>
            </w:tcBorders>
            <w:shd w:val="clear" w:color="auto" w:fill="auto"/>
            <w:noWrap/>
            <w:vAlign w:val="center"/>
            <w:hideMark/>
          </w:tcPr>
          <w:p w14:paraId="35097D4A"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KE0000000349</w:t>
            </w:r>
          </w:p>
        </w:tc>
        <w:tc>
          <w:tcPr>
            <w:tcW w:w="1720" w:type="dxa"/>
            <w:tcBorders>
              <w:top w:val="nil"/>
              <w:left w:val="nil"/>
              <w:bottom w:val="nil"/>
              <w:right w:val="nil"/>
            </w:tcBorders>
            <w:shd w:val="clear" w:color="auto" w:fill="auto"/>
            <w:noWrap/>
            <w:vAlign w:val="bottom"/>
            <w:hideMark/>
          </w:tcPr>
          <w:p w14:paraId="4818420B"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KPLC</w:t>
            </w:r>
          </w:p>
        </w:tc>
      </w:tr>
      <w:tr w:rsidR="00AE0B3D" w:rsidRPr="00AE0B3D" w14:paraId="144E4AD8" w14:textId="77777777" w:rsidTr="006B3120">
        <w:trPr>
          <w:trHeight w:val="290"/>
        </w:trPr>
        <w:tc>
          <w:tcPr>
            <w:tcW w:w="4440" w:type="dxa"/>
            <w:tcBorders>
              <w:top w:val="nil"/>
              <w:left w:val="nil"/>
              <w:bottom w:val="nil"/>
              <w:right w:val="nil"/>
            </w:tcBorders>
            <w:shd w:val="clear" w:color="auto" w:fill="auto"/>
            <w:noWrap/>
            <w:vAlign w:val="bottom"/>
            <w:hideMark/>
          </w:tcPr>
          <w:p w14:paraId="5A4CDEAD"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Kenya Power &amp; </w:t>
            </w:r>
            <w:proofErr w:type="gramStart"/>
            <w:r w:rsidRPr="00AE0B3D">
              <w:rPr>
                <w:rFonts w:ascii="Calibri" w:eastAsia="Times New Roman" w:hAnsi="Calibri" w:cs="Calibri"/>
                <w:sz w:val="20"/>
                <w:szCs w:val="20"/>
              </w:rPr>
              <w:t>Lighting  Co</w:t>
            </w:r>
            <w:proofErr w:type="gramEnd"/>
            <w:r w:rsidRPr="00AE0B3D">
              <w:rPr>
                <w:rFonts w:ascii="Calibri" w:eastAsia="Times New Roman" w:hAnsi="Calibri" w:cs="Calibri"/>
                <w:sz w:val="20"/>
                <w:szCs w:val="20"/>
              </w:rPr>
              <w:t xml:space="preserve"> Ltd 4%</w:t>
            </w:r>
          </w:p>
        </w:tc>
        <w:tc>
          <w:tcPr>
            <w:tcW w:w="1740" w:type="dxa"/>
            <w:tcBorders>
              <w:top w:val="nil"/>
              <w:left w:val="nil"/>
              <w:bottom w:val="nil"/>
              <w:right w:val="nil"/>
            </w:tcBorders>
            <w:shd w:val="clear" w:color="auto" w:fill="auto"/>
            <w:noWrap/>
            <w:vAlign w:val="center"/>
            <w:hideMark/>
          </w:tcPr>
          <w:p w14:paraId="52078423"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KE4000001877</w:t>
            </w:r>
          </w:p>
        </w:tc>
        <w:tc>
          <w:tcPr>
            <w:tcW w:w="1720" w:type="dxa"/>
            <w:tcBorders>
              <w:top w:val="nil"/>
              <w:left w:val="nil"/>
              <w:bottom w:val="nil"/>
              <w:right w:val="nil"/>
            </w:tcBorders>
            <w:shd w:val="clear" w:color="auto" w:fill="auto"/>
            <w:noWrap/>
            <w:vAlign w:val="bottom"/>
            <w:hideMark/>
          </w:tcPr>
          <w:p w14:paraId="05652522"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KPLC.P0004</w:t>
            </w:r>
          </w:p>
        </w:tc>
      </w:tr>
      <w:tr w:rsidR="00AE0B3D" w:rsidRPr="00AE0B3D" w14:paraId="6AAA95C7" w14:textId="77777777" w:rsidTr="006B3120">
        <w:trPr>
          <w:trHeight w:val="290"/>
        </w:trPr>
        <w:tc>
          <w:tcPr>
            <w:tcW w:w="4440" w:type="dxa"/>
            <w:tcBorders>
              <w:top w:val="nil"/>
              <w:left w:val="nil"/>
              <w:bottom w:val="nil"/>
              <w:right w:val="nil"/>
            </w:tcBorders>
            <w:shd w:val="clear" w:color="auto" w:fill="auto"/>
            <w:noWrap/>
            <w:vAlign w:val="bottom"/>
            <w:hideMark/>
          </w:tcPr>
          <w:p w14:paraId="1A99EA82"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Kenya Power &amp; </w:t>
            </w:r>
            <w:proofErr w:type="gramStart"/>
            <w:r w:rsidRPr="00AE0B3D">
              <w:rPr>
                <w:rFonts w:ascii="Calibri" w:eastAsia="Times New Roman" w:hAnsi="Calibri" w:cs="Calibri"/>
                <w:sz w:val="20"/>
                <w:szCs w:val="20"/>
              </w:rPr>
              <w:t>Lighting  Co</w:t>
            </w:r>
            <w:proofErr w:type="gramEnd"/>
            <w:r w:rsidRPr="00AE0B3D">
              <w:rPr>
                <w:rFonts w:ascii="Calibri" w:eastAsia="Times New Roman" w:hAnsi="Calibri" w:cs="Calibri"/>
                <w:sz w:val="20"/>
                <w:szCs w:val="20"/>
              </w:rPr>
              <w:t xml:space="preserve"> Ltd 7%</w:t>
            </w:r>
          </w:p>
        </w:tc>
        <w:tc>
          <w:tcPr>
            <w:tcW w:w="1740" w:type="dxa"/>
            <w:tcBorders>
              <w:top w:val="nil"/>
              <w:left w:val="nil"/>
              <w:bottom w:val="nil"/>
              <w:right w:val="nil"/>
            </w:tcBorders>
            <w:shd w:val="clear" w:color="auto" w:fill="auto"/>
            <w:noWrap/>
            <w:vAlign w:val="center"/>
            <w:hideMark/>
          </w:tcPr>
          <w:p w14:paraId="1DC62CE2"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KE4000002982</w:t>
            </w:r>
          </w:p>
        </w:tc>
        <w:tc>
          <w:tcPr>
            <w:tcW w:w="1720" w:type="dxa"/>
            <w:tcBorders>
              <w:top w:val="nil"/>
              <w:left w:val="nil"/>
              <w:bottom w:val="nil"/>
              <w:right w:val="nil"/>
            </w:tcBorders>
            <w:shd w:val="clear" w:color="auto" w:fill="auto"/>
            <w:noWrap/>
            <w:vAlign w:val="bottom"/>
            <w:hideMark/>
          </w:tcPr>
          <w:p w14:paraId="56B4A1A8"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KPLC.P0007</w:t>
            </w:r>
          </w:p>
        </w:tc>
      </w:tr>
      <w:tr w:rsidR="00AE0B3D" w:rsidRPr="00AE0B3D" w14:paraId="5421C1F2" w14:textId="77777777" w:rsidTr="006B3120">
        <w:trPr>
          <w:trHeight w:val="290"/>
        </w:trPr>
        <w:tc>
          <w:tcPr>
            <w:tcW w:w="4440" w:type="dxa"/>
            <w:tcBorders>
              <w:top w:val="nil"/>
              <w:left w:val="nil"/>
              <w:bottom w:val="nil"/>
              <w:right w:val="nil"/>
            </w:tcBorders>
            <w:shd w:val="clear" w:color="auto" w:fill="auto"/>
            <w:noWrap/>
            <w:vAlign w:val="bottom"/>
            <w:hideMark/>
          </w:tcPr>
          <w:p w14:paraId="2D40D4C7"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Total Kenya Ltd Ord 5.00</w:t>
            </w:r>
          </w:p>
        </w:tc>
        <w:tc>
          <w:tcPr>
            <w:tcW w:w="1740" w:type="dxa"/>
            <w:tcBorders>
              <w:top w:val="nil"/>
              <w:left w:val="nil"/>
              <w:bottom w:val="nil"/>
              <w:right w:val="nil"/>
            </w:tcBorders>
            <w:shd w:val="clear" w:color="auto" w:fill="auto"/>
            <w:noWrap/>
            <w:vAlign w:val="center"/>
            <w:hideMark/>
          </w:tcPr>
          <w:p w14:paraId="2B2F95D5"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KE0000000463</w:t>
            </w:r>
          </w:p>
        </w:tc>
        <w:tc>
          <w:tcPr>
            <w:tcW w:w="1720" w:type="dxa"/>
            <w:tcBorders>
              <w:top w:val="nil"/>
              <w:left w:val="nil"/>
              <w:bottom w:val="nil"/>
              <w:right w:val="nil"/>
            </w:tcBorders>
            <w:shd w:val="clear" w:color="auto" w:fill="auto"/>
            <w:noWrap/>
            <w:vAlign w:val="bottom"/>
            <w:hideMark/>
          </w:tcPr>
          <w:p w14:paraId="5B93E76A"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TOTL</w:t>
            </w:r>
          </w:p>
        </w:tc>
      </w:tr>
      <w:tr w:rsidR="00AE0B3D" w:rsidRPr="00AE0B3D" w14:paraId="7ACD6559" w14:textId="77777777" w:rsidTr="006B3120">
        <w:trPr>
          <w:trHeight w:val="290"/>
        </w:trPr>
        <w:tc>
          <w:tcPr>
            <w:tcW w:w="4440" w:type="dxa"/>
            <w:tcBorders>
              <w:top w:val="nil"/>
              <w:left w:val="nil"/>
              <w:bottom w:val="nil"/>
              <w:right w:val="nil"/>
            </w:tcBorders>
            <w:shd w:val="clear" w:color="auto" w:fill="auto"/>
            <w:noWrap/>
            <w:vAlign w:val="bottom"/>
            <w:hideMark/>
          </w:tcPr>
          <w:p w14:paraId="2E1A4518"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Umeme Ltd Ord 0.50</w:t>
            </w:r>
          </w:p>
        </w:tc>
        <w:tc>
          <w:tcPr>
            <w:tcW w:w="1740" w:type="dxa"/>
            <w:tcBorders>
              <w:top w:val="nil"/>
              <w:left w:val="nil"/>
              <w:bottom w:val="nil"/>
              <w:right w:val="nil"/>
            </w:tcBorders>
            <w:shd w:val="clear" w:color="auto" w:fill="auto"/>
            <w:noWrap/>
            <w:vAlign w:val="center"/>
            <w:hideMark/>
          </w:tcPr>
          <w:p w14:paraId="40D97DF0"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KE2000005815</w:t>
            </w:r>
          </w:p>
        </w:tc>
        <w:tc>
          <w:tcPr>
            <w:tcW w:w="1720" w:type="dxa"/>
            <w:tcBorders>
              <w:top w:val="nil"/>
              <w:left w:val="nil"/>
              <w:bottom w:val="nil"/>
              <w:right w:val="nil"/>
            </w:tcBorders>
            <w:shd w:val="clear" w:color="auto" w:fill="auto"/>
            <w:noWrap/>
            <w:vAlign w:val="bottom"/>
            <w:hideMark/>
          </w:tcPr>
          <w:p w14:paraId="72C14051"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UMME</w:t>
            </w:r>
          </w:p>
        </w:tc>
      </w:tr>
      <w:tr w:rsidR="00AE0B3D" w:rsidRPr="00AE0B3D" w14:paraId="6F0ACFEB" w14:textId="77777777" w:rsidTr="006B3120">
        <w:trPr>
          <w:trHeight w:val="290"/>
        </w:trPr>
        <w:tc>
          <w:tcPr>
            <w:tcW w:w="4440" w:type="dxa"/>
            <w:tcBorders>
              <w:top w:val="nil"/>
              <w:left w:val="nil"/>
              <w:bottom w:val="nil"/>
              <w:right w:val="nil"/>
            </w:tcBorders>
            <w:shd w:val="clear" w:color="auto" w:fill="auto"/>
            <w:noWrap/>
            <w:vAlign w:val="bottom"/>
            <w:hideMark/>
          </w:tcPr>
          <w:p w14:paraId="34B60656"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r w:rsidRPr="00AE0B3D">
              <w:rPr>
                <w:rFonts w:ascii="Calibri" w:eastAsia="Times New Roman" w:hAnsi="Calibri" w:cs="Calibri"/>
                <w:b/>
                <w:bCs/>
                <w:sz w:val="20"/>
                <w:szCs w:val="20"/>
              </w:rPr>
              <w:t>INSURANCE</w:t>
            </w:r>
          </w:p>
        </w:tc>
        <w:tc>
          <w:tcPr>
            <w:tcW w:w="1740" w:type="dxa"/>
            <w:tcBorders>
              <w:top w:val="nil"/>
              <w:left w:val="nil"/>
              <w:bottom w:val="nil"/>
              <w:right w:val="nil"/>
            </w:tcBorders>
            <w:shd w:val="clear" w:color="auto" w:fill="auto"/>
            <w:noWrap/>
            <w:vAlign w:val="bottom"/>
            <w:hideMark/>
          </w:tcPr>
          <w:p w14:paraId="461DE696"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p>
        </w:tc>
        <w:tc>
          <w:tcPr>
            <w:tcW w:w="1720" w:type="dxa"/>
            <w:tcBorders>
              <w:top w:val="nil"/>
              <w:left w:val="nil"/>
              <w:bottom w:val="nil"/>
              <w:right w:val="nil"/>
            </w:tcBorders>
            <w:shd w:val="clear" w:color="auto" w:fill="auto"/>
            <w:noWrap/>
            <w:vAlign w:val="bottom"/>
            <w:hideMark/>
          </w:tcPr>
          <w:p w14:paraId="0423DE10" w14:textId="77777777" w:rsidR="006B3120" w:rsidRPr="00AE0B3D" w:rsidRDefault="006B3120" w:rsidP="006B3120">
            <w:pPr>
              <w:spacing w:after="0" w:line="240" w:lineRule="auto"/>
              <w:ind w:firstLine="0"/>
              <w:jc w:val="center"/>
              <w:rPr>
                <w:rFonts w:eastAsia="Times New Roman" w:cs="Times New Roman"/>
                <w:sz w:val="20"/>
                <w:szCs w:val="20"/>
              </w:rPr>
            </w:pPr>
          </w:p>
        </w:tc>
      </w:tr>
      <w:tr w:rsidR="00AE0B3D" w:rsidRPr="00AE0B3D" w14:paraId="58CC0407" w14:textId="77777777" w:rsidTr="006B3120">
        <w:trPr>
          <w:trHeight w:val="290"/>
        </w:trPr>
        <w:tc>
          <w:tcPr>
            <w:tcW w:w="4440" w:type="dxa"/>
            <w:tcBorders>
              <w:top w:val="nil"/>
              <w:left w:val="nil"/>
              <w:bottom w:val="nil"/>
              <w:right w:val="nil"/>
            </w:tcBorders>
            <w:shd w:val="clear" w:color="auto" w:fill="auto"/>
            <w:noWrap/>
            <w:vAlign w:val="bottom"/>
            <w:hideMark/>
          </w:tcPr>
          <w:p w14:paraId="0CD76ED9"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Britam Holdings Plc Ord 0.10</w:t>
            </w:r>
          </w:p>
        </w:tc>
        <w:tc>
          <w:tcPr>
            <w:tcW w:w="1740" w:type="dxa"/>
            <w:tcBorders>
              <w:top w:val="nil"/>
              <w:left w:val="nil"/>
              <w:bottom w:val="nil"/>
              <w:right w:val="nil"/>
            </w:tcBorders>
            <w:shd w:val="clear" w:color="auto" w:fill="auto"/>
            <w:noWrap/>
            <w:vAlign w:val="center"/>
            <w:hideMark/>
          </w:tcPr>
          <w:p w14:paraId="3FC433B4"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KE2000002192</w:t>
            </w:r>
          </w:p>
        </w:tc>
        <w:tc>
          <w:tcPr>
            <w:tcW w:w="1720" w:type="dxa"/>
            <w:tcBorders>
              <w:top w:val="nil"/>
              <w:left w:val="nil"/>
              <w:bottom w:val="nil"/>
              <w:right w:val="nil"/>
            </w:tcBorders>
            <w:shd w:val="clear" w:color="auto" w:fill="auto"/>
            <w:noWrap/>
            <w:vAlign w:val="bottom"/>
            <w:hideMark/>
          </w:tcPr>
          <w:p w14:paraId="6500550F"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BRIT</w:t>
            </w:r>
          </w:p>
        </w:tc>
      </w:tr>
      <w:tr w:rsidR="00AE0B3D" w:rsidRPr="00AE0B3D" w14:paraId="6C7CC914" w14:textId="77777777" w:rsidTr="006B3120">
        <w:trPr>
          <w:trHeight w:val="290"/>
        </w:trPr>
        <w:tc>
          <w:tcPr>
            <w:tcW w:w="4440" w:type="dxa"/>
            <w:tcBorders>
              <w:top w:val="nil"/>
              <w:left w:val="nil"/>
              <w:bottom w:val="nil"/>
              <w:right w:val="nil"/>
            </w:tcBorders>
            <w:shd w:val="clear" w:color="auto" w:fill="auto"/>
            <w:noWrap/>
            <w:vAlign w:val="bottom"/>
            <w:hideMark/>
          </w:tcPr>
          <w:p w14:paraId="25C369BF"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CIC Insurance Group Ltd ord.1.00</w:t>
            </w:r>
          </w:p>
        </w:tc>
        <w:tc>
          <w:tcPr>
            <w:tcW w:w="1740" w:type="dxa"/>
            <w:tcBorders>
              <w:top w:val="nil"/>
              <w:left w:val="nil"/>
              <w:bottom w:val="nil"/>
              <w:right w:val="nil"/>
            </w:tcBorders>
            <w:shd w:val="clear" w:color="auto" w:fill="auto"/>
            <w:noWrap/>
            <w:vAlign w:val="center"/>
            <w:hideMark/>
          </w:tcPr>
          <w:p w14:paraId="54BC78C3"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KE2000002317</w:t>
            </w:r>
          </w:p>
        </w:tc>
        <w:tc>
          <w:tcPr>
            <w:tcW w:w="1720" w:type="dxa"/>
            <w:tcBorders>
              <w:top w:val="nil"/>
              <w:left w:val="nil"/>
              <w:bottom w:val="nil"/>
              <w:right w:val="nil"/>
            </w:tcBorders>
            <w:shd w:val="clear" w:color="auto" w:fill="auto"/>
            <w:noWrap/>
            <w:vAlign w:val="bottom"/>
            <w:hideMark/>
          </w:tcPr>
          <w:p w14:paraId="5D71A967"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CIC</w:t>
            </w:r>
          </w:p>
        </w:tc>
      </w:tr>
      <w:tr w:rsidR="00AE0B3D" w:rsidRPr="00AE0B3D" w14:paraId="3A684EAF" w14:textId="77777777" w:rsidTr="006B3120">
        <w:trPr>
          <w:trHeight w:val="290"/>
        </w:trPr>
        <w:tc>
          <w:tcPr>
            <w:tcW w:w="4440" w:type="dxa"/>
            <w:tcBorders>
              <w:top w:val="nil"/>
              <w:left w:val="nil"/>
              <w:bottom w:val="nil"/>
              <w:right w:val="nil"/>
            </w:tcBorders>
            <w:shd w:val="clear" w:color="auto" w:fill="auto"/>
            <w:noWrap/>
            <w:vAlign w:val="bottom"/>
            <w:hideMark/>
          </w:tcPr>
          <w:p w14:paraId="0A3AFD5A"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Jubilee Holdings Ltd Ord 5.00</w:t>
            </w:r>
          </w:p>
        </w:tc>
        <w:tc>
          <w:tcPr>
            <w:tcW w:w="1740" w:type="dxa"/>
            <w:tcBorders>
              <w:top w:val="nil"/>
              <w:left w:val="nil"/>
              <w:bottom w:val="nil"/>
              <w:right w:val="nil"/>
            </w:tcBorders>
            <w:shd w:val="clear" w:color="auto" w:fill="auto"/>
            <w:noWrap/>
            <w:vAlign w:val="center"/>
            <w:hideMark/>
          </w:tcPr>
          <w:p w14:paraId="14162D8E"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KE0000000273</w:t>
            </w:r>
          </w:p>
        </w:tc>
        <w:tc>
          <w:tcPr>
            <w:tcW w:w="1720" w:type="dxa"/>
            <w:tcBorders>
              <w:top w:val="nil"/>
              <w:left w:val="nil"/>
              <w:bottom w:val="nil"/>
              <w:right w:val="nil"/>
            </w:tcBorders>
            <w:shd w:val="clear" w:color="auto" w:fill="auto"/>
            <w:noWrap/>
            <w:vAlign w:val="bottom"/>
            <w:hideMark/>
          </w:tcPr>
          <w:p w14:paraId="31DE5B7B"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JUB</w:t>
            </w:r>
          </w:p>
        </w:tc>
      </w:tr>
      <w:tr w:rsidR="00AE0B3D" w:rsidRPr="00AE0B3D" w14:paraId="0057678F" w14:textId="77777777" w:rsidTr="006B3120">
        <w:trPr>
          <w:trHeight w:val="290"/>
        </w:trPr>
        <w:tc>
          <w:tcPr>
            <w:tcW w:w="4440" w:type="dxa"/>
            <w:tcBorders>
              <w:top w:val="nil"/>
              <w:left w:val="nil"/>
              <w:bottom w:val="nil"/>
              <w:right w:val="nil"/>
            </w:tcBorders>
            <w:shd w:val="clear" w:color="auto" w:fill="auto"/>
            <w:noWrap/>
            <w:vAlign w:val="bottom"/>
            <w:hideMark/>
          </w:tcPr>
          <w:p w14:paraId="4E9F509D"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Kenya Re Insurance Corporation Ltd Ord 2.50</w:t>
            </w:r>
          </w:p>
        </w:tc>
        <w:tc>
          <w:tcPr>
            <w:tcW w:w="1740" w:type="dxa"/>
            <w:tcBorders>
              <w:top w:val="nil"/>
              <w:left w:val="nil"/>
              <w:bottom w:val="nil"/>
              <w:right w:val="nil"/>
            </w:tcBorders>
            <w:shd w:val="clear" w:color="auto" w:fill="auto"/>
            <w:noWrap/>
            <w:vAlign w:val="center"/>
            <w:hideMark/>
          </w:tcPr>
          <w:p w14:paraId="50E463FC"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KE0000000604</w:t>
            </w:r>
          </w:p>
        </w:tc>
        <w:tc>
          <w:tcPr>
            <w:tcW w:w="1720" w:type="dxa"/>
            <w:tcBorders>
              <w:top w:val="nil"/>
              <w:left w:val="nil"/>
              <w:bottom w:val="nil"/>
              <w:right w:val="nil"/>
            </w:tcBorders>
            <w:shd w:val="clear" w:color="auto" w:fill="auto"/>
            <w:noWrap/>
            <w:vAlign w:val="bottom"/>
            <w:hideMark/>
          </w:tcPr>
          <w:p w14:paraId="64DCA94A"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KNRE</w:t>
            </w:r>
          </w:p>
        </w:tc>
      </w:tr>
      <w:tr w:rsidR="00AE0B3D" w:rsidRPr="00AE0B3D" w14:paraId="226EDABA" w14:textId="77777777" w:rsidTr="006B3120">
        <w:trPr>
          <w:trHeight w:val="290"/>
        </w:trPr>
        <w:tc>
          <w:tcPr>
            <w:tcW w:w="4440" w:type="dxa"/>
            <w:tcBorders>
              <w:top w:val="nil"/>
              <w:left w:val="nil"/>
              <w:bottom w:val="nil"/>
              <w:right w:val="nil"/>
            </w:tcBorders>
            <w:shd w:val="clear" w:color="auto" w:fill="auto"/>
            <w:noWrap/>
            <w:vAlign w:val="bottom"/>
            <w:hideMark/>
          </w:tcPr>
          <w:p w14:paraId="342C8D1A"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Liberty Kenya Holdings Ltd Ord.1.00</w:t>
            </w:r>
          </w:p>
        </w:tc>
        <w:tc>
          <w:tcPr>
            <w:tcW w:w="1740" w:type="dxa"/>
            <w:tcBorders>
              <w:top w:val="nil"/>
              <w:left w:val="nil"/>
              <w:bottom w:val="nil"/>
              <w:right w:val="nil"/>
            </w:tcBorders>
            <w:shd w:val="clear" w:color="auto" w:fill="auto"/>
            <w:noWrap/>
            <w:vAlign w:val="center"/>
            <w:hideMark/>
          </w:tcPr>
          <w:p w14:paraId="2C2DE21C"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KE2000002168</w:t>
            </w:r>
          </w:p>
        </w:tc>
        <w:tc>
          <w:tcPr>
            <w:tcW w:w="1720" w:type="dxa"/>
            <w:tcBorders>
              <w:top w:val="nil"/>
              <w:left w:val="nil"/>
              <w:bottom w:val="nil"/>
              <w:right w:val="nil"/>
            </w:tcBorders>
            <w:shd w:val="clear" w:color="auto" w:fill="auto"/>
            <w:noWrap/>
            <w:vAlign w:val="bottom"/>
            <w:hideMark/>
          </w:tcPr>
          <w:p w14:paraId="77480EDB"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CFCI</w:t>
            </w:r>
          </w:p>
        </w:tc>
      </w:tr>
      <w:tr w:rsidR="00AE0B3D" w:rsidRPr="00AE0B3D" w14:paraId="7FF8E7E4" w14:textId="77777777" w:rsidTr="006B3120">
        <w:trPr>
          <w:trHeight w:val="290"/>
        </w:trPr>
        <w:tc>
          <w:tcPr>
            <w:tcW w:w="4440" w:type="dxa"/>
            <w:tcBorders>
              <w:top w:val="nil"/>
              <w:left w:val="nil"/>
              <w:bottom w:val="nil"/>
              <w:right w:val="nil"/>
            </w:tcBorders>
            <w:shd w:val="clear" w:color="auto" w:fill="auto"/>
            <w:noWrap/>
            <w:vAlign w:val="bottom"/>
            <w:hideMark/>
          </w:tcPr>
          <w:p w14:paraId="11C9CC18"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Sanlam Kenya Plc Ord 5.00</w:t>
            </w:r>
          </w:p>
        </w:tc>
        <w:tc>
          <w:tcPr>
            <w:tcW w:w="1740" w:type="dxa"/>
            <w:tcBorders>
              <w:top w:val="nil"/>
              <w:left w:val="nil"/>
              <w:bottom w:val="nil"/>
              <w:right w:val="nil"/>
            </w:tcBorders>
            <w:shd w:val="clear" w:color="auto" w:fill="auto"/>
            <w:noWrap/>
            <w:vAlign w:val="center"/>
            <w:hideMark/>
          </w:tcPr>
          <w:p w14:paraId="05A762E1"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KE0000000414</w:t>
            </w:r>
          </w:p>
        </w:tc>
        <w:tc>
          <w:tcPr>
            <w:tcW w:w="1720" w:type="dxa"/>
            <w:tcBorders>
              <w:top w:val="nil"/>
              <w:left w:val="nil"/>
              <w:bottom w:val="nil"/>
              <w:right w:val="nil"/>
            </w:tcBorders>
            <w:shd w:val="clear" w:color="auto" w:fill="auto"/>
            <w:noWrap/>
            <w:vAlign w:val="bottom"/>
            <w:hideMark/>
          </w:tcPr>
          <w:p w14:paraId="01890106"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PAFR</w:t>
            </w:r>
          </w:p>
        </w:tc>
      </w:tr>
      <w:tr w:rsidR="00AE0B3D" w:rsidRPr="00AE0B3D" w14:paraId="59AFA737" w14:textId="77777777" w:rsidTr="006B3120">
        <w:trPr>
          <w:trHeight w:val="290"/>
        </w:trPr>
        <w:tc>
          <w:tcPr>
            <w:tcW w:w="4440" w:type="dxa"/>
            <w:tcBorders>
              <w:top w:val="nil"/>
              <w:left w:val="nil"/>
              <w:bottom w:val="nil"/>
              <w:right w:val="nil"/>
            </w:tcBorders>
            <w:shd w:val="clear" w:color="auto" w:fill="auto"/>
            <w:noWrap/>
            <w:vAlign w:val="bottom"/>
            <w:hideMark/>
          </w:tcPr>
          <w:p w14:paraId="0AE5162F"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r w:rsidRPr="00AE0B3D">
              <w:rPr>
                <w:rFonts w:ascii="Calibri" w:eastAsia="Times New Roman" w:hAnsi="Calibri" w:cs="Calibri"/>
                <w:b/>
                <w:bCs/>
                <w:sz w:val="20"/>
                <w:szCs w:val="20"/>
              </w:rPr>
              <w:t>INVESTMENT</w:t>
            </w:r>
          </w:p>
        </w:tc>
        <w:tc>
          <w:tcPr>
            <w:tcW w:w="1740" w:type="dxa"/>
            <w:tcBorders>
              <w:top w:val="nil"/>
              <w:left w:val="nil"/>
              <w:bottom w:val="nil"/>
              <w:right w:val="nil"/>
            </w:tcBorders>
            <w:shd w:val="clear" w:color="auto" w:fill="auto"/>
            <w:noWrap/>
            <w:vAlign w:val="bottom"/>
            <w:hideMark/>
          </w:tcPr>
          <w:p w14:paraId="1190CDF0"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p>
        </w:tc>
        <w:tc>
          <w:tcPr>
            <w:tcW w:w="1720" w:type="dxa"/>
            <w:tcBorders>
              <w:top w:val="nil"/>
              <w:left w:val="nil"/>
              <w:bottom w:val="nil"/>
              <w:right w:val="nil"/>
            </w:tcBorders>
            <w:shd w:val="clear" w:color="auto" w:fill="auto"/>
            <w:noWrap/>
            <w:vAlign w:val="bottom"/>
            <w:hideMark/>
          </w:tcPr>
          <w:p w14:paraId="7B3920E3" w14:textId="77777777" w:rsidR="006B3120" w:rsidRPr="00AE0B3D" w:rsidRDefault="006B3120" w:rsidP="006B3120">
            <w:pPr>
              <w:spacing w:after="0" w:line="240" w:lineRule="auto"/>
              <w:ind w:firstLine="0"/>
              <w:jc w:val="center"/>
              <w:rPr>
                <w:rFonts w:eastAsia="Times New Roman" w:cs="Times New Roman"/>
                <w:sz w:val="20"/>
                <w:szCs w:val="20"/>
              </w:rPr>
            </w:pPr>
          </w:p>
        </w:tc>
      </w:tr>
      <w:tr w:rsidR="00AE0B3D" w:rsidRPr="00AE0B3D" w14:paraId="5B83760D" w14:textId="77777777" w:rsidTr="006B3120">
        <w:trPr>
          <w:trHeight w:val="290"/>
        </w:trPr>
        <w:tc>
          <w:tcPr>
            <w:tcW w:w="4440" w:type="dxa"/>
            <w:tcBorders>
              <w:top w:val="nil"/>
              <w:left w:val="nil"/>
              <w:bottom w:val="nil"/>
              <w:right w:val="nil"/>
            </w:tcBorders>
            <w:shd w:val="clear" w:color="auto" w:fill="auto"/>
            <w:noWrap/>
            <w:vAlign w:val="bottom"/>
            <w:hideMark/>
          </w:tcPr>
          <w:p w14:paraId="42AEC179"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Centum Investment Co Plc Ord 0.50 </w:t>
            </w:r>
          </w:p>
        </w:tc>
        <w:tc>
          <w:tcPr>
            <w:tcW w:w="1740" w:type="dxa"/>
            <w:tcBorders>
              <w:top w:val="nil"/>
              <w:left w:val="nil"/>
              <w:bottom w:val="nil"/>
              <w:right w:val="nil"/>
            </w:tcBorders>
            <w:shd w:val="clear" w:color="auto" w:fill="auto"/>
            <w:noWrap/>
            <w:vAlign w:val="center"/>
            <w:hideMark/>
          </w:tcPr>
          <w:p w14:paraId="4541064A"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KE0000000265</w:t>
            </w:r>
          </w:p>
        </w:tc>
        <w:tc>
          <w:tcPr>
            <w:tcW w:w="1720" w:type="dxa"/>
            <w:tcBorders>
              <w:top w:val="nil"/>
              <w:left w:val="nil"/>
              <w:bottom w:val="nil"/>
              <w:right w:val="nil"/>
            </w:tcBorders>
            <w:shd w:val="clear" w:color="auto" w:fill="auto"/>
            <w:noWrap/>
            <w:vAlign w:val="bottom"/>
            <w:hideMark/>
          </w:tcPr>
          <w:p w14:paraId="6A9B1BB9"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ICDC</w:t>
            </w:r>
          </w:p>
        </w:tc>
      </w:tr>
      <w:tr w:rsidR="00AE0B3D" w:rsidRPr="00AE0B3D" w14:paraId="044ACE05" w14:textId="77777777" w:rsidTr="006B3120">
        <w:trPr>
          <w:trHeight w:val="290"/>
        </w:trPr>
        <w:tc>
          <w:tcPr>
            <w:tcW w:w="4440" w:type="dxa"/>
            <w:tcBorders>
              <w:top w:val="nil"/>
              <w:left w:val="nil"/>
              <w:bottom w:val="nil"/>
              <w:right w:val="nil"/>
            </w:tcBorders>
            <w:shd w:val="clear" w:color="auto" w:fill="auto"/>
            <w:noWrap/>
            <w:vAlign w:val="bottom"/>
            <w:hideMark/>
          </w:tcPr>
          <w:p w14:paraId="5D54B580"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Home Afrika Ltd Ord 1.00</w:t>
            </w:r>
          </w:p>
        </w:tc>
        <w:tc>
          <w:tcPr>
            <w:tcW w:w="1740" w:type="dxa"/>
            <w:tcBorders>
              <w:top w:val="nil"/>
              <w:left w:val="nil"/>
              <w:bottom w:val="nil"/>
              <w:right w:val="nil"/>
            </w:tcBorders>
            <w:shd w:val="clear" w:color="auto" w:fill="auto"/>
            <w:noWrap/>
            <w:vAlign w:val="center"/>
            <w:hideMark/>
          </w:tcPr>
          <w:p w14:paraId="15C3D51B"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KE2000007258</w:t>
            </w:r>
          </w:p>
        </w:tc>
        <w:tc>
          <w:tcPr>
            <w:tcW w:w="1720" w:type="dxa"/>
            <w:tcBorders>
              <w:top w:val="nil"/>
              <w:left w:val="nil"/>
              <w:bottom w:val="nil"/>
              <w:right w:val="nil"/>
            </w:tcBorders>
            <w:shd w:val="clear" w:color="auto" w:fill="auto"/>
            <w:noWrap/>
            <w:vAlign w:val="bottom"/>
            <w:hideMark/>
          </w:tcPr>
          <w:p w14:paraId="14D32BFA"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HAFR</w:t>
            </w:r>
          </w:p>
        </w:tc>
      </w:tr>
      <w:tr w:rsidR="00AE0B3D" w:rsidRPr="00AE0B3D" w14:paraId="497539FE" w14:textId="77777777" w:rsidTr="006B3120">
        <w:trPr>
          <w:trHeight w:val="290"/>
        </w:trPr>
        <w:tc>
          <w:tcPr>
            <w:tcW w:w="4440" w:type="dxa"/>
            <w:tcBorders>
              <w:top w:val="nil"/>
              <w:left w:val="nil"/>
              <w:bottom w:val="nil"/>
              <w:right w:val="nil"/>
            </w:tcBorders>
            <w:shd w:val="clear" w:color="auto" w:fill="auto"/>
            <w:noWrap/>
            <w:vAlign w:val="bottom"/>
            <w:hideMark/>
          </w:tcPr>
          <w:p w14:paraId="44CE5222"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w:t>
            </w:r>
            <w:proofErr w:type="spellStart"/>
            <w:r w:rsidRPr="00AE0B3D">
              <w:rPr>
                <w:rFonts w:ascii="Calibri" w:eastAsia="Times New Roman" w:hAnsi="Calibri" w:cs="Calibri"/>
                <w:sz w:val="20"/>
                <w:szCs w:val="20"/>
              </w:rPr>
              <w:t>Kurwitu</w:t>
            </w:r>
            <w:proofErr w:type="spellEnd"/>
            <w:r w:rsidRPr="00AE0B3D">
              <w:rPr>
                <w:rFonts w:ascii="Calibri" w:eastAsia="Times New Roman" w:hAnsi="Calibri" w:cs="Calibri"/>
                <w:sz w:val="20"/>
                <w:szCs w:val="20"/>
              </w:rPr>
              <w:t xml:space="preserve"> Ventures Ltd Ord 100.00</w:t>
            </w:r>
          </w:p>
        </w:tc>
        <w:tc>
          <w:tcPr>
            <w:tcW w:w="1740" w:type="dxa"/>
            <w:tcBorders>
              <w:top w:val="nil"/>
              <w:left w:val="nil"/>
              <w:bottom w:val="nil"/>
              <w:right w:val="nil"/>
            </w:tcBorders>
            <w:shd w:val="clear" w:color="auto" w:fill="auto"/>
            <w:noWrap/>
            <w:vAlign w:val="center"/>
            <w:hideMark/>
          </w:tcPr>
          <w:p w14:paraId="3A31C4A8"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KE4000001216</w:t>
            </w:r>
          </w:p>
        </w:tc>
        <w:tc>
          <w:tcPr>
            <w:tcW w:w="1720" w:type="dxa"/>
            <w:tcBorders>
              <w:top w:val="nil"/>
              <w:left w:val="nil"/>
              <w:bottom w:val="nil"/>
              <w:right w:val="nil"/>
            </w:tcBorders>
            <w:shd w:val="clear" w:color="auto" w:fill="auto"/>
            <w:noWrap/>
            <w:vAlign w:val="bottom"/>
            <w:hideMark/>
          </w:tcPr>
          <w:p w14:paraId="225246DC"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KURV</w:t>
            </w:r>
          </w:p>
        </w:tc>
      </w:tr>
      <w:tr w:rsidR="00AE0B3D" w:rsidRPr="00AE0B3D" w14:paraId="69340A7B" w14:textId="77777777" w:rsidTr="006B3120">
        <w:trPr>
          <w:trHeight w:val="290"/>
        </w:trPr>
        <w:tc>
          <w:tcPr>
            <w:tcW w:w="4440" w:type="dxa"/>
            <w:tcBorders>
              <w:top w:val="nil"/>
              <w:left w:val="nil"/>
              <w:bottom w:val="nil"/>
              <w:right w:val="nil"/>
            </w:tcBorders>
            <w:shd w:val="clear" w:color="auto" w:fill="auto"/>
            <w:noWrap/>
            <w:vAlign w:val="bottom"/>
            <w:hideMark/>
          </w:tcPr>
          <w:p w14:paraId="313E9779"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Olympia Capital Holdings ltd Ord 5.00</w:t>
            </w:r>
          </w:p>
        </w:tc>
        <w:tc>
          <w:tcPr>
            <w:tcW w:w="1740" w:type="dxa"/>
            <w:tcBorders>
              <w:top w:val="nil"/>
              <w:left w:val="nil"/>
              <w:bottom w:val="nil"/>
              <w:right w:val="nil"/>
            </w:tcBorders>
            <w:shd w:val="clear" w:color="auto" w:fill="auto"/>
            <w:noWrap/>
            <w:vAlign w:val="center"/>
            <w:hideMark/>
          </w:tcPr>
          <w:p w14:paraId="4945BA66"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KE0000000166</w:t>
            </w:r>
          </w:p>
        </w:tc>
        <w:tc>
          <w:tcPr>
            <w:tcW w:w="1720" w:type="dxa"/>
            <w:tcBorders>
              <w:top w:val="nil"/>
              <w:left w:val="nil"/>
              <w:bottom w:val="nil"/>
              <w:right w:val="nil"/>
            </w:tcBorders>
            <w:shd w:val="clear" w:color="auto" w:fill="auto"/>
            <w:noWrap/>
            <w:vAlign w:val="bottom"/>
            <w:hideMark/>
          </w:tcPr>
          <w:p w14:paraId="130CB2CC"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OCH</w:t>
            </w:r>
          </w:p>
        </w:tc>
      </w:tr>
      <w:tr w:rsidR="00AE0B3D" w:rsidRPr="00AE0B3D" w14:paraId="026E47A2" w14:textId="77777777" w:rsidTr="006B3120">
        <w:trPr>
          <w:trHeight w:val="290"/>
        </w:trPr>
        <w:tc>
          <w:tcPr>
            <w:tcW w:w="4440" w:type="dxa"/>
            <w:tcBorders>
              <w:top w:val="nil"/>
              <w:left w:val="nil"/>
              <w:bottom w:val="nil"/>
              <w:right w:val="nil"/>
            </w:tcBorders>
            <w:shd w:val="clear" w:color="auto" w:fill="auto"/>
            <w:noWrap/>
            <w:vAlign w:val="bottom"/>
            <w:hideMark/>
          </w:tcPr>
          <w:p w14:paraId="0C8310BD"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Trans-Century Plc Ord 0.50AIMS</w:t>
            </w:r>
          </w:p>
        </w:tc>
        <w:tc>
          <w:tcPr>
            <w:tcW w:w="1740" w:type="dxa"/>
            <w:tcBorders>
              <w:top w:val="nil"/>
              <w:left w:val="nil"/>
              <w:bottom w:val="nil"/>
              <w:right w:val="nil"/>
            </w:tcBorders>
            <w:shd w:val="clear" w:color="auto" w:fill="auto"/>
            <w:noWrap/>
            <w:vAlign w:val="center"/>
            <w:hideMark/>
          </w:tcPr>
          <w:p w14:paraId="1B25E666"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KE2000002184</w:t>
            </w:r>
          </w:p>
        </w:tc>
        <w:tc>
          <w:tcPr>
            <w:tcW w:w="1720" w:type="dxa"/>
            <w:tcBorders>
              <w:top w:val="nil"/>
              <w:left w:val="nil"/>
              <w:bottom w:val="nil"/>
              <w:right w:val="nil"/>
            </w:tcBorders>
            <w:shd w:val="clear" w:color="auto" w:fill="auto"/>
            <w:noWrap/>
            <w:vAlign w:val="bottom"/>
            <w:hideMark/>
          </w:tcPr>
          <w:p w14:paraId="18049253"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TCL</w:t>
            </w:r>
          </w:p>
        </w:tc>
      </w:tr>
      <w:tr w:rsidR="00AE0B3D" w:rsidRPr="00AE0B3D" w14:paraId="0CB9BB7B" w14:textId="77777777" w:rsidTr="006B3120">
        <w:trPr>
          <w:trHeight w:val="290"/>
        </w:trPr>
        <w:tc>
          <w:tcPr>
            <w:tcW w:w="4440" w:type="dxa"/>
            <w:tcBorders>
              <w:top w:val="nil"/>
              <w:left w:val="nil"/>
              <w:bottom w:val="nil"/>
              <w:right w:val="nil"/>
            </w:tcBorders>
            <w:shd w:val="clear" w:color="auto" w:fill="auto"/>
            <w:noWrap/>
            <w:vAlign w:val="bottom"/>
            <w:hideMark/>
          </w:tcPr>
          <w:p w14:paraId="5BBEBE48"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r w:rsidRPr="00AE0B3D">
              <w:rPr>
                <w:rFonts w:ascii="Calibri" w:eastAsia="Times New Roman" w:hAnsi="Calibri" w:cs="Calibri"/>
                <w:b/>
                <w:bCs/>
                <w:sz w:val="20"/>
                <w:szCs w:val="20"/>
              </w:rPr>
              <w:t>INVESTMENT SERVICES</w:t>
            </w:r>
          </w:p>
        </w:tc>
        <w:tc>
          <w:tcPr>
            <w:tcW w:w="1740" w:type="dxa"/>
            <w:tcBorders>
              <w:top w:val="nil"/>
              <w:left w:val="nil"/>
              <w:bottom w:val="nil"/>
              <w:right w:val="nil"/>
            </w:tcBorders>
            <w:shd w:val="clear" w:color="auto" w:fill="auto"/>
            <w:noWrap/>
            <w:vAlign w:val="center"/>
            <w:hideMark/>
          </w:tcPr>
          <w:p w14:paraId="3F96C559"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p>
        </w:tc>
        <w:tc>
          <w:tcPr>
            <w:tcW w:w="1720" w:type="dxa"/>
            <w:tcBorders>
              <w:top w:val="nil"/>
              <w:left w:val="nil"/>
              <w:bottom w:val="nil"/>
              <w:right w:val="nil"/>
            </w:tcBorders>
            <w:shd w:val="clear" w:color="auto" w:fill="auto"/>
            <w:noWrap/>
            <w:vAlign w:val="bottom"/>
            <w:hideMark/>
          </w:tcPr>
          <w:p w14:paraId="161DB51C" w14:textId="77777777" w:rsidR="006B3120" w:rsidRPr="00AE0B3D" w:rsidRDefault="006B3120" w:rsidP="006B3120">
            <w:pPr>
              <w:spacing w:after="0" w:line="240" w:lineRule="auto"/>
              <w:ind w:firstLine="0"/>
              <w:jc w:val="center"/>
              <w:rPr>
                <w:rFonts w:eastAsia="Times New Roman" w:cs="Times New Roman"/>
                <w:sz w:val="20"/>
                <w:szCs w:val="20"/>
              </w:rPr>
            </w:pPr>
          </w:p>
        </w:tc>
      </w:tr>
      <w:tr w:rsidR="00AE0B3D" w:rsidRPr="00AE0B3D" w14:paraId="205C06CE" w14:textId="77777777" w:rsidTr="006B3120">
        <w:trPr>
          <w:trHeight w:val="290"/>
        </w:trPr>
        <w:tc>
          <w:tcPr>
            <w:tcW w:w="4440" w:type="dxa"/>
            <w:tcBorders>
              <w:top w:val="nil"/>
              <w:left w:val="nil"/>
              <w:bottom w:val="nil"/>
              <w:right w:val="nil"/>
            </w:tcBorders>
            <w:shd w:val="clear" w:color="auto" w:fill="auto"/>
            <w:noWrap/>
            <w:vAlign w:val="bottom"/>
            <w:hideMark/>
          </w:tcPr>
          <w:p w14:paraId="4C5A1C06"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Nairobi Securities Exchange Plc Ord 4.00 </w:t>
            </w:r>
          </w:p>
        </w:tc>
        <w:tc>
          <w:tcPr>
            <w:tcW w:w="1740" w:type="dxa"/>
            <w:tcBorders>
              <w:top w:val="nil"/>
              <w:left w:val="nil"/>
              <w:bottom w:val="nil"/>
              <w:right w:val="nil"/>
            </w:tcBorders>
            <w:shd w:val="clear" w:color="auto" w:fill="auto"/>
            <w:noWrap/>
            <w:vAlign w:val="center"/>
            <w:hideMark/>
          </w:tcPr>
          <w:p w14:paraId="37F1F0D1"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KE3000009674</w:t>
            </w:r>
          </w:p>
        </w:tc>
        <w:tc>
          <w:tcPr>
            <w:tcW w:w="1720" w:type="dxa"/>
            <w:tcBorders>
              <w:top w:val="nil"/>
              <w:left w:val="nil"/>
              <w:bottom w:val="nil"/>
              <w:right w:val="nil"/>
            </w:tcBorders>
            <w:shd w:val="clear" w:color="auto" w:fill="auto"/>
            <w:noWrap/>
            <w:vAlign w:val="bottom"/>
            <w:hideMark/>
          </w:tcPr>
          <w:p w14:paraId="57B04536"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NSE</w:t>
            </w:r>
          </w:p>
        </w:tc>
      </w:tr>
      <w:tr w:rsidR="00AE0B3D" w:rsidRPr="00AE0B3D" w14:paraId="12002E9F" w14:textId="77777777" w:rsidTr="006B3120">
        <w:trPr>
          <w:trHeight w:val="290"/>
        </w:trPr>
        <w:tc>
          <w:tcPr>
            <w:tcW w:w="4440" w:type="dxa"/>
            <w:tcBorders>
              <w:top w:val="nil"/>
              <w:left w:val="nil"/>
              <w:bottom w:val="nil"/>
              <w:right w:val="nil"/>
            </w:tcBorders>
            <w:shd w:val="clear" w:color="auto" w:fill="auto"/>
            <w:noWrap/>
            <w:vAlign w:val="bottom"/>
            <w:hideMark/>
          </w:tcPr>
          <w:p w14:paraId="057DCCAE"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r w:rsidRPr="00AE0B3D">
              <w:rPr>
                <w:rFonts w:ascii="Calibri" w:eastAsia="Times New Roman" w:hAnsi="Calibri" w:cs="Calibri"/>
                <w:b/>
                <w:bCs/>
                <w:sz w:val="20"/>
                <w:szCs w:val="20"/>
              </w:rPr>
              <w:t>MANUFACTURING &amp; ALLIED</w:t>
            </w:r>
          </w:p>
        </w:tc>
        <w:tc>
          <w:tcPr>
            <w:tcW w:w="1740" w:type="dxa"/>
            <w:tcBorders>
              <w:top w:val="nil"/>
              <w:left w:val="nil"/>
              <w:bottom w:val="nil"/>
              <w:right w:val="nil"/>
            </w:tcBorders>
            <w:shd w:val="clear" w:color="auto" w:fill="auto"/>
            <w:noWrap/>
            <w:vAlign w:val="bottom"/>
            <w:hideMark/>
          </w:tcPr>
          <w:p w14:paraId="4621D965"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p>
        </w:tc>
        <w:tc>
          <w:tcPr>
            <w:tcW w:w="1720" w:type="dxa"/>
            <w:tcBorders>
              <w:top w:val="nil"/>
              <w:left w:val="nil"/>
              <w:bottom w:val="nil"/>
              <w:right w:val="nil"/>
            </w:tcBorders>
            <w:shd w:val="clear" w:color="auto" w:fill="auto"/>
            <w:noWrap/>
            <w:vAlign w:val="bottom"/>
            <w:hideMark/>
          </w:tcPr>
          <w:p w14:paraId="1B9DDBA6" w14:textId="77777777" w:rsidR="006B3120" w:rsidRPr="00AE0B3D" w:rsidRDefault="006B3120" w:rsidP="006B3120">
            <w:pPr>
              <w:spacing w:after="0" w:line="240" w:lineRule="auto"/>
              <w:ind w:firstLine="0"/>
              <w:jc w:val="center"/>
              <w:rPr>
                <w:rFonts w:eastAsia="Times New Roman" w:cs="Times New Roman"/>
                <w:sz w:val="20"/>
                <w:szCs w:val="20"/>
              </w:rPr>
            </w:pPr>
          </w:p>
        </w:tc>
      </w:tr>
      <w:tr w:rsidR="00AE0B3D" w:rsidRPr="00AE0B3D" w14:paraId="74B4186D" w14:textId="77777777" w:rsidTr="006B3120">
        <w:trPr>
          <w:trHeight w:val="290"/>
        </w:trPr>
        <w:tc>
          <w:tcPr>
            <w:tcW w:w="4440" w:type="dxa"/>
            <w:tcBorders>
              <w:top w:val="nil"/>
              <w:left w:val="nil"/>
              <w:bottom w:val="nil"/>
              <w:right w:val="nil"/>
            </w:tcBorders>
            <w:shd w:val="clear" w:color="auto" w:fill="auto"/>
            <w:noWrap/>
            <w:vAlign w:val="bottom"/>
            <w:hideMark/>
          </w:tcPr>
          <w:p w14:paraId="2C094FE5"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B.O.C Kenya Plc Ord 5.00</w:t>
            </w:r>
          </w:p>
        </w:tc>
        <w:tc>
          <w:tcPr>
            <w:tcW w:w="1740" w:type="dxa"/>
            <w:tcBorders>
              <w:top w:val="nil"/>
              <w:left w:val="nil"/>
              <w:bottom w:val="nil"/>
              <w:right w:val="nil"/>
            </w:tcBorders>
            <w:shd w:val="clear" w:color="auto" w:fill="auto"/>
            <w:noWrap/>
            <w:vAlign w:val="center"/>
            <w:hideMark/>
          </w:tcPr>
          <w:p w14:paraId="7C4ADEA0"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KE0000000042</w:t>
            </w:r>
          </w:p>
        </w:tc>
        <w:tc>
          <w:tcPr>
            <w:tcW w:w="1720" w:type="dxa"/>
            <w:tcBorders>
              <w:top w:val="nil"/>
              <w:left w:val="nil"/>
              <w:bottom w:val="nil"/>
              <w:right w:val="nil"/>
            </w:tcBorders>
            <w:shd w:val="clear" w:color="auto" w:fill="auto"/>
            <w:noWrap/>
            <w:vAlign w:val="bottom"/>
            <w:hideMark/>
          </w:tcPr>
          <w:p w14:paraId="5F4BA98B"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BOC</w:t>
            </w:r>
          </w:p>
        </w:tc>
      </w:tr>
      <w:tr w:rsidR="00AE0B3D" w:rsidRPr="00AE0B3D" w14:paraId="2025BAC9" w14:textId="77777777" w:rsidTr="006B3120">
        <w:trPr>
          <w:trHeight w:val="290"/>
        </w:trPr>
        <w:tc>
          <w:tcPr>
            <w:tcW w:w="4440" w:type="dxa"/>
            <w:tcBorders>
              <w:top w:val="nil"/>
              <w:left w:val="nil"/>
              <w:bottom w:val="nil"/>
              <w:right w:val="nil"/>
            </w:tcBorders>
            <w:shd w:val="clear" w:color="auto" w:fill="auto"/>
            <w:noWrap/>
            <w:vAlign w:val="bottom"/>
            <w:hideMark/>
          </w:tcPr>
          <w:p w14:paraId="3C1A131F"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British American Tobacco Kenya Plc Ord 10.00 </w:t>
            </w:r>
          </w:p>
        </w:tc>
        <w:tc>
          <w:tcPr>
            <w:tcW w:w="1740" w:type="dxa"/>
            <w:tcBorders>
              <w:top w:val="nil"/>
              <w:left w:val="nil"/>
              <w:bottom w:val="nil"/>
              <w:right w:val="nil"/>
            </w:tcBorders>
            <w:shd w:val="clear" w:color="auto" w:fill="auto"/>
            <w:noWrap/>
            <w:vAlign w:val="center"/>
            <w:hideMark/>
          </w:tcPr>
          <w:p w14:paraId="4F5C5A1D"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KE0000000075</w:t>
            </w:r>
          </w:p>
        </w:tc>
        <w:tc>
          <w:tcPr>
            <w:tcW w:w="1720" w:type="dxa"/>
            <w:tcBorders>
              <w:top w:val="nil"/>
              <w:left w:val="nil"/>
              <w:bottom w:val="nil"/>
              <w:right w:val="nil"/>
            </w:tcBorders>
            <w:shd w:val="clear" w:color="auto" w:fill="auto"/>
            <w:noWrap/>
            <w:vAlign w:val="bottom"/>
            <w:hideMark/>
          </w:tcPr>
          <w:p w14:paraId="24F9D9D0"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BAT</w:t>
            </w:r>
          </w:p>
        </w:tc>
      </w:tr>
      <w:tr w:rsidR="00AE0B3D" w:rsidRPr="00AE0B3D" w14:paraId="55580812" w14:textId="77777777" w:rsidTr="006B3120">
        <w:trPr>
          <w:trHeight w:val="290"/>
        </w:trPr>
        <w:tc>
          <w:tcPr>
            <w:tcW w:w="4440" w:type="dxa"/>
            <w:tcBorders>
              <w:top w:val="nil"/>
              <w:left w:val="nil"/>
              <w:bottom w:val="nil"/>
              <w:right w:val="nil"/>
            </w:tcBorders>
            <w:shd w:val="clear" w:color="auto" w:fill="auto"/>
            <w:noWrap/>
            <w:vAlign w:val="bottom"/>
            <w:hideMark/>
          </w:tcPr>
          <w:p w14:paraId="627B69AA"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w:t>
            </w:r>
            <w:proofErr w:type="spellStart"/>
            <w:r w:rsidRPr="00AE0B3D">
              <w:rPr>
                <w:rFonts w:ascii="Calibri" w:eastAsia="Times New Roman" w:hAnsi="Calibri" w:cs="Calibri"/>
                <w:sz w:val="20"/>
                <w:szCs w:val="20"/>
              </w:rPr>
              <w:t>Carbacid</w:t>
            </w:r>
            <w:proofErr w:type="spellEnd"/>
            <w:r w:rsidRPr="00AE0B3D">
              <w:rPr>
                <w:rFonts w:ascii="Calibri" w:eastAsia="Times New Roman" w:hAnsi="Calibri" w:cs="Calibri"/>
                <w:sz w:val="20"/>
                <w:szCs w:val="20"/>
              </w:rPr>
              <w:t xml:space="preserve"> Investments Ltd Ord 1.00</w:t>
            </w:r>
          </w:p>
        </w:tc>
        <w:tc>
          <w:tcPr>
            <w:tcW w:w="1740" w:type="dxa"/>
            <w:tcBorders>
              <w:top w:val="nil"/>
              <w:left w:val="nil"/>
              <w:bottom w:val="nil"/>
              <w:right w:val="nil"/>
            </w:tcBorders>
            <w:shd w:val="clear" w:color="auto" w:fill="auto"/>
            <w:noWrap/>
            <w:vAlign w:val="center"/>
            <w:hideMark/>
          </w:tcPr>
          <w:p w14:paraId="339184E3"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KE0000000117</w:t>
            </w:r>
          </w:p>
        </w:tc>
        <w:tc>
          <w:tcPr>
            <w:tcW w:w="1720" w:type="dxa"/>
            <w:tcBorders>
              <w:top w:val="nil"/>
              <w:left w:val="nil"/>
              <w:bottom w:val="nil"/>
              <w:right w:val="nil"/>
            </w:tcBorders>
            <w:shd w:val="clear" w:color="auto" w:fill="auto"/>
            <w:noWrap/>
            <w:vAlign w:val="bottom"/>
            <w:hideMark/>
          </w:tcPr>
          <w:p w14:paraId="70A3C20B"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CARB</w:t>
            </w:r>
          </w:p>
        </w:tc>
      </w:tr>
      <w:tr w:rsidR="00AE0B3D" w:rsidRPr="00AE0B3D" w14:paraId="571888B8" w14:textId="77777777" w:rsidTr="006B3120">
        <w:trPr>
          <w:trHeight w:val="290"/>
        </w:trPr>
        <w:tc>
          <w:tcPr>
            <w:tcW w:w="4440" w:type="dxa"/>
            <w:tcBorders>
              <w:top w:val="nil"/>
              <w:left w:val="nil"/>
              <w:bottom w:val="nil"/>
              <w:right w:val="nil"/>
            </w:tcBorders>
            <w:shd w:val="clear" w:color="auto" w:fill="auto"/>
            <w:noWrap/>
            <w:vAlign w:val="bottom"/>
            <w:hideMark/>
          </w:tcPr>
          <w:p w14:paraId="2D3A7FEB"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East African Breweries Ltd Ord 2.00</w:t>
            </w:r>
          </w:p>
        </w:tc>
        <w:tc>
          <w:tcPr>
            <w:tcW w:w="1740" w:type="dxa"/>
            <w:tcBorders>
              <w:top w:val="nil"/>
              <w:left w:val="nil"/>
              <w:bottom w:val="nil"/>
              <w:right w:val="nil"/>
            </w:tcBorders>
            <w:shd w:val="clear" w:color="auto" w:fill="auto"/>
            <w:noWrap/>
            <w:vAlign w:val="center"/>
            <w:hideMark/>
          </w:tcPr>
          <w:p w14:paraId="384A2AFF"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KE0000000216</w:t>
            </w:r>
          </w:p>
        </w:tc>
        <w:tc>
          <w:tcPr>
            <w:tcW w:w="1720" w:type="dxa"/>
            <w:tcBorders>
              <w:top w:val="nil"/>
              <w:left w:val="nil"/>
              <w:bottom w:val="nil"/>
              <w:right w:val="nil"/>
            </w:tcBorders>
            <w:shd w:val="clear" w:color="auto" w:fill="auto"/>
            <w:noWrap/>
            <w:vAlign w:val="bottom"/>
            <w:hideMark/>
          </w:tcPr>
          <w:p w14:paraId="10603D33"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EABL</w:t>
            </w:r>
          </w:p>
        </w:tc>
      </w:tr>
      <w:tr w:rsidR="00AE0B3D" w:rsidRPr="00AE0B3D" w14:paraId="7A93AE98" w14:textId="77777777" w:rsidTr="006B3120">
        <w:trPr>
          <w:trHeight w:val="290"/>
        </w:trPr>
        <w:tc>
          <w:tcPr>
            <w:tcW w:w="4440" w:type="dxa"/>
            <w:tcBorders>
              <w:top w:val="nil"/>
              <w:left w:val="nil"/>
              <w:bottom w:val="nil"/>
              <w:right w:val="nil"/>
            </w:tcBorders>
            <w:shd w:val="clear" w:color="auto" w:fill="auto"/>
            <w:noWrap/>
            <w:vAlign w:val="bottom"/>
            <w:hideMark/>
          </w:tcPr>
          <w:p w14:paraId="6341E7B6"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Flame Tree Group Holdings Ltd Ord 0.825</w:t>
            </w:r>
          </w:p>
        </w:tc>
        <w:tc>
          <w:tcPr>
            <w:tcW w:w="1740" w:type="dxa"/>
            <w:tcBorders>
              <w:top w:val="nil"/>
              <w:left w:val="nil"/>
              <w:bottom w:val="nil"/>
              <w:right w:val="nil"/>
            </w:tcBorders>
            <w:shd w:val="clear" w:color="auto" w:fill="auto"/>
            <w:noWrap/>
            <w:vAlign w:val="center"/>
            <w:hideMark/>
          </w:tcPr>
          <w:p w14:paraId="72632E65"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KE4000001323</w:t>
            </w:r>
          </w:p>
        </w:tc>
        <w:tc>
          <w:tcPr>
            <w:tcW w:w="1720" w:type="dxa"/>
            <w:tcBorders>
              <w:top w:val="nil"/>
              <w:left w:val="nil"/>
              <w:bottom w:val="nil"/>
              <w:right w:val="nil"/>
            </w:tcBorders>
            <w:shd w:val="clear" w:color="auto" w:fill="auto"/>
            <w:noWrap/>
            <w:vAlign w:val="bottom"/>
            <w:hideMark/>
          </w:tcPr>
          <w:p w14:paraId="61F7CD81"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FTGH</w:t>
            </w:r>
          </w:p>
        </w:tc>
      </w:tr>
      <w:tr w:rsidR="00AE0B3D" w:rsidRPr="00AE0B3D" w14:paraId="0A33DE62" w14:textId="77777777" w:rsidTr="006B3120">
        <w:trPr>
          <w:trHeight w:val="290"/>
        </w:trPr>
        <w:tc>
          <w:tcPr>
            <w:tcW w:w="4440" w:type="dxa"/>
            <w:tcBorders>
              <w:top w:val="nil"/>
              <w:left w:val="nil"/>
              <w:bottom w:val="nil"/>
              <w:right w:val="nil"/>
            </w:tcBorders>
            <w:shd w:val="clear" w:color="auto" w:fill="auto"/>
            <w:noWrap/>
            <w:vAlign w:val="bottom"/>
            <w:hideMark/>
          </w:tcPr>
          <w:p w14:paraId="0E9DEA2B"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Kenya Orchards Ltd Ord 5.00 AIM</w:t>
            </w:r>
          </w:p>
        </w:tc>
        <w:tc>
          <w:tcPr>
            <w:tcW w:w="1740" w:type="dxa"/>
            <w:tcBorders>
              <w:top w:val="nil"/>
              <w:left w:val="nil"/>
              <w:bottom w:val="nil"/>
              <w:right w:val="nil"/>
            </w:tcBorders>
            <w:shd w:val="clear" w:color="auto" w:fill="auto"/>
            <w:noWrap/>
            <w:vAlign w:val="center"/>
            <w:hideMark/>
          </w:tcPr>
          <w:p w14:paraId="5B2D2B4B"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KE0000000331</w:t>
            </w:r>
          </w:p>
        </w:tc>
        <w:tc>
          <w:tcPr>
            <w:tcW w:w="1720" w:type="dxa"/>
            <w:tcBorders>
              <w:top w:val="nil"/>
              <w:left w:val="nil"/>
              <w:bottom w:val="nil"/>
              <w:right w:val="nil"/>
            </w:tcBorders>
            <w:shd w:val="clear" w:color="auto" w:fill="auto"/>
            <w:noWrap/>
            <w:vAlign w:val="bottom"/>
            <w:hideMark/>
          </w:tcPr>
          <w:p w14:paraId="6EE2B482"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ORCH</w:t>
            </w:r>
          </w:p>
        </w:tc>
      </w:tr>
      <w:tr w:rsidR="00AE0B3D" w:rsidRPr="00AE0B3D" w14:paraId="6ED3998A" w14:textId="77777777" w:rsidTr="006B3120">
        <w:trPr>
          <w:trHeight w:val="290"/>
        </w:trPr>
        <w:tc>
          <w:tcPr>
            <w:tcW w:w="4440" w:type="dxa"/>
            <w:tcBorders>
              <w:top w:val="nil"/>
              <w:left w:val="nil"/>
              <w:bottom w:val="nil"/>
              <w:right w:val="nil"/>
            </w:tcBorders>
            <w:shd w:val="clear" w:color="auto" w:fill="auto"/>
            <w:noWrap/>
            <w:vAlign w:val="bottom"/>
            <w:hideMark/>
          </w:tcPr>
          <w:p w14:paraId="02E71286"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w:t>
            </w:r>
            <w:proofErr w:type="spellStart"/>
            <w:r w:rsidRPr="00AE0B3D">
              <w:rPr>
                <w:rFonts w:ascii="Calibri" w:eastAsia="Times New Roman" w:hAnsi="Calibri" w:cs="Calibri"/>
                <w:sz w:val="20"/>
                <w:szCs w:val="20"/>
              </w:rPr>
              <w:t>Mumias</w:t>
            </w:r>
            <w:proofErr w:type="spellEnd"/>
            <w:r w:rsidRPr="00AE0B3D">
              <w:rPr>
                <w:rFonts w:ascii="Calibri" w:eastAsia="Times New Roman" w:hAnsi="Calibri" w:cs="Calibri"/>
                <w:sz w:val="20"/>
                <w:szCs w:val="20"/>
              </w:rPr>
              <w:t xml:space="preserve"> Sugar Co. Ltd Ord 2.00</w:t>
            </w:r>
          </w:p>
        </w:tc>
        <w:tc>
          <w:tcPr>
            <w:tcW w:w="1740" w:type="dxa"/>
            <w:tcBorders>
              <w:top w:val="nil"/>
              <w:left w:val="nil"/>
              <w:bottom w:val="nil"/>
              <w:right w:val="nil"/>
            </w:tcBorders>
            <w:shd w:val="clear" w:color="auto" w:fill="auto"/>
            <w:noWrap/>
            <w:vAlign w:val="center"/>
            <w:hideMark/>
          </w:tcPr>
          <w:p w14:paraId="75BE45A4"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KE0000000372</w:t>
            </w:r>
          </w:p>
        </w:tc>
        <w:tc>
          <w:tcPr>
            <w:tcW w:w="1720" w:type="dxa"/>
            <w:tcBorders>
              <w:top w:val="nil"/>
              <w:left w:val="nil"/>
              <w:bottom w:val="nil"/>
              <w:right w:val="nil"/>
            </w:tcBorders>
            <w:shd w:val="clear" w:color="auto" w:fill="auto"/>
            <w:noWrap/>
            <w:vAlign w:val="bottom"/>
            <w:hideMark/>
          </w:tcPr>
          <w:p w14:paraId="1F828FCE"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MSC</w:t>
            </w:r>
          </w:p>
        </w:tc>
      </w:tr>
      <w:tr w:rsidR="00AE0B3D" w:rsidRPr="00AE0B3D" w14:paraId="054A7AA5" w14:textId="77777777" w:rsidTr="006B3120">
        <w:trPr>
          <w:trHeight w:val="290"/>
        </w:trPr>
        <w:tc>
          <w:tcPr>
            <w:tcW w:w="4440" w:type="dxa"/>
            <w:tcBorders>
              <w:top w:val="nil"/>
              <w:left w:val="nil"/>
              <w:bottom w:val="nil"/>
              <w:right w:val="nil"/>
            </w:tcBorders>
            <w:shd w:val="clear" w:color="auto" w:fill="auto"/>
            <w:noWrap/>
            <w:vAlign w:val="bottom"/>
            <w:hideMark/>
          </w:tcPr>
          <w:p w14:paraId="46B63CD1"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w:t>
            </w:r>
            <w:proofErr w:type="spellStart"/>
            <w:r w:rsidRPr="00AE0B3D">
              <w:rPr>
                <w:rFonts w:ascii="Calibri" w:eastAsia="Times New Roman" w:hAnsi="Calibri" w:cs="Calibri"/>
                <w:sz w:val="20"/>
                <w:szCs w:val="20"/>
              </w:rPr>
              <w:t>Unga</w:t>
            </w:r>
            <w:proofErr w:type="spellEnd"/>
            <w:r w:rsidRPr="00AE0B3D">
              <w:rPr>
                <w:rFonts w:ascii="Calibri" w:eastAsia="Times New Roman" w:hAnsi="Calibri" w:cs="Calibri"/>
                <w:sz w:val="20"/>
                <w:szCs w:val="20"/>
              </w:rPr>
              <w:t xml:space="preserve"> Group Ltd Ord 5.00</w:t>
            </w:r>
          </w:p>
        </w:tc>
        <w:tc>
          <w:tcPr>
            <w:tcW w:w="1740" w:type="dxa"/>
            <w:tcBorders>
              <w:top w:val="nil"/>
              <w:left w:val="nil"/>
              <w:bottom w:val="nil"/>
              <w:right w:val="nil"/>
            </w:tcBorders>
            <w:shd w:val="clear" w:color="auto" w:fill="auto"/>
            <w:noWrap/>
            <w:vAlign w:val="center"/>
            <w:hideMark/>
          </w:tcPr>
          <w:p w14:paraId="5847F72A"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KE0000000497</w:t>
            </w:r>
          </w:p>
        </w:tc>
        <w:tc>
          <w:tcPr>
            <w:tcW w:w="1720" w:type="dxa"/>
            <w:tcBorders>
              <w:top w:val="nil"/>
              <w:left w:val="nil"/>
              <w:bottom w:val="nil"/>
              <w:right w:val="nil"/>
            </w:tcBorders>
            <w:shd w:val="clear" w:color="auto" w:fill="auto"/>
            <w:noWrap/>
            <w:vAlign w:val="bottom"/>
            <w:hideMark/>
          </w:tcPr>
          <w:p w14:paraId="5BE1ECE8"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UNGA</w:t>
            </w:r>
          </w:p>
        </w:tc>
      </w:tr>
      <w:tr w:rsidR="00AE0B3D" w:rsidRPr="00AE0B3D" w14:paraId="54577926" w14:textId="77777777" w:rsidTr="006B3120">
        <w:trPr>
          <w:trHeight w:val="290"/>
        </w:trPr>
        <w:tc>
          <w:tcPr>
            <w:tcW w:w="4440" w:type="dxa"/>
            <w:tcBorders>
              <w:top w:val="nil"/>
              <w:left w:val="nil"/>
              <w:bottom w:val="nil"/>
              <w:right w:val="nil"/>
            </w:tcBorders>
            <w:shd w:val="clear" w:color="auto" w:fill="auto"/>
            <w:noWrap/>
            <w:vAlign w:val="bottom"/>
            <w:hideMark/>
          </w:tcPr>
          <w:p w14:paraId="154FB0CF"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r w:rsidRPr="00AE0B3D">
              <w:rPr>
                <w:rFonts w:ascii="Calibri" w:eastAsia="Times New Roman" w:hAnsi="Calibri" w:cs="Calibri"/>
                <w:b/>
                <w:bCs/>
                <w:sz w:val="20"/>
                <w:szCs w:val="20"/>
              </w:rPr>
              <w:t xml:space="preserve">TELECOMMUNICATION </w:t>
            </w:r>
          </w:p>
        </w:tc>
        <w:tc>
          <w:tcPr>
            <w:tcW w:w="1740" w:type="dxa"/>
            <w:tcBorders>
              <w:top w:val="nil"/>
              <w:left w:val="nil"/>
              <w:bottom w:val="nil"/>
              <w:right w:val="nil"/>
            </w:tcBorders>
            <w:shd w:val="clear" w:color="auto" w:fill="auto"/>
            <w:noWrap/>
            <w:vAlign w:val="bottom"/>
            <w:hideMark/>
          </w:tcPr>
          <w:p w14:paraId="2D3EB6C3"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p>
        </w:tc>
        <w:tc>
          <w:tcPr>
            <w:tcW w:w="1720" w:type="dxa"/>
            <w:tcBorders>
              <w:top w:val="nil"/>
              <w:left w:val="nil"/>
              <w:bottom w:val="nil"/>
              <w:right w:val="nil"/>
            </w:tcBorders>
            <w:shd w:val="clear" w:color="auto" w:fill="auto"/>
            <w:noWrap/>
            <w:vAlign w:val="bottom"/>
            <w:hideMark/>
          </w:tcPr>
          <w:p w14:paraId="59F62E34" w14:textId="77777777" w:rsidR="006B3120" w:rsidRPr="00AE0B3D" w:rsidRDefault="006B3120" w:rsidP="006B3120">
            <w:pPr>
              <w:spacing w:after="0" w:line="240" w:lineRule="auto"/>
              <w:ind w:firstLine="0"/>
              <w:jc w:val="center"/>
              <w:rPr>
                <w:rFonts w:eastAsia="Times New Roman" w:cs="Times New Roman"/>
                <w:sz w:val="20"/>
                <w:szCs w:val="20"/>
              </w:rPr>
            </w:pPr>
          </w:p>
        </w:tc>
      </w:tr>
      <w:tr w:rsidR="00AE0B3D" w:rsidRPr="00AE0B3D" w14:paraId="611C2E2D" w14:textId="77777777" w:rsidTr="006B3120">
        <w:trPr>
          <w:trHeight w:val="290"/>
        </w:trPr>
        <w:tc>
          <w:tcPr>
            <w:tcW w:w="4440" w:type="dxa"/>
            <w:tcBorders>
              <w:top w:val="nil"/>
              <w:left w:val="nil"/>
              <w:bottom w:val="nil"/>
              <w:right w:val="nil"/>
            </w:tcBorders>
            <w:shd w:val="clear" w:color="auto" w:fill="auto"/>
            <w:noWrap/>
            <w:vAlign w:val="bottom"/>
            <w:hideMark/>
          </w:tcPr>
          <w:p w14:paraId="3ACF951A"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 xml:space="preserve"> Safaricom Plc Ord 0.05</w:t>
            </w:r>
          </w:p>
        </w:tc>
        <w:tc>
          <w:tcPr>
            <w:tcW w:w="1740" w:type="dxa"/>
            <w:tcBorders>
              <w:top w:val="nil"/>
              <w:left w:val="nil"/>
              <w:bottom w:val="nil"/>
              <w:right w:val="nil"/>
            </w:tcBorders>
            <w:shd w:val="clear" w:color="auto" w:fill="auto"/>
            <w:noWrap/>
            <w:vAlign w:val="center"/>
            <w:hideMark/>
          </w:tcPr>
          <w:p w14:paraId="4897C84F"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KE1000001402</w:t>
            </w:r>
          </w:p>
        </w:tc>
        <w:tc>
          <w:tcPr>
            <w:tcW w:w="1720" w:type="dxa"/>
            <w:tcBorders>
              <w:top w:val="nil"/>
              <w:left w:val="nil"/>
              <w:bottom w:val="nil"/>
              <w:right w:val="nil"/>
            </w:tcBorders>
            <w:shd w:val="clear" w:color="auto" w:fill="auto"/>
            <w:noWrap/>
            <w:vAlign w:val="bottom"/>
            <w:hideMark/>
          </w:tcPr>
          <w:p w14:paraId="01EC4B94"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SCOM</w:t>
            </w:r>
          </w:p>
        </w:tc>
      </w:tr>
      <w:tr w:rsidR="00AE0B3D" w:rsidRPr="00AE0B3D" w14:paraId="3F510A62" w14:textId="77777777" w:rsidTr="006B3120">
        <w:trPr>
          <w:trHeight w:val="290"/>
        </w:trPr>
        <w:tc>
          <w:tcPr>
            <w:tcW w:w="4440" w:type="dxa"/>
            <w:tcBorders>
              <w:top w:val="nil"/>
              <w:left w:val="nil"/>
              <w:bottom w:val="nil"/>
              <w:right w:val="nil"/>
            </w:tcBorders>
            <w:shd w:val="clear" w:color="auto" w:fill="auto"/>
            <w:noWrap/>
            <w:vAlign w:val="bottom"/>
            <w:hideMark/>
          </w:tcPr>
          <w:p w14:paraId="11246425"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r w:rsidRPr="00AE0B3D">
              <w:rPr>
                <w:rFonts w:ascii="Calibri" w:eastAsia="Times New Roman" w:hAnsi="Calibri" w:cs="Calibri"/>
                <w:b/>
                <w:bCs/>
                <w:sz w:val="20"/>
                <w:szCs w:val="20"/>
              </w:rPr>
              <w:t>REAL ESTATE INVESTMENT TRUST</w:t>
            </w:r>
          </w:p>
        </w:tc>
        <w:tc>
          <w:tcPr>
            <w:tcW w:w="1740" w:type="dxa"/>
            <w:tcBorders>
              <w:top w:val="nil"/>
              <w:left w:val="nil"/>
              <w:bottom w:val="nil"/>
              <w:right w:val="nil"/>
            </w:tcBorders>
            <w:shd w:val="clear" w:color="auto" w:fill="auto"/>
            <w:noWrap/>
            <w:vAlign w:val="bottom"/>
            <w:hideMark/>
          </w:tcPr>
          <w:p w14:paraId="3C22AA38"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p>
        </w:tc>
        <w:tc>
          <w:tcPr>
            <w:tcW w:w="1720" w:type="dxa"/>
            <w:tcBorders>
              <w:top w:val="nil"/>
              <w:left w:val="nil"/>
              <w:bottom w:val="nil"/>
              <w:right w:val="nil"/>
            </w:tcBorders>
            <w:shd w:val="clear" w:color="auto" w:fill="auto"/>
            <w:noWrap/>
            <w:vAlign w:val="bottom"/>
            <w:hideMark/>
          </w:tcPr>
          <w:p w14:paraId="18E90AD3" w14:textId="77777777" w:rsidR="006B3120" w:rsidRPr="00AE0B3D" w:rsidRDefault="006B3120" w:rsidP="006B3120">
            <w:pPr>
              <w:spacing w:after="0" w:line="240" w:lineRule="auto"/>
              <w:ind w:firstLine="0"/>
              <w:jc w:val="center"/>
              <w:rPr>
                <w:rFonts w:eastAsia="Times New Roman" w:cs="Times New Roman"/>
                <w:sz w:val="20"/>
                <w:szCs w:val="20"/>
              </w:rPr>
            </w:pPr>
          </w:p>
        </w:tc>
      </w:tr>
      <w:tr w:rsidR="00AE0B3D" w:rsidRPr="00AE0B3D" w14:paraId="40DEC13B" w14:textId="77777777" w:rsidTr="006B3120">
        <w:trPr>
          <w:trHeight w:val="290"/>
        </w:trPr>
        <w:tc>
          <w:tcPr>
            <w:tcW w:w="4440" w:type="dxa"/>
            <w:tcBorders>
              <w:top w:val="nil"/>
              <w:left w:val="nil"/>
              <w:bottom w:val="nil"/>
              <w:right w:val="nil"/>
            </w:tcBorders>
            <w:shd w:val="clear" w:color="auto" w:fill="auto"/>
            <w:noWrap/>
            <w:vAlign w:val="bottom"/>
            <w:hideMark/>
          </w:tcPr>
          <w:p w14:paraId="23082141"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STANLIB FAHARI I-REIT</w:t>
            </w:r>
          </w:p>
        </w:tc>
        <w:tc>
          <w:tcPr>
            <w:tcW w:w="1740" w:type="dxa"/>
            <w:tcBorders>
              <w:top w:val="nil"/>
              <w:left w:val="nil"/>
              <w:bottom w:val="nil"/>
              <w:right w:val="nil"/>
            </w:tcBorders>
            <w:shd w:val="clear" w:color="auto" w:fill="auto"/>
            <w:noWrap/>
            <w:vAlign w:val="bottom"/>
            <w:hideMark/>
          </w:tcPr>
          <w:p w14:paraId="09F07151"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KE5000003656</w:t>
            </w:r>
          </w:p>
        </w:tc>
        <w:tc>
          <w:tcPr>
            <w:tcW w:w="1720" w:type="dxa"/>
            <w:tcBorders>
              <w:top w:val="nil"/>
              <w:left w:val="nil"/>
              <w:bottom w:val="nil"/>
              <w:right w:val="nil"/>
            </w:tcBorders>
            <w:shd w:val="clear" w:color="auto" w:fill="auto"/>
            <w:noWrap/>
            <w:vAlign w:val="bottom"/>
            <w:hideMark/>
          </w:tcPr>
          <w:p w14:paraId="6837D477"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FAHR</w:t>
            </w:r>
          </w:p>
        </w:tc>
      </w:tr>
      <w:tr w:rsidR="00AE0B3D" w:rsidRPr="00AE0B3D" w14:paraId="302FBF22" w14:textId="77777777" w:rsidTr="006B3120">
        <w:trPr>
          <w:trHeight w:val="290"/>
        </w:trPr>
        <w:tc>
          <w:tcPr>
            <w:tcW w:w="4440" w:type="dxa"/>
            <w:tcBorders>
              <w:top w:val="nil"/>
              <w:left w:val="nil"/>
              <w:bottom w:val="nil"/>
              <w:right w:val="nil"/>
            </w:tcBorders>
            <w:shd w:val="clear" w:color="auto" w:fill="auto"/>
            <w:noWrap/>
            <w:vAlign w:val="bottom"/>
            <w:hideMark/>
          </w:tcPr>
          <w:p w14:paraId="3CA7D2C5"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r w:rsidRPr="00AE0B3D">
              <w:rPr>
                <w:rFonts w:ascii="Calibri" w:eastAsia="Times New Roman" w:hAnsi="Calibri" w:cs="Calibri"/>
                <w:b/>
                <w:bCs/>
                <w:sz w:val="20"/>
                <w:szCs w:val="20"/>
              </w:rPr>
              <w:t>EXCHANGE TRADED FUNDS</w:t>
            </w:r>
          </w:p>
        </w:tc>
        <w:tc>
          <w:tcPr>
            <w:tcW w:w="1740" w:type="dxa"/>
            <w:tcBorders>
              <w:top w:val="nil"/>
              <w:left w:val="nil"/>
              <w:bottom w:val="nil"/>
              <w:right w:val="nil"/>
            </w:tcBorders>
            <w:shd w:val="clear" w:color="auto" w:fill="auto"/>
            <w:noWrap/>
            <w:vAlign w:val="bottom"/>
            <w:hideMark/>
          </w:tcPr>
          <w:p w14:paraId="0D4D9D58" w14:textId="77777777" w:rsidR="006B3120" w:rsidRPr="00AE0B3D" w:rsidRDefault="006B3120" w:rsidP="006B3120">
            <w:pPr>
              <w:spacing w:after="0" w:line="240" w:lineRule="auto"/>
              <w:ind w:firstLine="0"/>
              <w:jc w:val="left"/>
              <w:rPr>
                <w:rFonts w:ascii="Calibri" w:eastAsia="Times New Roman" w:hAnsi="Calibri" w:cs="Calibri"/>
                <w:b/>
                <w:bCs/>
                <w:sz w:val="20"/>
                <w:szCs w:val="20"/>
              </w:rPr>
            </w:pPr>
          </w:p>
        </w:tc>
        <w:tc>
          <w:tcPr>
            <w:tcW w:w="1720" w:type="dxa"/>
            <w:tcBorders>
              <w:top w:val="nil"/>
              <w:left w:val="nil"/>
              <w:bottom w:val="nil"/>
              <w:right w:val="nil"/>
            </w:tcBorders>
            <w:shd w:val="clear" w:color="auto" w:fill="auto"/>
            <w:noWrap/>
            <w:vAlign w:val="bottom"/>
            <w:hideMark/>
          </w:tcPr>
          <w:p w14:paraId="759A0146" w14:textId="77777777" w:rsidR="006B3120" w:rsidRPr="00AE0B3D" w:rsidRDefault="006B3120" w:rsidP="006B3120">
            <w:pPr>
              <w:spacing w:after="0" w:line="240" w:lineRule="auto"/>
              <w:ind w:firstLine="0"/>
              <w:jc w:val="left"/>
              <w:rPr>
                <w:rFonts w:eastAsia="Times New Roman" w:cs="Times New Roman"/>
                <w:sz w:val="20"/>
                <w:szCs w:val="20"/>
              </w:rPr>
            </w:pPr>
          </w:p>
        </w:tc>
      </w:tr>
      <w:tr w:rsidR="00AE0B3D" w:rsidRPr="00AE0B3D" w14:paraId="0D083A8A" w14:textId="77777777" w:rsidTr="006B3120">
        <w:trPr>
          <w:trHeight w:val="290"/>
        </w:trPr>
        <w:tc>
          <w:tcPr>
            <w:tcW w:w="4440" w:type="dxa"/>
            <w:tcBorders>
              <w:top w:val="nil"/>
              <w:left w:val="nil"/>
              <w:bottom w:val="single" w:sz="4" w:space="0" w:color="auto"/>
              <w:right w:val="nil"/>
            </w:tcBorders>
            <w:shd w:val="clear" w:color="auto" w:fill="auto"/>
            <w:noWrap/>
            <w:vAlign w:val="bottom"/>
            <w:hideMark/>
          </w:tcPr>
          <w:p w14:paraId="32C459FD"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NEW GOLD ETF</w:t>
            </w:r>
          </w:p>
        </w:tc>
        <w:tc>
          <w:tcPr>
            <w:tcW w:w="1740" w:type="dxa"/>
            <w:tcBorders>
              <w:top w:val="nil"/>
              <w:left w:val="nil"/>
              <w:bottom w:val="single" w:sz="4" w:space="0" w:color="auto"/>
              <w:right w:val="nil"/>
            </w:tcBorders>
            <w:shd w:val="clear" w:color="auto" w:fill="auto"/>
            <w:noWrap/>
            <w:vAlign w:val="bottom"/>
            <w:hideMark/>
          </w:tcPr>
          <w:p w14:paraId="31BD0232" w14:textId="77777777" w:rsidR="006B3120" w:rsidRPr="00AE0B3D" w:rsidRDefault="006B3120" w:rsidP="006B3120">
            <w:pPr>
              <w:spacing w:after="0" w:line="240" w:lineRule="auto"/>
              <w:ind w:firstLine="0"/>
              <w:jc w:val="center"/>
              <w:rPr>
                <w:rFonts w:ascii="Calibri" w:eastAsia="Times New Roman" w:hAnsi="Calibri" w:cs="Calibri"/>
                <w:sz w:val="20"/>
                <w:szCs w:val="20"/>
              </w:rPr>
            </w:pPr>
            <w:r w:rsidRPr="00AE0B3D">
              <w:rPr>
                <w:rFonts w:ascii="Calibri" w:eastAsia="Times New Roman" w:hAnsi="Calibri" w:cs="Calibri"/>
                <w:sz w:val="20"/>
                <w:szCs w:val="20"/>
              </w:rPr>
              <w:t>KE5000007095</w:t>
            </w:r>
          </w:p>
        </w:tc>
        <w:tc>
          <w:tcPr>
            <w:tcW w:w="1720" w:type="dxa"/>
            <w:tcBorders>
              <w:top w:val="nil"/>
              <w:left w:val="nil"/>
              <w:bottom w:val="single" w:sz="4" w:space="0" w:color="auto"/>
              <w:right w:val="nil"/>
            </w:tcBorders>
            <w:shd w:val="clear" w:color="auto" w:fill="auto"/>
            <w:noWrap/>
            <w:vAlign w:val="bottom"/>
            <w:hideMark/>
          </w:tcPr>
          <w:p w14:paraId="3B0A1659" w14:textId="77777777" w:rsidR="006B3120" w:rsidRPr="00AE0B3D" w:rsidRDefault="006B3120" w:rsidP="006B3120">
            <w:pPr>
              <w:spacing w:after="0" w:line="240" w:lineRule="auto"/>
              <w:ind w:firstLine="0"/>
              <w:jc w:val="left"/>
              <w:rPr>
                <w:rFonts w:ascii="Calibri" w:eastAsia="Times New Roman" w:hAnsi="Calibri" w:cs="Calibri"/>
                <w:sz w:val="20"/>
                <w:szCs w:val="20"/>
              </w:rPr>
            </w:pPr>
            <w:r w:rsidRPr="00AE0B3D">
              <w:rPr>
                <w:rFonts w:ascii="Calibri" w:eastAsia="Times New Roman" w:hAnsi="Calibri" w:cs="Calibri"/>
                <w:sz w:val="20"/>
                <w:szCs w:val="20"/>
              </w:rPr>
              <w:t>GLD</w:t>
            </w:r>
          </w:p>
        </w:tc>
      </w:tr>
    </w:tbl>
    <w:p w14:paraId="43DF4704" w14:textId="0C146CCA" w:rsidR="00EC7262" w:rsidRPr="00AE0B3D" w:rsidRDefault="00EC7262" w:rsidP="004E7389">
      <w:pPr>
        <w:rPr>
          <w:rFonts w:cs="Times New Roman"/>
        </w:rPr>
      </w:pPr>
    </w:p>
    <w:p w14:paraId="069E4160" w14:textId="77777777" w:rsidR="00EC7262" w:rsidRPr="00AE0B3D" w:rsidRDefault="00EC7262">
      <w:pPr>
        <w:spacing w:line="259" w:lineRule="auto"/>
        <w:ind w:firstLine="0"/>
        <w:jc w:val="left"/>
        <w:rPr>
          <w:rFonts w:cs="Times New Roman"/>
        </w:rPr>
      </w:pPr>
      <w:r w:rsidRPr="00AE0B3D">
        <w:rPr>
          <w:rFonts w:cs="Times New Roman"/>
        </w:rPr>
        <w:br w:type="page"/>
      </w:r>
    </w:p>
    <w:p w14:paraId="3C044D40" w14:textId="66FD5CCF" w:rsidR="00EC7262" w:rsidRPr="00AE0B3D" w:rsidRDefault="00EC7262" w:rsidP="00CE1B92">
      <w:pPr>
        <w:pStyle w:val="Heading2"/>
      </w:pPr>
      <w:bookmarkStart w:id="93" w:name="_Toc78067547"/>
      <w:r w:rsidRPr="00AE0B3D">
        <w:lastRenderedPageBreak/>
        <w:t xml:space="preserve">Appendix 5: </w:t>
      </w:r>
      <w:proofErr w:type="spellStart"/>
      <w:r w:rsidRPr="00AE0B3D">
        <w:t>Nacosti</w:t>
      </w:r>
      <w:proofErr w:type="spellEnd"/>
      <w:r w:rsidRPr="00AE0B3D">
        <w:t xml:space="preserve"> Permit</w:t>
      </w:r>
      <w:bookmarkEnd w:id="93"/>
    </w:p>
    <w:p w14:paraId="20DE547B" w14:textId="2C99C2C1" w:rsidR="00EC7262" w:rsidRPr="00AE0B3D" w:rsidRDefault="00BB4BD6" w:rsidP="00057750">
      <w:pPr>
        <w:spacing w:line="259" w:lineRule="auto"/>
        <w:ind w:left="720" w:firstLine="0"/>
        <w:jc w:val="left"/>
        <w:rPr>
          <w:rFonts w:cs="Times New Roman"/>
          <w:b/>
          <w:bCs/>
          <w:sz w:val="28"/>
          <w:szCs w:val="28"/>
        </w:rPr>
      </w:pPr>
      <w:r w:rsidRPr="00AE0B3D">
        <w:rPr>
          <w:noProof/>
          <w:lang w:val="en-US"/>
        </w:rPr>
        <w:drawing>
          <wp:inline distT="0" distB="0" distL="0" distR="0" wp14:anchorId="21D126A1" wp14:editId="6FC3B106">
            <wp:extent cx="5419725" cy="66770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19725" cy="6677025"/>
                    </a:xfrm>
                    <a:prstGeom prst="rect">
                      <a:avLst/>
                    </a:prstGeom>
                  </pic:spPr>
                </pic:pic>
              </a:graphicData>
            </a:graphic>
          </wp:inline>
        </w:drawing>
      </w:r>
    </w:p>
    <w:p w14:paraId="768BA9C8" w14:textId="25F4B8EA" w:rsidR="0051218F" w:rsidRDefault="0051218F">
      <w:pPr>
        <w:spacing w:line="259" w:lineRule="auto"/>
        <w:ind w:firstLine="0"/>
        <w:jc w:val="left"/>
        <w:rPr>
          <w:rFonts w:cs="Times New Roman"/>
        </w:rPr>
      </w:pPr>
      <w:r>
        <w:rPr>
          <w:rFonts w:cs="Times New Roman"/>
        </w:rPr>
        <w:br w:type="page"/>
      </w:r>
    </w:p>
    <w:p w14:paraId="384F4F51" w14:textId="4083C783" w:rsidR="00946C29" w:rsidRPr="00AE0B3D" w:rsidRDefault="00946C29" w:rsidP="00946C29">
      <w:pPr>
        <w:pStyle w:val="Heading2"/>
      </w:pPr>
      <w:bookmarkStart w:id="94" w:name="_Toc78067548"/>
      <w:r>
        <w:lastRenderedPageBreak/>
        <w:t>Appendix 6</w:t>
      </w:r>
      <w:r w:rsidRPr="00AE0B3D">
        <w:t xml:space="preserve">: </w:t>
      </w:r>
      <w:r>
        <w:t>E</w:t>
      </w:r>
      <w:r w:rsidR="00785CFD">
        <w:t>thic Clearance letter</w:t>
      </w:r>
      <w:bookmarkEnd w:id="94"/>
    </w:p>
    <w:p w14:paraId="3866B97B" w14:textId="77777777" w:rsidR="006B3120" w:rsidRDefault="006B3120" w:rsidP="004E7389">
      <w:pPr>
        <w:rPr>
          <w:rFonts w:cs="Times New Roman"/>
        </w:rPr>
      </w:pPr>
    </w:p>
    <w:p w14:paraId="35AA74BC" w14:textId="7DF13A88" w:rsidR="00955099" w:rsidRPr="00AE0B3D" w:rsidRDefault="0051218F" w:rsidP="00142F12">
      <w:pPr>
        <w:ind w:firstLine="0"/>
        <w:rPr>
          <w:rFonts w:cs="Times New Roman"/>
        </w:rPr>
      </w:pPr>
      <w:r w:rsidRPr="0051218F">
        <w:rPr>
          <w:rFonts w:cs="Times New Roman"/>
          <w:noProof/>
          <w:lang w:val="en-US"/>
        </w:rPr>
        <w:drawing>
          <wp:inline distT="0" distB="0" distL="0" distR="0" wp14:anchorId="67B587BB" wp14:editId="7E4A2C4F">
            <wp:extent cx="5486400" cy="7317044"/>
            <wp:effectExtent l="0" t="0" r="0" b="0"/>
            <wp:docPr id="9" name="Picture 9" descr="C:\Users\HP\Downloads\IMG_20210708_164327_6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ownloads\IMG_20210708_164327_610.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86400" cy="7317044"/>
                    </a:xfrm>
                    <a:prstGeom prst="rect">
                      <a:avLst/>
                    </a:prstGeom>
                    <a:noFill/>
                    <a:ln>
                      <a:noFill/>
                    </a:ln>
                  </pic:spPr>
                </pic:pic>
              </a:graphicData>
            </a:graphic>
          </wp:inline>
        </w:drawing>
      </w:r>
    </w:p>
    <w:sectPr w:rsidR="00955099" w:rsidRPr="00AE0B3D" w:rsidSect="00975779">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85CBF6" w14:textId="77777777" w:rsidR="008F7402" w:rsidRDefault="008F7402" w:rsidP="0022673B">
      <w:pPr>
        <w:spacing w:after="0" w:line="240" w:lineRule="auto"/>
      </w:pPr>
      <w:r>
        <w:separator/>
      </w:r>
    </w:p>
  </w:endnote>
  <w:endnote w:type="continuationSeparator" w:id="0">
    <w:p w14:paraId="3038F2E3" w14:textId="77777777" w:rsidR="008F7402" w:rsidRDefault="008F7402" w:rsidP="002267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imesNewRomanPSMT">
    <w:altName w:val="Yu Gothic"/>
    <w:panose1 w:val="00000000000000000000"/>
    <w:charset w:val="81"/>
    <w:family w:val="auto"/>
    <w:notTrueType/>
    <w:pitch w:val="default"/>
    <w:sig w:usb0="00000000" w:usb1="09060000" w:usb2="00000010" w:usb3="00000000" w:csb0="0008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65044440"/>
      <w:docPartObj>
        <w:docPartGallery w:val="Page Numbers (Bottom of Page)"/>
        <w:docPartUnique/>
      </w:docPartObj>
    </w:sdtPr>
    <w:sdtEndPr>
      <w:rPr>
        <w:noProof/>
      </w:rPr>
    </w:sdtEndPr>
    <w:sdtContent>
      <w:p w14:paraId="18096CB4" w14:textId="47AB493F" w:rsidR="0032136C" w:rsidRDefault="0032136C">
        <w:pPr>
          <w:pStyle w:val="Footer"/>
          <w:jc w:val="center"/>
        </w:pPr>
        <w:r>
          <w:rPr>
            <w:noProof/>
          </w:rPr>
          <w:fldChar w:fldCharType="begin"/>
        </w:r>
        <w:r>
          <w:rPr>
            <w:noProof/>
          </w:rPr>
          <w:instrText xml:space="preserve"> PAGE   \* MERGEFORMAT </w:instrText>
        </w:r>
        <w:r>
          <w:rPr>
            <w:noProof/>
          </w:rPr>
          <w:fldChar w:fldCharType="separate"/>
        </w:r>
        <w:r w:rsidR="004B113B">
          <w:rPr>
            <w:noProof/>
          </w:rPr>
          <w:t>xii</w:t>
        </w:r>
        <w:r>
          <w:rPr>
            <w:noProof/>
          </w:rPr>
          <w:fldChar w:fldCharType="end"/>
        </w:r>
      </w:p>
    </w:sdtContent>
  </w:sdt>
  <w:p w14:paraId="3C9BF6CE" w14:textId="77777777" w:rsidR="0032136C" w:rsidRDefault="0032136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8388789"/>
      <w:docPartObj>
        <w:docPartGallery w:val="Page Numbers (Bottom of Page)"/>
        <w:docPartUnique/>
      </w:docPartObj>
    </w:sdtPr>
    <w:sdtEndPr>
      <w:rPr>
        <w:noProof/>
      </w:rPr>
    </w:sdtEndPr>
    <w:sdtContent>
      <w:p w14:paraId="27B51C1B" w14:textId="3BF6229A" w:rsidR="0032136C" w:rsidRDefault="0032136C">
        <w:pPr>
          <w:pStyle w:val="Footer"/>
          <w:jc w:val="center"/>
        </w:pPr>
        <w:r>
          <w:rPr>
            <w:noProof/>
          </w:rPr>
          <w:fldChar w:fldCharType="begin"/>
        </w:r>
        <w:r>
          <w:rPr>
            <w:noProof/>
          </w:rPr>
          <w:instrText xml:space="preserve"> PAGE   \* MERGEFORMAT </w:instrText>
        </w:r>
        <w:r>
          <w:rPr>
            <w:noProof/>
          </w:rPr>
          <w:fldChar w:fldCharType="separate"/>
        </w:r>
        <w:r w:rsidR="00B204A2">
          <w:rPr>
            <w:noProof/>
          </w:rPr>
          <w:t>63</w:t>
        </w:r>
        <w:r>
          <w:rPr>
            <w:noProof/>
          </w:rPr>
          <w:fldChar w:fldCharType="end"/>
        </w:r>
      </w:p>
    </w:sdtContent>
  </w:sdt>
  <w:p w14:paraId="6A03FB04" w14:textId="77777777" w:rsidR="0032136C" w:rsidRDefault="003213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762E1D" w14:textId="77777777" w:rsidR="008F7402" w:rsidRDefault="008F7402" w:rsidP="0022673B">
      <w:pPr>
        <w:spacing w:after="0" w:line="240" w:lineRule="auto"/>
      </w:pPr>
      <w:r>
        <w:separator/>
      </w:r>
    </w:p>
  </w:footnote>
  <w:footnote w:type="continuationSeparator" w:id="0">
    <w:p w14:paraId="4EE27868" w14:textId="77777777" w:rsidR="008F7402" w:rsidRDefault="008F7402" w:rsidP="002267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cs="Times New Roman"/>
        <w:szCs w:val="24"/>
      </w:rPr>
      <w:id w:val="105862928"/>
      <w:docPartObj>
        <w:docPartGallery w:val="Page Numbers (Top of Page)"/>
        <w:docPartUnique/>
      </w:docPartObj>
    </w:sdtPr>
    <w:sdtEndPr>
      <w:rPr>
        <w:noProof/>
      </w:rPr>
    </w:sdtEndPr>
    <w:sdtContent>
      <w:p w14:paraId="2DFA2FC4" w14:textId="77777777" w:rsidR="0032136C" w:rsidRPr="00A60EE8" w:rsidRDefault="0032136C" w:rsidP="00D4787B">
        <w:pPr>
          <w:jc w:val="right"/>
          <w:rPr>
            <w:rFonts w:cs="Times New Roman"/>
            <w:szCs w:val="24"/>
          </w:rPr>
        </w:pP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F538D8" w14:textId="77777777" w:rsidR="0032136C" w:rsidRDefault="0032136C" w:rsidP="00033342">
    <w:r>
      <w:rPr>
        <w:rFonts w:cs="Times New Roman"/>
        <w:szCs w:val="24"/>
      </w:rPr>
      <w:tab/>
    </w:r>
    <w:r>
      <w:rPr>
        <w:rFonts w:cs="Times New Roman"/>
        <w:szCs w:val="24"/>
      </w:rPr>
      <w:tab/>
    </w:r>
    <w:r>
      <w:rPr>
        <w:rFonts w:cs="Times New Roman"/>
        <w:szCs w:val="24"/>
      </w:rPr>
      <w:tab/>
    </w:r>
    <w:r>
      <w:rPr>
        <w:rFonts w:cs="Times New Roman"/>
        <w:szCs w:val="24"/>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303CA"/>
    <w:multiLevelType w:val="hybridMultilevel"/>
    <w:tmpl w:val="E5E2B084"/>
    <w:lvl w:ilvl="0" w:tplc="654E019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2BB00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2C26BF"/>
    <w:multiLevelType w:val="hybridMultilevel"/>
    <w:tmpl w:val="721E7FAA"/>
    <w:lvl w:ilvl="0" w:tplc="10000001">
      <w:start w:val="1"/>
      <w:numFmt w:val="bullet"/>
      <w:lvlText w:val=""/>
      <w:lvlJc w:val="left"/>
      <w:pPr>
        <w:ind w:left="1440" w:hanging="360"/>
      </w:pPr>
      <w:rPr>
        <w:rFonts w:ascii="Symbol" w:hAnsi="Symbol" w:hint="default"/>
      </w:rPr>
    </w:lvl>
    <w:lvl w:ilvl="1" w:tplc="10000003" w:tentative="1">
      <w:start w:val="1"/>
      <w:numFmt w:val="bullet"/>
      <w:lvlText w:val="o"/>
      <w:lvlJc w:val="left"/>
      <w:pPr>
        <w:ind w:left="2160" w:hanging="360"/>
      </w:pPr>
      <w:rPr>
        <w:rFonts w:ascii="Courier New" w:hAnsi="Courier New" w:cs="Courier New" w:hint="default"/>
      </w:rPr>
    </w:lvl>
    <w:lvl w:ilvl="2" w:tplc="10000005" w:tentative="1">
      <w:start w:val="1"/>
      <w:numFmt w:val="bullet"/>
      <w:lvlText w:val=""/>
      <w:lvlJc w:val="left"/>
      <w:pPr>
        <w:ind w:left="2880" w:hanging="360"/>
      </w:pPr>
      <w:rPr>
        <w:rFonts w:ascii="Wingdings" w:hAnsi="Wingdings" w:hint="default"/>
      </w:rPr>
    </w:lvl>
    <w:lvl w:ilvl="3" w:tplc="10000001" w:tentative="1">
      <w:start w:val="1"/>
      <w:numFmt w:val="bullet"/>
      <w:lvlText w:val=""/>
      <w:lvlJc w:val="left"/>
      <w:pPr>
        <w:ind w:left="3600" w:hanging="360"/>
      </w:pPr>
      <w:rPr>
        <w:rFonts w:ascii="Symbol" w:hAnsi="Symbol" w:hint="default"/>
      </w:rPr>
    </w:lvl>
    <w:lvl w:ilvl="4" w:tplc="10000003" w:tentative="1">
      <w:start w:val="1"/>
      <w:numFmt w:val="bullet"/>
      <w:lvlText w:val="o"/>
      <w:lvlJc w:val="left"/>
      <w:pPr>
        <w:ind w:left="4320" w:hanging="360"/>
      </w:pPr>
      <w:rPr>
        <w:rFonts w:ascii="Courier New" w:hAnsi="Courier New" w:cs="Courier New" w:hint="default"/>
      </w:rPr>
    </w:lvl>
    <w:lvl w:ilvl="5" w:tplc="10000005" w:tentative="1">
      <w:start w:val="1"/>
      <w:numFmt w:val="bullet"/>
      <w:lvlText w:val=""/>
      <w:lvlJc w:val="left"/>
      <w:pPr>
        <w:ind w:left="5040" w:hanging="360"/>
      </w:pPr>
      <w:rPr>
        <w:rFonts w:ascii="Wingdings" w:hAnsi="Wingdings" w:hint="default"/>
      </w:rPr>
    </w:lvl>
    <w:lvl w:ilvl="6" w:tplc="10000001" w:tentative="1">
      <w:start w:val="1"/>
      <w:numFmt w:val="bullet"/>
      <w:lvlText w:val=""/>
      <w:lvlJc w:val="left"/>
      <w:pPr>
        <w:ind w:left="5760" w:hanging="360"/>
      </w:pPr>
      <w:rPr>
        <w:rFonts w:ascii="Symbol" w:hAnsi="Symbol" w:hint="default"/>
      </w:rPr>
    </w:lvl>
    <w:lvl w:ilvl="7" w:tplc="10000003" w:tentative="1">
      <w:start w:val="1"/>
      <w:numFmt w:val="bullet"/>
      <w:lvlText w:val="o"/>
      <w:lvlJc w:val="left"/>
      <w:pPr>
        <w:ind w:left="6480" w:hanging="360"/>
      </w:pPr>
      <w:rPr>
        <w:rFonts w:ascii="Courier New" w:hAnsi="Courier New" w:cs="Courier New" w:hint="default"/>
      </w:rPr>
    </w:lvl>
    <w:lvl w:ilvl="8" w:tplc="10000005" w:tentative="1">
      <w:start w:val="1"/>
      <w:numFmt w:val="bullet"/>
      <w:lvlText w:val=""/>
      <w:lvlJc w:val="left"/>
      <w:pPr>
        <w:ind w:left="7200" w:hanging="360"/>
      </w:pPr>
      <w:rPr>
        <w:rFonts w:ascii="Wingdings" w:hAnsi="Wingdings" w:hint="default"/>
      </w:rPr>
    </w:lvl>
  </w:abstractNum>
  <w:abstractNum w:abstractNumId="3" w15:restartNumberingAfterBreak="0">
    <w:nsid w:val="067A2CAF"/>
    <w:multiLevelType w:val="hybridMultilevel"/>
    <w:tmpl w:val="CB6464EE"/>
    <w:lvl w:ilvl="0" w:tplc="0409000D">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 w15:restartNumberingAfterBreak="0">
    <w:nsid w:val="07143A90"/>
    <w:multiLevelType w:val="hybridMultilevel"/>
    <w:tmpl w:val="2D2EAFC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8BA07F2"/>
    <w:multiLevelType w:val="hybridMultilevel"/>
    <w:tmpl w:val="15D2889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87D2D27"/>
    <w:multiLevelType w:val="hybridMultilevel"/>
    <w:tmpl w:val="E9AC02AC"/>
    <w:lvl w:ilvl="0" w:tplc="4510E32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23982977"/>
    <w:multiLevelType w:val="hybridMultilevel"/>
    <w:tmpl w:val="0B621E7C"/>
    <w:lvl w:ilvl="0" w:tplc="0409000D">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8" w15:restartNumberingAfterBreak="0">
    <w:nsid w:val="25316FC2"/>
    <w:multiLevelType w:val="hybridMultilevel"/>
    <w:tmpl w:val="EBF81806"/>
    <w:lvl w:ilvl="0" w:tplc="77182E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01E3DC8"/>
    <w:multiLevelType w:val="multilevel"/>
    <w:tmpl w:val="A9D84C18"/>
    <w:lvl w:ilvl="0">
      <w:start w:val="1"/>
      <w:numFmt w:val="decimal"/>
      <w:lvlText w:val="%1"/>
      <w:lvlJc w:val="left"/>
      <w:pPr>
        <w:ind w:left="2502" w:hanging="432"/>
      </w:pPr>
      <w:rPr>
        <w:color w:val="auto"/>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 w15:restartNumberingAfterBreak="0">
    <w:nsid w:val="305E308F"/>
    <w:multiLevelType w:val="hybridMultilevel"/>
    <w:tmpl w:val="C37859AE"/>
    <w:lvl w:ilvl="0" w:tplc="FAA4197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30E9280E"/>
    <w:multiLevelType w:val="hybridMultilevel"/>
    <w:tmpl w:val="44BAF278"/>
    <w:lvl w:ilvl="0" w:tplc="59404AE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C3621DD"/>
    <w:multiLevelType w:val="hybridMultilevel"/>
    <w:tmpl w:val="F79A6EAC"/>
    <w:lvl w:ilvl="0" w:tplc="59E8727A">
      <w:start w:val="1"/>
      <w:numFmt w:val="decimal"/>
      <w:lvlText w:val="%1."/>
      <w:lvlJc w:val="left"/>
      <w:pPr>
        <w:ind w:left="360" w:hanging="360"/>
      </w:pPr>
      <w:rPr>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 w15:restartNumberingAfterBreak="0">
    <w:nsid w:val="3F6726D1"/>
    <w:multiLevelType w:val="hybridMultilevel"/>
    <w:tmpl w:val="B9D6C4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9D07A07"/>
    <w:multiLevelType w:val="hybridMultilevel"/>
    <w:tmpl w:val="8172830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D9C0E33"/>
    <w:multiLevelType w:val="hybridMultilevel"/>
    <w:tmpl w:val="D77A2376"/>
    <w:lvl w:ilvl="0" w:tplc="0809000B">
      <w:start w:val="1"/>
      <w:numFmt w:val="bullet"/>
      <w:lvlText w:val=""/>
      <w:lvlJc w:val="left"/>
      <w:pPr>
        <w:ind w:left="810" w:hanging="360"/>
      </w:pPr>
      <w:rPr>
        <w:rFonts w:ascii="Wingdings" w:hAnsi="Wingdings"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6" w15:restartNumberingAfterBreak="0">
    <w:nsid w:val="60AA296F"/>
    <w:multiLevelType w:val="hybridMultilevel"/>
    <w:tmpl w:val="5A108ACA"/>
    <w:lvl w:ilvl="0" w:tplc="353833EC">
      <w:start w:val="1"/>
      <w:numFmt w:val="decimal"/>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50130A6"/>
    <w:multiLevelType w:val="hybridMultilevel"/>
    <w:tmpl w:val="FCA0486C"/>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6825233E"/>
    <w:multiLevelType w:val="hybridMultilevel"/>
    <w:tmpl w:val="6FA8065E"/>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9" w15:restartNumberingAfterBreak="0">
    <w:nsid w:val="706F15E6"/>
    <w:multiLevelType w:val="hybridMultilevel"/>
    <w:tmpl w:val="872080AC"/>
    <w:lvl w:ilvl="0" w:tplc="DE282B9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714C303C"/>
    <w:multiLevelType w:val="hybridMultilevel"/>
    <w:tmpl w:val="EAAAFF4A"/>
    <w:lvl w:ilvl="0" w:tplc="9C0AB6C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76061B96"/>
    <w:multiLevelType w:val="multilevel"/>
    <w:tmpl w:val="FF261C4E"/>
    <w:lvl w:ilvl="0">
      <w:start w:val="1"/>
      <w:numFmt w:val="decimal"/>
      <w:lvlText w:val="%1"/>
      <w:lvlJc w:val="left"/>
      <w:pPr>
        <w:ind w:left="432" w:hanging="432"/>
      </w:pPr>
    </w:lvl>
    <w:lvl w:ilvl="1">
      <w:start w:val="1"/>
      <w:numFmt w:val="decimal"/>
      <w:lvlText w:val="%1.%2"/>
      <w:lvlJc w:val="left"/>
      <w:pPr>
        <w:ind w:left="576" w:hanging="576"/>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21"/>
  </w:num>
  <w:num w:numId="2">
    <w:abstractNumId w:val="17"/>
  </w:num>
  <w:num w:numId="3">
    <w:abstractNumId w:val="1"/>
  </w:num>
  <w:num w:numId="4">
    <w:abstractNumId w:val="9"/>
  </w:num>
  <w:num w:numId="5">
    <w:abstractNumId w:val="3"/>
  </w:num>
  <w:num w:numId="6">
    <w:abstractNumId w:val="7"/>
  </w:num>
  <w:num w:numId="7">
    <w:abstractNumId w:val="0"/>
  </w:num>
  <w:num w:numId="8">
    <w:abstractNumId w:val="13"/>
  </w:num>
  <w:num w:numId="9">
    <w:abstractNumId w:val="20"/>
  </w:num>
  <w:num w:numId="10">
    <w:abstractNumId w:val="18"/>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0"/>
  </w:num>
  <w:num w:numId="14">
    <w:abstractNumId w:val="6"/>
  </w:num>
  <w:num w:numId="15">
    <w:abstractNumId w:val="12"/>
  </w:num>
  <w:num w:numId="16">
    <w:abstractNumId w:val="5"/>
  </w:num>
  <w:num w:numId="17">
    <w:abstractNumId w:val="11"/>
  </w:num>
  <w:num w:numId="18">
    <w:abstractNumId w:val="14"/>
  </w:num>
  <w:num w:numId="19">
    <w:abstractNumId w:val="4"/>
  </w:num>
  <w:num w:numId="20">
    <w:abstractNumId w:val="2"/>
  </w:num>
  <w:num w:numId="21">
    <w:abstractNumId w:val="5"/>
  </w:num>
  <w:num w:numId="22">
    <w:abstractNumId w:val="9"/>
  </w:num>
  <w:num w:numId="23">
    <w:abstractNumId w:val="8"/>
  </w:num>
  <w:num w:numId="24">
    <w:abstractNumId w:val="16"/>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zW2MDAyMTMzNjS0MDJS0lEKTi0uzszPAykwsagFAKlynjMtAAAA"/>
  </w:docVars>
  <w:rsids>
    <w:rsidRoot w:val="00DB7B5C"/>
    <w:rsid w:val="00001905"/>
    <w:rsid w:val="0000207E"/>
    <w:rsid w:val="00002243"/>
    <w:rsid w:val="00002E53"/>
    <w:rsid w:val="00003C5E"/>
    <w:rsid w:val="00004B75"/>
    <w:rsid w:val="00005726"/>
    <w:rsid w:val="00005A5C"/>
    <w:rsid w:val="0000618C"/>
    <w:rsid w:val="0000621C"/>
    <w:rsid w:val="00006275"/>
    <w:rsid w:val="00007020"/>
    <w:rsid w:val="00007CA9"/>
    <w:rsid w:val="00007F6C"/>
    <w:rsid w:val="000102FB"/>
    <w:rsid w:val="00010483"/>
    <w:rsid w:val="00010FC5"/>
    <w:rsid w:val="0001212E"/>
    <w:rsid w:val="00012323"/>
    <w:rsid w:val="00013269"/>
    <w:rsid w:val="00013392"/>
    <w:rsid w:val="00013AA6"/>
    <w:rsid w:val="00013D8C"/>
    <w:rsid w:val="00015092"/>
    <w:rsid w:val="000153DB"/>
    <w:rsid w:val="00015AD3"/>
    <w:rsid w:val="0001677B"/>
    <w:rsid w:val="00017A29"/>
    <w:rsid w:val="00020732"/>
    <w:rsid w:val="00020B4F"/>
    <w:rsid w:val="000210D3"/>
    <w:rsid w:val="00021AF6"/>
    <w:rsid w:val="0002375A"/>
    <w:rsid w:val="0002537D"/>
    <w:rsid w:val="000261B9"/>
    <w:rsid w:val="00026719"/>
    <w:rsid w:val="00026A65"/>
    <w:rsid w:val="00030087"/>
    <w:rsid w:val="0003033F"/>
    <w:rsid w:val="00030384"/>
    <w:rsid w:val="0003088E"/>
    <w:rsid w:val="000311C7"/>
    <w:rsid w:val="00033342"/>
    <w:rsid w:val="000339B5"/>
    <w:rsid w:val="00033A88"/>
    <w:rsid w:val="00033DFE"/>
    <w:rsid w:val="00034BAF"/>
    <w:rsid w:val="0003518B"/>
    <w:rsid w:val="00040172"/>
    <w:rsid w:val="0004263A"/>
    <w:rsid w:val="00043340"/>
    <w:rsid w:val="00043D9B"/>
    <w:rsid w:val="000441F6"/>
    <w:rsid w:val="00044438"/>
    <w:rsid w:val="00045ABE"/>
    <w:rsid w:val="00046697"/>
    <w:rsid w:val="00050102"/>
    <w:rsid w:val="00050EBC"/>
    <w:rsid w:val="000519EA"/>
    <w:rsid w:val="00052132"/>
    <w:rsid w:val="00052D4B"/>
    <w:rsid w:val="0005382E"/>
    <w:rsid w:val="000539F9"/>
    <w:rsid w:val="00054440"/>
    <w:rsid w:val="00054B81"/>
    <w:rsid w:val="00054C94"/>
    <w:rsid w:val="00056FA3"/>
    <w:rsid w:val="0005715A"/>
    <w:rsid w:val="00057750"/>
    <w:rsid w:val="00057B20"/>
    <w:rsid w:val="00060AEC"/>
    <w:rsid w:val="000611EB"/>
    <w:rsid w:val="00061825"/>
    <w:rsid w:val="00062E28"/>
    <w:rsid w:val="00063925"/>
    <w:rsid w:val="0006403D"/>
    <w:rsid w:val="00065106"/>
    <w:rsid w:val="00065CE4"/>
    <w:rsid w:val="00066825"/>
    <w:rsid w:val="0006780E"/>
    <w:rsid w:val="00067A95"/>
    <w:rsid w:val="0007061B"/>
    <w:rsid w:val="00070674"/>
    <w:rsid w:val="00071108"/>
    <w:rsid w:val="00072A72"/>
    <w:rsid w:val="00073095"/>
    <w:rsid w:val="00074701"/>
    <w:rsid w:val="00075BC2"/>
    <w:rsid w:val="00075D56"/>
    <w:rsid w:val="00075DAA"/>
    <w:rsid w:val="00075DEA"/>
    <w:rsid w:val="000768E4"/>
    <w:rsid w:val="000768FA"/>
    <w:rsid w:val="00076FEB"/>
    <w:rsid w:val="00082F64"/>
    <w:rsid w:val="00083821"/>
    <w:rsid w:val="000838A5"/>
    <w:rsid w:val="00083D8B"/>
    <w:rsid w:val="0008443B"/>
    <w:rsid w:val="00084511"/>
    <w:rsid w:val="000846C2"/>
    <w:rsid w:val="00084844"/>
    <w:rsid w:val="0008531B"/>
    <w:rsid w:val="00085B46"/>
    <w:rsid w:val="000861A8"/>
    <w:rsid w:val="0008673B"/>
    <w:rsid w:val="0008776A"/>
    <w:rsid w:val="000879AE"/>
    <w:rsid w:val="00087A8A"/>
    <w:rsid w:val="0009011C"/>
    <w:rsid w:val="000902E3"/>
    <w:rsid w:val="00090A92"/>
    <w:rsid w:val="00090C19"/>
    <w:rsid w:val="000939BD"/>
    <w:rsid w:val="0009551E"/>
    <w:rsid w:val="00096824"/>
    <w:rsid w:val="0009704C"/>
    <w:rsid w:val="000A1088"/>
    <w:rsid w:val="000A1538"/>
    <w:rsid w:val="000A1A47"/>
    <w:rsid w:val="000A1FAE"/>
    <w:rsid w:val="000A2043"/>
    <w:rsid w:val="000A398F"/>
    <w:rsid w:val="000A4709"/>
    <w:rsid w:val="000A47C6"/>
    <w:rsid w:val="000A51F5"/>
    <w:rsid w:val="000A564F"/>
    <w:rsid w:val="000A590B"/>
    <w:rsid w:val="000A663C"/>
    <w:rsid w:val="000A734C"/>
    <w:rsid w:val="000A76FF"/>
    <w:rsid w:val="000B03F4"/>
    <w:rsid w:val="000B08E8"/>
    <w:rsid w:val="000B0EA6"/>
    <w:rsid w:val="000B1154"/>
    <w:rsid w:val="000B2F61"/>
    <w:rsid w:val="000B3CB0"/>
    <w:rsid w:val="000B4059"/>
    <w:rsid w:val="000B4EED"/>
    <w:rsid w:val="000B5BC7"/>
    <w:rsid w:val="000B6647"/>
    <w:rsid w:val="000B76D8"/>
    <w:rsid w:val="000B78BD"/>
    <w:rsid w:val="000C1177"/>
    <w:rsid w:val="000C1A1C"/>
    <w:rsid w:val="000C1F88"/>
    <w:rsid w:val="000C2D05"/>
    <w:rsid w:val="000C349B"/>
    <w:rsid w:val="000C3A04"/>
    <w:rsid w:val="000C3AE7"/>
    <w:rsid w:val="000C3B88"/>
    <w:rsid w:val="000C3DE6"/>
    <w:rsid w:val="000C47C1"/>
    <w:rsid w:val="000C5A2F"/>
    <w:rsid w:val="000C5C0A"/>
    <w:rsid w:val="000C5E73"/>
    <w:rsid w:val="000C5ED0"/>
    <w:rsid w:val="000C5EEF"/>
    <w:rsid w:val="000C6260"/>
    <w:rsid w:val="000C6450"/>
    <w:rsid w:val="000C73C4"/>
    <w:rsid w:val="000C749E"/>
    <w:rsid w:val="000D03E3"/>
    <w:rsid w:val="000D0C9E"/>
    <w:rsid w:val="000D1153"/>
    <w:rsid w:val="000D136F"/>
    <w:rsid w:val="000D1E10"/>
    <w:rsid w:val="000D1E85"/>
    <w:rsid w:val="000D23C0"/>
    <w:rsid w:val="000D3D1A"/>
    <w:rsid w:val="000D4DFE"/>
    <w:rsid w:val="000D63DB"/>
    <w:rsid w:val="000D6EEE"/>
    <w:rsid w:val="000D755D"/>
    <w:rsid w:val="000D76EE"/>
    <w:rsid w:val="000D77BD"/>
    <w:rsid w:val="000D7F54"/>
    <w:rsid w:val="000E0634"/>
    <w:rsid w:val="000E0CB2"/>
    <w:rsid w:val="000E15B8"/>
    <w:rsid w:val="000E1827"/>
    <w:rsid w:val="000E18FE"/>
    <w:rsid w:val="000E2DFF"/>
    <w:rsid w:val="000E3858"/>
    <w:rsid w:val="000E48B0"/>
    <w:rsid w:val="000E5815"/>
    <w:rsid w:val="000E5C16"/>
    <w:rsid w:val="000E5D0D"/>
    <w:rsid w:val="000E61F0"/>
    <w:rsid w:val="000E6434"/>
    <w:rsid w:val="000E66FD"/>
    <w:rsid w:val="000E7550"/>
    <w:rsid w:val="000E7BD4"/>
    <w:rsid w:val="000F0328"/>
    <w:rsid w:val="000F24D4"/>
    <w:rsid w:val="000F2F4E"/>
    <w:rsid w:val="000F38D5"/>
    <w:rsid w:val="000F4313"/>
    <w:rsid w:val="000F4B28"/>
    <w:rsid w:val="000F53B8"/>
    <w:rsid w:val="000F54FD"/>
    <w:rsid w:val="000F574B"/>
    <w:rsid w:val="000F5A2C"/>
    <w:rsid w:val="000F5A5A"/>
    <w:rsid w:val="000F630A"/>
    <w:rsid w:val="000F6389"/>
    <w:rsid w:val="0010225F"/>
    <w:rsid w:val="0010311B"/>
    <w:rsid w:val="001042E3"/>
    <w:rsid w:val="0010496F"/>
    <w:rsid w:val="0010588B"/>
    <w:rsid w:val="00105EDD"/>
    <w:rsid w:val="0010758F"/>
    <w:rsid w:val="00107F2D"/>
    <w:rsid w:val="001105B7"/>
    <w:rsid w:val="001121E6"/>
    <w:rsid w:val="0011340A"/>
    <w:rsid w:val="00114E41"/>
    <w:rsid w:val="00116014"/>
    <w:rsid w:val="0011651D"/>
    <w:rsid w:val="00117B9B"/>
    <w:rsid w:val="00120045"/>
    <w:rsid w:val="001205BE"/>
    <w:rsid w:val="00121323"/>
    <w:rsid w:val="0012198A"/>
    <w:rsid w:val="0012238F"/>
    <w:rsid w:val="001223D6"/>
    <w:rsid w:val="001224A0"/>
    <w:rsid w:val="0012451A"/>
    <w:rsid w:val="001246A8"/>
    <w:rsid w:val="001246AB"/>
    <w:rsid w:val="00124872"/>
    <w:rsid w:val="00124C1B"/>
    <w:rsid w:val="00125427"/>
    <w:rsid w:val="001256B6"/>
    <w:rsid w:val="00125EA4"/>
    <w:rsid w:val="0012622B"/>
    <w:rsid w:val="001262BB"/>
    <w:rsid w:val="001276CA"/>
    <w:rsid w:val="0013032C"/>
    <w:rsid w:val="001304DC"/>
    <w:rsid w:val="00130994"/>
    <w:rsid w:val="001309D6"/>
    <w:rsid w:val="00131225"/>
    <w:rsid w:val="00131770"/>
    <w:rsid w:val="00132164"/>
    <w:rsid w:val="00132217"/>
    <w:rsid w:val="001336FF"/>
    <w:rsid w:val="00133CD2"/>
    <w:rsid w:val="0013442D"/>
    <w:rsid w:val="00134BF6"/>
    <w:rsid w:val="00135403"/>
    <w:rsid w:val="001354AA"/>
    <w:rsid w:val="00135C1F"/>
    <w:rsid w:val="00136CCA"/>
    <w:rsid w:val="00136E9B"/>
    <w:rsid w:val="00137477"/>
    <w:rsid w:val="001374B3"/>
    <w:rsid w:val="00141FAB"/>
    <w:rsid w:val="00142F12"/>
    <w:rsid w:val="00143289"/>
    <w:rsid w:val="00144322"/>
    <w:rsid w:val="001455C6"/>
    <w:rsid w:val="001458FB"/>
    <w:rsid w:val="00145B85"/>
    <w:rsid w:val="00145D76"/>
    <w:rsid w:val="001462E9"/>
    <w:rsid w:val="00146455"/>
    <w:rsid w:val="00146F26"/>
    <w:rsid w:val="00147462"/>
    <w:rsid w:val="001511DE"/>
    <w:rsid w:val="00151525"/>
    <w:rsid w:val="00151F8F"/>
    <w:rsid w:val="0015245C"/>
    <w:rsid w:val="00152D54"/>
    <w:rsid w:val="00153F34"/>
    <w:rsid w:val="001542FE"/>
    <w:rsid w:val="00155185"/>
    <w:rsid w:val="00155BEF"/>
    <w:rsid w:val="00155D11"/>
    <w:rsid w:val="00161820"/>
    <w:rsid w:val="001621F8"/>
    <w:rsid w:val="001623A2"/>
    <w:rsid w:val="00162706"/>
    <w:rsid w:val="001638B8"/>
    <w:rsid w:val="00164162"/>
    <w:rsid w:val="001642CE"/>
    <w:rsid w:val="0016588D"/>
    <w:rsid w:val="00166218"/>
    <w:rsid w:val="001667C5"/>
    <w:rsid w:val="00166A4B"/>
    <w:rsid w:val="00166D71"/>
    <w:rsid w:val="00166E5D"/>
    <w:rsid w:val="00166EBF"/>
    <w:rsid w:val="00167819"/>
    <w:rsid w:val="0017003C"/>
    <w:rsid w:val="001714A9"/>
    <w:rsid w:val="00171675"/>
    <w:rsid w:val="00172400"/>
    <w:rsid w:val="00173D2B"/>
    <w:rsid w:val="00173DB5"/>
    <w:rsid w:val="00176533"/>
    <w:rsid w:val="00177053"/>
    <w:rsid w:val="00181197"/>
    <w:rsid w:val="00181233"/>
    <w:rsid w:val="001817A2"/>
    <w:rsid w:val="0018184D"/>
    <w:rsid w:val="001847CA"/>
    <w:rsid w:val="00185B63"/>
    <w:rsid w:val="00186734"/>
    <w:rsid w:val="0018695B"/>
    <w:rsid w:val="00186A85"/>
    <w:rsid w:val="00190EB4"/>
    <w:rsid w:val="001911E5"/>
    <w:rsid w:val="00191BA1"/>
    <w:rsid w:val="001931DB"/>
    <w:rsid w:val="001933FF"/>
    <w:rsid w:val="00193601"/>
    <w:rsid w:val="001949C9"/>
    <w:rsid w:val="00194F7B"/>
    <w:rsid w:val="00195177"/>
    <w:rsid w:val="00195475"/>
    <w:rsid w:val="00195782"/>
    <w:rsid w:val="001966A1"/>
    <w:rsid w:val="00197322"/>
    <w:rsid w:val="00197518"/>
    <w:rsid w:val="001A0394"/>
    <w:rsid w:val="001A0AF5"/>
    <w:rsid w:val="001A0C8D"/>
    <w:rsid w:val="001A1B64"/>
    <w:rsid w:val="001A20B7"/>
    <w:rsid w:val="001A20C5"/>
    <w:rsid w:val="001A239A"/>
    <w:rsid w:val="001A26B9"/>
    <w:rsid w:val="001A2922"/>
    <w:rsid w:val="001A3523"/>
    <w:rsid w:val="001A35CA"/>
    <w:rsid w:val="001A3E50"/>
    <w:rsid w:val="001A43E2"/>
    <w:rsid w:val="001A4761"/>
    <w:rsid w:val="001A4E4A"/>
    <w:rsid w:val="001A50EC"/>
    <w:rsid w:val="001A5D97"/>
    <w:rsid w:val="001A68F9"/>
    <w:rsid w:val="001A7363"/>
    <w:rsid w:val="001A73F0"/>
    <w:rsid w:val="001A77CF"/>
    <w:rsid w:val="001A78DE"/>
    <w:rsid w:val="001B0F84"/>
    <w:rsid w:val="001B171F"/>
    <w:rsid w:val="001B2133"/>
    <w:rsid w:val="001B30FD"/>
    <w:rsid w:val="001B357D"/>
    <w:rsid w:val="001B3D5F"/>
    <w:rsid w:val="001B4819"/>
    <w:rsid w:val="001B5773"/>
    <w:rsid w:val="001B6E8E"/>
    <w:rsid w:val="001B7008"/>
    <w:rsid w:val="001C00EE"/>
    <w:rsid w:val="001C0146"/>
    <w:rsid w:val="001C02E3"/>
    <w:rsid w:val="001C0388"/>
    <w:rsid w:val="001C040B"/>
    <w:rsid w:val="001C080B"/>
    <w:rsid w:val="001C1DE9"/>
    <w:rsid w:val="001C2412"/>
    <w:rsid w:val="001C26D1"/>
    <w:rsid w:val="001C4FA0"/>
    <w:rsid w:val="001C5A22"/>
    <w:rsid w:val="001C619C"/>
    <w:rsid w:val="001C71E9"/>
    <w:rsid w:val="001C7BD8"/>
    <w:rsid w:val="001D1FC1"/>
    <w:rsid w:val="001D250B"/>
    <w:rsid w:val="001D4E9E"/>
    <w:rsid w:val="001D78D8"/>
    <w:rsid w:val="001D7E02"/>
    <w:rsid w:val="001E1252"/>
    <w:rsid w:val="001E1858"/>
    <w:rsid w:val="001E18D7"/>
    <w:rsid w:val="001E1966"/>
    <w:rsid w:val="001E21F2"/>
    <w:rsid w:val="001E27EB"/>
    <w:rsid w:val="001E2ECF"/>
    <w:rsid w:val="001E3A75"/>
    <w:rsid w:val="001E3F8B"/>
    <w:rsid w:val="001E4F76"/>
    <w:rsid w:val="001E5628"/>
    <w:rsid w:val="001E5910"/>
    <w:rsid w:val="001E5E24"/>
    <w:rsid w:val="001E716C"/>
    <w:rsid w:val="001E7280"/>
    <w:rsid w:val="001E73BE"/>
    <w:rsid w:val="001F0789"/>
    <w:rsid w:val="001F09A8"/>
    <w:rsid w:val="001F09B8"/>
    <w:rsid w:val="001F0EE1"/>
    <w:rsid w:val="001F1040"/>
    <w:rsid w:val="001F32BF"/>
    <w:rsid w:val="001F35B5"/>
    <w:rsid w:val="001F3A86"/>
    <w:rsid w:val="001F41E9"/>
    <w:rsid w:val="001F435C"/>
    <w:rsid w:val="001F6969"/>
    <w:rsid w:val="001F6F76"/>
    <w:rsid w:val="002008DC"/>
    <w:rsid w:val="00200E8A"/>
    <w:rsid w:val="002012FA"/>
    <w:rsid w:val="00201483"/>
    <w:rsid w:val="00201C41"/>
    <w:rsid w:val="00201FDA"/>
    <w:rsid w:val="00201FE0"/>
    <w:rsid w:val="00204344"/>
    <w:rsid w:val="00204DE9"/>
    <w:rsid w:val="002053B2"/>
    <w:rsid w:val="002072F4"/>
    <w:rsid w:val="0020731C"/>
    <w:rsid w:val="002102C5"/>
    <w:rsid w:val="0021092E"/>
    <w:rsid w:val="0021138E"/>
    <w:rsid w:val="0021140F"/>
    <w:rsid w:val="00211C1D"/>
    <w:rsid w:val="00212161"/>
    <w:rsid w:val="00213125"/>
    <w:rsid w:val="00213D09"/>
    <w:rsid w:val="002143AD"/>
    <w:rsid w:val="00216CCA"/>
    <w:rsid w:val="002170D7"/>
    <w:rsid w:val="00217F98"/>
    <w:rsid w:val="002204B3"/>
    <w:rsid w:val="0022119E"/>
    <w:rsid w:val="002214EB"/>
    <w:rsid w:val="00221882"/>
    <w:rsid w:val="00221897"/>
    <w:rsid w:val="00221E5D"/>
    <w:rsid w:val="002223EF"/>
    <w:rsid w:val="00222BFE"/>
    <w:rsid w:val="002246A6"/>
    <w:rsid w:val="0022534E"/>
    <w:rsid w:val="0022548A"/>
    <w:rsid w:val="0022673B"/>
    <w:rsid w:val="00226B06"/>
    <w:rsid w:val="002271EC"/>
    <w:rsid w:val="00227558"/>
    <w:rsid w:val="002301CD"/>
    <w:rsid w:val="0023083F"/>
    <w:rsid w:val="00231D98"/>
    <w:rsid w:val="00232629"/>
    <w:rsid w:val="00232D97"/>
    <w:rsid w:val="0023328E"/>
    <w:rsid w:val="002332FC"/>
    <w:rsid w:val="00235159"/>
    <w:rsid w:val="0023740C"/>
    <w:rsid w:val="00240ED8"/>
    <w:rsid w:val="00243218"/>
    <w:rsid w:val="00243755"/>
    <w:rsid w:val="00243BF4"/>
    <w:rsid w:val="00243FB3"/>
    <w:rsid w:val="00244292"/>
    <w:rsid w:val="002445FD"/>
    <w:rsid w:val="00244746"/>
    <w:rsid w:val="00246ABC"/>
    <w:rsid w:val="00247401"/>
    <w:rsid w:val="00250589"/>
    <w:rsid w:val="002506C9"/>
    <w:rsid w:val="002514C5"/>
    <w:rsid w:val="0025160D"/>
    <w:rsid w:val="00251989"/>
    <w:rsid w:val="0025224B"/>
    <w:rsid w:val="00252417"/>
    <w:rsid w:val="00254254"/>
    <w:rsid w:val="0025477B"/>
    <w:rsid w:val="00255291"/>
    <w:rsid w:val="002557AA"/>
    <w:rsid w:val="00255C14"/>
    <w:rsid w:val="00256268"/>
    <w:rsid w:val="002565C7"/>
    <w:rsid w:val="00256DC2"/>
    <w:rsid w:val="00256E9F"/>
    <w:rsid w:val="002571C1"/>
    <w:rsid w:val="00257DF3"/>
    <w:rsid w:val="0026023F"/>
    <w:rsid w:val="00260833"/>
    <w:rsid w:val="00260A96"/>
    <w:rsid w:val="0026132E"/>
    <w:rsid w:val="0026278F"/>
    <w:rsid w:val="0026316D"/>
    <w:rsid w:val="0026323F"/>
    <w:rsid w:val="00264F85"/>
    <w:rsid w:val="002654DC"/>
    <w:rsid w:val="00265B11"/>
    <w:rsid w:val="002665E7"/>
    <w:rsid w:val="00267522"/>
    <w:rsid w:val="002706B1"/>
    <w:rsid w:val="0027116F"/>
    <w:rsid w:val="00272269"/>
    <w:rsid w:val="0027290C"/>
    <w:rsid w:val="00275346"/>
    <w:rsid w:val="002767C6"/>
    <w:rsid w:val="0028003A"/>
    <w:rsid w:val="00280B04"/>
    <w:rsid w:val="00280EAA"/>
    <w:rsid w:val="00281144"/>
    <w:rsid w:val="00284E78"/>
    <w:rsid w:val="00285B3B"/>
    <w:rsid w:val="00285BC2"/>
    <w:rsid w:val="00286246"/>
    <w:rsid w:val="00287F70"/>
    <w:rsid w:val="00290995"/>
    <w:rsid w:val="00291731"/>
    <w:rsid w:val="00291769"/>
    <w:rsid w:val="00291E48"/>
    <w:rsid w:val="00291E81"/>
    <w:rsid w:val="00291E96"/>
    <w:rsid w:val="00291FCB"/>
    <w:rsid w:val="00292270"/>
    <w:rsid w:val="00293D58"/>
    <w:rsid w:val="0029481E"/>
    <w:rsid w:val="00294C41"/>
    <w:rsid w:val="00295CA1"/>
    <w:rsid w:val="0029665E"/>
    <w:rsid w:val="00296B32"/>
    <w:rsid w:val="0029712A"/>
    <w:rsid w:val="002A22FC"/>
    <w:rsid w:val="002A24FD"/>
    <w:rsid w:val="002A2A9A"/>
    <w:rsid w:val="002A2E5A"/>
    <w:rsid w:val="002A2FF4"/>
    <w:rsid w:val="002A36A2"/>
    <w:rsid w:val="002A3C75"/>
    <w:rsid w:val="002A3D2F"/>
    <w:rsid w:val="002A4625"/>
    <w:rsid w:val="002A4945"/>
    <w:rsid w:val="002A4DD3"/>
    <w:rsid w:val="002A4EBF"/>
    <w:rsid w:val="002A5287"/>
    <w:rsid w:val="002A5738"/>
    <w:rsid w:val="002A711D"/>
    <w:rsid w:val="002A7834"/>
    <w:rsid w:val="002A78D1"/>
    <w:rsid w:val="002A79B4"/>
    <w:rsid w:val="002A7CD0"/>
    <w:rsid w:val="002B0A26"/>
    <w:rsid w:val="002B1064"/>
    <w:rsid w:val="002B14F5"/>
    <w:rsid w:val="002B1799"/>
    <w:rsid w:val="002B1C61"/>
    <w:rsid w:val="002B1F77"/>
    <w:rsid w:val="002B2071"/>
    <w:rsid w:val="002B28D7"/>
    <w:rsid w:val="002B2D30"/>
    <w:rsid w:val="002B2E0D"/>
    <w:rsid w:val="002B3456"/>
    <w:rsid w:val="002B53C3"/>
    <w:rsid w:val="002B5C76"/>
    <w:rsid w:val="002B6DC2"/>
    <w:rsid w:val="002B6FF3"/>
    <w:rsid w:val="002B73D9"/>
    <w:rsid w:val="002B7474"/>
    <w:rsid w:val="002C006A"/>
    <w:rsid w:val="002C0419"/>
    <w:rsid w:val="002C1D51"/>
    <w:rsid w:val="002C1E88"/>
    <w:rsid w:val="002C20BC"/>
    <w:rsid w:val="002C26F9"/>
    <w:rsid w:val="002C2F9A"/>
    <w:rsid w:val="002C439C"/>
    <w:rsid w:val="002C48F7"/>
    <w:rsid w:val="002C54B8"/>
    <w:rsid w:val="002C6740"/>
    <w:rsid w:val="002C6E56"/>
    <w:rsid w:val="002C6FFE"/>
    <w:rsid w:val="002C728E"/>
    <w:rsid w:val="002D0684"/>
    <w:rsid w:val="002D0B0D"/>
    <w:rsid w:val="002D3C70"/>
    <w:rsid w:val="002D3ECF"/>
    <w:rsid w:val="002D4376"/>
    <w:rsid w:val="002D4A99"/>
    <w:rsid w:val="002D54B1"/>
    <w:rsid w:val="002D5F9C"/>
    <w:rsid w:val="002D6C5A"/>
    <w:rsid w:val="002E07AD"/>
    <w:rsid w:val="002E1347"/>
    <w:rsid w:val="002E1C6B"/>
    <w:rsid w:val="002E254A"/>
    <w:rsid w:val="002E2A1E"/>
    <w:rsid w:val="002E2F40"/>
    <w:rsid w:val="002E328A"/>
    <w:rsid w:val="002E34E9"/>
    <w:rsid w:val="002E44EB"/>
    <w:rsid w:val="002E49E5"/>
    <w:rsid w:val="002E54C5"/>
    <w:rsid w:val="002E5A40"/>
    <w:rsid w:val="002E6BCE"/>
    <w:rsid w:val="002E6DFC"/>
    <w:rsid w:val="002E72BD"/>
    <w:rsid w:val="002F044B"/>
    <w:rsid w:val="002F04F1"/>
    <w:rsid w:val="002F1567"/>
    <w:rsid w:val="002F1A2A"/>
    <w:rsid w:val="002F2AE3"/>
    <w:rsid w:val="002F2BBB"/>
    <w:rsid w:val="002F2D12"/>
    <w:rsid w:val="002F2E7C"/>
    <w:rsid w:val="002F40EF"/>
    <w:rsid w:val="002F5E55"/>
    <w:rsid w:val="002F6610"/>
    <w:rsid w:val="002F67CA"/>
    <w:rsid w:val="002F704A"/>
    <w:rsid w:val="002F7092"/>
    <w:rsid w:val="002F76DF"/>
    <w:rsid w:val="002F7B52"/>
    <w:rsid w:val="002F7F55"/>
    <w:rsid w:val="00300E12"/>
    <w:rsid w:val="0030103A"/>
    <w:rsid w:val="0030116B"/>
    <w:rsid w:val="003027C5"/>
    <w:rsid w:val="0030357C"/>
    <w:rsid w:val="00303DC5"/>
    <w:rsid w:val="0030476D"/>
    <w:rsid w:val="00305792"/>
    <w:rsid w:val="003062D2"/>
    <w:rsid w:val="00307C0D"/>
    <w:rsid w:val="003100BC"/>
    <w:rsid w:val="00310B30"/>
    <w:rsid w:val="00310C96"/>
    <w:rsid w:val="003118BF"/>
    <w:rsid w:val="00311C46"/>
    <w:rsid w:val="003132E2"/>
    <w:rsid w:val="00313B26"/>
    <w:rsid w:val="00313F54"/>
    <w:rsid w:val="0031414B"/>
    <w:rsid w:val="00314430"/>
    <w:rsid w:val="00314B53"/>
    <w:rsid w:val="00314EED"/>
    <w:rsid w:val="003155E5"/>
    <w:rsid w:val="003158BA"/>
    <w:rsid w:val="00315DD8"/>
    <w:rsid w:val="00315FA5"/>
    <w:rsid w:val="00316FDB"/>
    <w:rsid w:val="00320976"/>
    <w:rsid w:val="0032099E"/>
    <w:rsid w:val="0032136C"/>
    <w:rsid w:val="003216E0"/>
    <w:rsid w:val="003231C8"/>
    <w:rsid w:val="003258E2"/>
    <w:rsid w:val="00325FC7"/>
    <w:rsid w:val="003263E4"/>
    <w:rsid w:val="003265D2"/>
    <w:rsid w:val="0032680D"/>
    <w:rsid w:val="00326FE6"/>
    <w:rsid w:val="00327822"/>
    <w:rsid w:val="003303C7"/>
    <w:rsid w:val="00330B0E"/>
    <w:rsid w:val="0033260A"/>
    <w:rsid w:val="0033271F"/>
    <w:rsid w:val="003335F3"/>
    <w:rsid w:val="00333965"/>
    <w:rsid w:val="0033429E"/>
    <w:rsid w:val="00334708"/>
    <w:rsid w:val="003354B7"/>
    <w:rsid w:val="003358AE"/>
    <w:rsid w:val="00337ACD"/>
    <w:rsid w:val="0034038E"/>
    <w:rsid w:val="0034084F"/>
    <w:rsid w:val="0034092F"/>
    <w:rsid w:val="00340A72"/>
    <w:rsid w:val="00340DFC"/>
    <w:rsid w:val="0034180F"/>
    <w:rsid w:val="00342317"/>
    <w:rsid w:val="0034238A"/>
    <w:rsid w:val="003425E9"/>
    <w:rsid w:val="00343790"/>
    <w:rsid w:val="00343995"/>
    <w:rsid w:val="0034404E"/>
    <w:rsid w:val="003440F5"/>
    <w:rsid w:val="00344A7E"/>
    <w:rsid w:val="00344CE6"/>
    <w:rsid w:val="003450F4"/>
    <w:rsid w:val="003453D0"/>
    <w:rsid w:val="003457D5"/>
    <w:rsid w:val="0034597C"/>
    <w:rsid w:val="00345B01"/>
    <w:rsid w:val="00346114"/>
    <w:rsid w:val="00346CA1"/>
    <w:rsid w:val="003474EC"/>
    <w:rsid w:val="00347B10"/>
    <w:rsid w:val="00347ED3"/>
    <w:rsid w:val="00351A01"/>
    <w:rsid w:val="003525B9"/>
    <w:rsid w:val="0035486A"/>
    <w:rsid w:val="00355D18"/>
    <w:rsid w:val="003568C7"/>
    <w:rsid w:val="00356A81"/>
    <w:rsid w:val="00357F14"/>
    <w:rsid w:val="00361D6D"/>
    <w:rsid w:val="00363ADA"/>
    <w:rsid w:val="0036439E"/>
    <w:rsid w:val="0036449D"/>
    <w:rsid w:val="00364541"/>
    <w:rsid w:val="0037018C"/>
    <w:rsid w:val="00370478"/>
    <w:rsid w:val="00370B65"/>
    <w:rsid w:val="00371A30"/>
    <w:rsid w:val="003726F6"/>
    <w:rsid w:val="00373078"/>
    <w:rsid w:val="003740AF"/>
    <w:rsid w:val="003753B3"/>
    <w:rsid w:val="00375960"/>
    <w:rsid w:val="00375C25"/>
    <w:rsid w:val="0037668C"/>
    <w:rsid w:val="0037755D"/>
    <w:rsid w:val="00377D50"/>
    <w:rsid w:val="00380015"/>
    <w:rsid w:val="00380A19"/>
    <w:rsid w:val="003815BC"/>
    <w:rsid w:val="00381B02"/>
    <w:rsid w:val="00383F8D"/>
    <w:rsid w:val="00384DE3"/>
    <w:rsid w:val="00385274"/>
    <w:rsid w:val="00385938"/>
    <w:rsid w:val="00386EBE"/>
    <w:rsid w:val="003872B0"/>
    <w:rsid w:val="00387324"/>
    <w:rsid w:val="00390064"/>
    <w:rsid w:val="00390CC9"/>
    <w:rsid w:val="00390F30"/>
    <w:rsid w:val="00391820"/>
    <w:rsid w:val="00391A9D"/>
    <w:rsid w:val="00392466"/>
    <w:rsid w:val="00392A16"/>
    <w:rsid w:val="0039402C"/>
    <w:rsid w:val="00394A27"/>
    <w:rsid w:val="00394CD9"/>
    <w:rsid w:val="00395C63"/>
    <w:rsid w:val="00396844"/>
    <w:rsid w:val="00397C82"/>
    <w:rsid w:val="00397CF0"/>
    <w:rsid w:val="003A17B6"/>
    <w:rsid w:val="003A1DB4"/>
    <w:rsid w:val="003A39CB"/>
    <w:rsid w:val="003A3F0D"/>
    <w:rsid w:val="003A4734"/>
    <w:rsid w:val="003A4A2B"/>
    <w:rsid w:val="003A5514"/>
    <w:rsid w:val="003A59EC"/>
    <w:rsid w:val="003A5A92"/>
    <w:rsid w:val="003A6D52"/>
    <w:rsid w:val="003A6F14"/>
    <w:rsid w:val="003A796B"/>
    <w:rsid w:val="003A7F5F"/>
    <w:rsid w:val="003B169A"/>
    <w:rsid w:val="003B2DEC"/>
    <w:rsid w:val="003B4287"/>
    <w:rsid w:val="003B6B8B"/>
    <w:rsid w:val="003B6EB6"/>
    <w:rsid w:val="003B6F56"/>
    <w:rsid w:val="003B700C"/>
    <w:rsid w:val="003B7FF6"/>
    <w:rsid w:val="003C04DA"/>
    <w:rsid w:val="003C14D2"/>
    <w:rsid w:val="003C16BF"/>
    <w:rsid w:val="003C1F3A"/>
    <w:rsid w:val="003C271C"/>
    <w:rsid w:val="003C31EC"/>
    <w:rsid w:val="003C32FE"/>
    <w:rsid w:val="003C3429"/>
    <w:rsid w:val="003C3791"/>
    <w:rsid w:val="003C3F1A"/>
    <w:rsid w:val="003C55CF"/>
    <w:rsid w:val="003C570C"/>
    <w:rsid w:val="003C57D2"/>
    <w:rsid w:val="003C58AA"/>
    <w:rsid w:val="003C5C77"/>
    <w:rsid w:val="003C6206"/>
    <w:rsid w:val="003C69D5"/>
    <w:rsid w:val="003C70B2"/>
    <w:rsid w:val="003C7509"/>
    <w:rsid w:val="003C7640"/>
    <w:rsid w:val="003C7965"/>
    <w:rsid w:val="003C7DAB"/>
    <w:rsid w:val="003C7EFD"/>
    <w:rsid w:val="003D0036"/>
    <w:rsid w:val="003D010A"/>
    <w:rsid w:val="003D0627"/>
    <w:rsid w:val="003D096D"/>
    <w:rsid w:val="003D14C9"/>
    <w:rsid w:val="003D225C"/>
    <w:rsid w:val="003D2CBF"/>
    <w:rsid w:val="003D3A9E"/>
    <w:rsid w:val="003D469B"/>
    <w:rsid w:val="003D4AC7"/>
    <w:rsid w:val="003D4FE6"/>
    <w:rsid w:val="003D5050"/>
    <w:rsid w:val="003D6116"/>
    <w:rsid w:val="003D6DDF"/>
    <w:rsid w:val="003D7A8F"/>
    <w:rsid w:val="003E044E"/>
    <w:rsid w:val="003E046E"/>
    <w:rsid w:val="003E09C1"/>
    <w:rsid w:val="003E0C41"/>
    <w:rsid w:val="003E0F43"/>
    <w:rsid w:val="003E1E3E"/>
    <w:rsid w:val="003E1E5B"/>
    <w:rsid w:val="003E24DC"/>
    <w:rsid w:val="003E3975"/>
    <w:rsid w:val="003E4898"/>
    <w:rsid w:val="003E503B"/>
    <w:rsid w:val="003E58A5"/>
    <w:rsid w:val="003E7011"/>
    <w:rsid w:val="003E726D"/>
    <w:rsid w:val="003E735F"/>
    <w:rsid w:val="003E76B1"/>
    <w:rsid w:val="003E7D54"/>
    <w:rsid w:val="003E7DAC"/>
    <w:rsid w:val="003F0FBA"/>
    <w:rsid w:val="003F3106"/>
    <w:rsid w:val="003F31B0"/>
    <w:rsid w:val="003F42B7"/>
    <w:rsid w:val="003F460C"/>
    <w:rsid w:val="003F46E9"/>
    <w:rsid w:val="003F4A35"/>
    <w:rsid w:val="003F5344"/>
    <w:rsid w:val="003F58E9"/>
    <w:rsid w:val="003F70F1"/>
    <w:rsid w:val="003F7124"/>
    <w:rsid w:val="003F7BFD"/>
    <w:rsid w:val="00402488"/>
    <w:rsid w:val="0040367D"/>
    <w:rsid w:val="004037DD"/>
    <w:rsid w:val="00403B42"/>
    <w:rsid w:val="00403BB3"/>
    <w:rsid w:val="00403C44"/>
    <w:rsid w:val="00405054"/>
    <w:rsid w:val="00406C1E"/>
    <w:rsid w:val="00406FF6"/>
    <w:rsid w:val="00407217"/>
    <w:rsid w:val="004076C1"/>
    <w:rsid w:val="0040776D"/>
    <w:rsid w:val="00407AA7"/>
    <w:rsid w:val="0041149E"/>
    <w:rsid w:val="00411A1C"/>
    <w:rsid w:val="0041206F"/>
    <w:rsid w:val="004129D1"/>
    <w:rsid w:val="00413330"/>
    <w:rsid w:val="004142D9"/>
    <w:rsid w:val="0041610D"/>
    <w:rsid w:val="00416819"/>
    <w:rsid w:val="0041690D"/>
    <w:rsid w:val="00416B41"/>
    <w:rsid w:val="00416BD2"/>
    <w:rsid w:val="0041761B"/>
    <w:rsid w:val="0041771A"/>
    <w:rsid w:val="00417BBA"/>
    <w:rsid w:val="004205F3"/>
    <w:rsid w:val="00420DAF"/>
    <w:rsid w:val="00420DE3"/>
    <w:rsid w:val="00420E89"/>
    <w:rsid w:val="00423875"/>
    <w:rsid w:val="00424706"/>
    <w:rsid w:val="00424ED1"/>
    <w:rsid w:val="00425E03"/>
    <w:rsid w:val="004308D0"/>
    <w:rsid w:val="00430E84"/>
    <w:rsid w:val="004310E7"/>
    <w:rsid w:val="00431115"/>
    <w:rsid w:val="00431EC3"/>
    <w:rsid w:val="004326CB"/>
    <w:rsid w:val="00433A25"/>
    <w:rsid w:val="00433F0A"/>
    <w:rsid w:val="00434034"/>
    <w:rsid w:val="00435A08"/>
    <w:rsid w:val="004363DD"/>
    <w:rsid w:val="0043645C"/>
    <w:rsid w:val="004368F7"/>
    <w:rsid w:val="00436BBA"/>
    <w:rsid w:val="00437730"/>
    <w:rsid w:val="00437866"/>
    <w:rsid w:val="00437F78"/>
    <w:rsid w:val="004408E5"/>
    <w:rsid w:val="004414DD"/>
    <w:rsid w:val="004419D5"/>
    <w:rsid w:val="00442701"/>
    <w:rsid w:val="00442A94"/>
    <w:rsid w:val="0044386D"/>
    <w:rsid w:val="00444480"/>
    <w:rsid w:val="00445F19"/>
    <w:rsid w:val="00446527"/>
    <w:rsid w:val="00446959"/>
    <w:rsid w:val="00447DC9"/>
    <w:rsid w:val="004507AF"/>
    <w:rsid w:val="00450F62"/>
    <w:rsid w:val="00451992"/>
    <w:rsid w:val="00451CC2"/>
    <w:rsid w:val="0045232C"/>
    <w:rsid w:val="0045265B"/>
    <w:rsid w:val="004526C1"/>
    <w:rsid w:val="00452C2A"/>
    <w:rsid w:val="00455621"/>
    <w:rsid w:val="00455F32"/>
    <w:rsid w:val="00456A7F"/>
    <w:rsid w:val="00457FD1"/>
    <w:rsid w:val="00460BC2"/>
    <w:rsid w:val="004619F8"/>
    <w:rsid w:val="00461B0A"/>
    <w:rsid w:val="00464D24"/>
    <w:rsid w:val="00467D20"/>
    <w:rsid w:val="00467E98"/>
    <w:rsid w:val="0047126B"/>
    <w:rsid w:val="004731DC"/>
    <w:rsid w:val="0047410A"/>
    <w:rsid w:val="004745DD"/>
    <w:rsid w:val="00475058"/>
    <w:rsid w:val="00475C38"/>
    <w:rsid w:val="00477ADF"/>
    <w:rsid w:val="00480149"/>
    <w:rsid w:val="00480288"/>
    <w:rsid w:val="004809E6"/>
    <w:rsid w:val="00480DCA"/>
    <w:rsid w:val="004819BE"/>
    <w:rsid w:val="00482937"/>
    <w:rsid w:val="0048293C"/>
    <w:rsid w:val="00482BF7"/>
    <w:rsid w:val="00483470"/>
    <w:rsid w:val="00485BA8"/>
    <w:rsid w:val="00485C89"/>
    <w:rsid w:val="00486C61"/>
    <w:rsid w:val="00487D67"/>
    <w:rsid w:val="0049153C"/>
    <w:rsid w:val="00492AA1"/>
    <w:rsid w:val="00493C29"/>
    <w:rsid w:val="00493D34"/>
    <w:rsid w:val="00495897"/>
    <w:rsid w:val="0049735E"/>
    <w:rsid w:val="00497F3E"/>
    <w:rsid w:val="004A044F"/>
    <w:rsid w:val="004A1A0D"/>
    <w:rsid w:val="004A2460"/>
    <w:rsid w:val="004A40F1"/>
    <w:rsid w:val="004A4775"/>
    <w:rsid w:val="004A47D9"/>
    <w:rsid w:val="004A4FCE"/>
    <w:rsid w:val="004A54AE"/>
    <w:rsid w:val="004A5848"/>
    <w:rsid w:val="004A5ABB"/>
    <w:rsid w:val="004A6D51"/>
    <w:rsid w:val="004A7AF3"/>
    <w:rsid w:val="004B0D27"/>
    <w:rsid w:val="004B1029"/>
    <w:rsid w:val="004B113B"/>
    <w:rsid w:val="004B1C7B"/>
    <w:rsid w:val="004B1E37"/>
    <w:rsid w:val="004B39F7"/>
    <w:rsid w:val="004B5801"/>
    <w:rsid w:val="004B5912"/>
    <w:rsid w:val="004B69DB"/>
    <w:rsid w:val="004B744C"/>
    <w:rsid w:val="004B7BAC"/>
    <w:rsid w:val="004C0E0F"/>
    <w:rsid w:val="004C156E"/>
    <w:rsid w:val="004C1644"/>
    <w:rsid w:val="004C19E3"/>
    <w:rsid w:val="004C1FF8"/>
    <w:rsid w:val="004C2B0E"/>
    <w:rsid w:val="004C454F"/>
    <w:rsid w:val="004C512D"/>
    <w:rsid w:val="004C6539"/>
    <w:rsid w:val="004C723D"/>
    <w:rsid w:val="004C769E"/>
    <w:rsid w:val="004D0063"/>
    <w:rsid w:val="004D0E17"/>
    <w:rsid w:val="004D110D"/>
    <w:rsid w:val="004D125A"/>
    <w:rsid w:val="004D178F"/>
    <w:rsid w:val="004D2310"/>
    <w:rsid w:val="004D35E8"/>
    <w:rsid w:val="004D3D25"/>
    <w:rsid w:val="004D3E59"/>
    <w:rsid w:val="004D59A5"/>
    <w:rsid w:val="004D5E11"/>
    <w:rsid w:val="004D7EA3"/>
    <w:rsid w:val="004D7EBB"/>
    <w:rsid w:val="004E0624"/>
    <w:rsid w:val="004E07C9"/>
    <w:rsid w:val="004E09B6"/>
    <w:rsid w:val="004E10B2"/>
    <w:rsid w:val="004E1F6B"/>
    <w:rsid w:val="004E2DA5"/>
    <w:rsid w:val="004E4A10"/>
    <w:rsid w:val="004E4A88"/>
    <w:rsid w:val="004E4D05"/>
    <w:rsid w:val="004E4D30"/>
    <w:rsid w:val="004E5784"/>
    <w:rsid w:val="004E64FA"/>
    <w:rsid w:val="004E7389"/>
    <w:rsid w:val="004E73C6"/>
    <w:rsid w:val="004E7529"/>
    <w:rsid w:val="004F16FC"/>
    <w:rsid w:val="004F26FD"/>
    <w:rsid w:val="004F2FBE"/>
    <w:rsid w:val="004F3065"/>
    <w:rsid w:val="004F3293"/>
    <w:rsid w:val="004F37E3"/>
    <w:rsid w:val="004F4D76"/>
    <w:rsid w:val="004F5606"/>
    <w:rsid w:val="004F74FA"/>
    <w:rsid w:val="00500252"/>
    <w:rsid w:val="00500DE9"/>
    <w:rsid w:val="0050100D"/>
    <w:rsid w:val="00501F59"/>
    <w:rsid w:val="0050224E"/>
    <w:rsid w:val="0050435A"/>
    <w:rsid w:val="00504969"/>
    <w:rsid w:val="00505696"/>
    <w:rsid w:val="005068F3"/>
    <w:rsid w:val="005071C5"/>
    <w:rsid w:val="00507FCE"/>
    <w:rsid w:val="0051122B"/>
    <w:rsid w:val="0051218F"/>
    <w:rsid w:val="005138C7"/>
    <w:rsid w:val="00513D66"/>
    <w:rsid w:val="00514A34"/>
    <w:rsid w:val="00514CD0"/>
    <w:rsid w:val="00515078"/>
    <w:rsid w:val="0051542A"/>
    <w:rsid w:val="00517080"/>
    <w:rsid w:val="00517254"/>
    <w:rsid w:val="00517702"/>
    <w:rsid w:val="00520355"/>
    <w:rsid w:val="00520B85"/>
    <w:rsid w:val="005220B6"/>
    <w:rsid w:val="00522D81"/>
    <w:rsid w:val="005230EB"/>
    <w:rsid w:val="00523927"/>
    <w:rsid w:val="00523D09"/>
    <w:rsid w:val="00526E13"/>
    <w:rsid w:val="00527B60"/>
    <w:rsid w:val="00530D92"/>
    <w:rsid w:val="005318C8"/>
    <w:rsid w:val="005322FC"/>
    <w:rsid w:val="00532695"/>
    <w:rsid w:val="00532FEA"/>
    <w:rsid w:val="005335CD"/>
    <w:rsid w:val="00533B96"/>
    <w:rsid w:val="0053447A"/>
    <w:rsid w:val="005344CB"/>
    <w:rsid w:val="00535655"/>
    <w:rsid w:val="005360E9"/>
    <w:rsid w:val="005361E9"/>
    <w:rsid w:val="00536328"/>
    <w:rsid w:val="00536758"/>
    <w:rsid w:val="005369B7"/>
    <w:rsid w:val="00536D65"/>
    <w:rsid w:val="00537439"/>
    <w:rsid w:val="005406B6"/>
    <w:rsid w:val="005411BF"/>
    <w:rsid w:val="0054157D"/>
    <w:rsid w:val="00542066"/>
    <w:rsid w:val="00543483"/>
    <w:rsid w:val="00543560"/>
    <w:rsid w:val="0054398B"/>
    <w:rsid w:val="00544A51"/>
    <w:rsid w:val="00545163"/>
    <w:rsid w:val="005458C7"/>
    <w:rsid w:val="005465AC"/>
    <w:rsid w:val="005477E6"/>
    <w:rsid w:val="005502B3"/>
    <w:rsid w:val="00550394"/>
    <w:rsid w:val="00550678"/>
    <w:rsid w:val="005507D5"/>
    <w:rsid w:val="00550A05"/>
    <w:rsid w:val="00551170"/>
    <w:rsid w:val="005514E1"/>
    <w:rsid w:val="00551F73"/>
    <w:rsid w:val="00552273"/>
    <w:rsid w:val="00553F76"/>
    <w:rsid w:val="00556D51"/>
    <w:rsid w:val="0056060F"/>
    <w:rsid w:val="00560618"/>
    <w:rsid w:val="00560767"/>
    <w:rsid w:val="00561247"/>
    <w:rsid w:val="00561C91"/>
    <w:rsid w:val="00561FC6"/>
    <w:rsid w:val="00562AF4"/>
    <w:rsid w:val="00562D4A"/>
    <w:rsid w:val="005630AD"/>
    <w:rsid w:val="0056325C"/>
    <w:rsid w:val="0056441E"/>
    <w:rsid w:val="00564DF5"/>
    <w:rsid w:val="00565484"/>
    <w:rsid w:val="0056550A"/>
    <w:rsid w:val="005659CD"/>
    <w:rsid w:val="00565AEC"/>
    <w:rsid w:val="00567DD9"/>
    <w:rsid w:val="005711EB"/>
    <w:rsid w:val="0057167B"/>
    <w:rsid w:val="00574AE8"/>
    <w:rsid w:val="00576A53"/>
    <w:rsid w:val="00580690"/>
    <w:rsid w:val="00580B0B"/>
    <w:rsid w:val="00581AA5"/>
    <w:rsid w:val="00581CC6"/>
    <w:rsid w:val="00584C2B"/>
    <w:rsid w:val="00585051"/>
    <w:rsid w:val="00586497"/>
    <w:rsid w:val="00587300"/>
    <w:rsid w:val="00587420"/>
    <w:rsid w:val="005875F2"/>
    <w:rsid w:val="00590518"/>
    <w:rsid w:val="0059066E"/>
    <w:rsid w:val="0059141C"/>
    <w:rsid w:val="0059190F"/>
    <w:rsid w:val="00591B28"/>
    <w:rsid w:val="0059320C"/>
    <w:rsid w:val="00593B4B"/>
    <w:rsid w:val="00593D84"/>
    <w:rsid w:val="00593FDF"/>
    <w:rsid w:val="0059577E"/>
    <w:rsid w:val="0059641D"/>
    <w:rsid w:val="00596569"/>
    <w:rsid w:val="00596C2F"/>
    <w:rsid w:val="00596F63"/>
    <w:rsid w:val="005A0BF6"/>
    <w:rsid w:val="005A118E"/>
    <w:rsid w:val="005A13FC"/>
    <w:rsid w:val="005A2699"/>
    <w:rsid w:val="005A2C2A"/>
    <w:rsid w:val="005A40B3"/>
    <w:rsid w:val="005A4713"/>
    <w:rsid w:val="005A5E97"/>
    <w:rsid w:val="005A6858"/>
    <w:rsid w:val="005A6908"/>
    <w:rsid w:val="005A7919"/>
    <w:rsid w:val="005A79D4"/>
    <w:rsid w:val="005A7ED7"/>
    <w:rsid w:val="005B13AA"/>
    <w:rsid w:val="005B452D"/>
    <w:rsid w:val="005B467B"/>
    <w:rsid w:val="005B544B"/>
    <w:rsid w:val="005B56E6"/>
    <w:rsid w:val="005B70C3"/>
    <w:rsid w:val="005B784C"/>
    <w:rsid w:val="005C0BE2"/>
    <w:rsid w:val="005C1716"/>
    <w:rsid w:val="005C282C"/>
    <w:rsid w:val="005C2FEC"/>
    <w:rsid w:val="005C39ED"/>
    <w:rsid w:val="005C4279"/>
    <w:rsid w:val="005C4B28"/>
    <w:rsid w:val="005C57D2"/>
    <w:rsid w:val="005C6387"/>
    <w:rsid w:val="005D0C03"/>
    <w:rsid w:val="005D150D"/>
    <w:rsid w:val="005D1BC4"/>
    <w:rsid w:val="005D23FA"/>
    <w:rsid w:val="005D4854"/>
    <w:rsid w:val="005E018F"/>
    <w:rsid w:val="005E031A"/>
    <w:rsid w:val="005E05A5"/>
    <w:rsid w:val="005E0EA9"/>
    <w:rsid w:val="005E15B3"/>
    <w:rsid w:val="005E1703"/>
    <w:rsid w:val="005E1AFD"/>
    <w:rsid w:val="005E1F86"/>
    <w:rsid w:val="005E227C"/>
    <w:rsid w:val="005E26AA"/>
    <w:rsid w:val="005E2C5F"/>
    <w:rsid w:val="005E3196"/>
    <w:rsid w:val="005E3424"/>
    <w:rsid w:val="005E3C3F"/>
    <w:rsid w:val="005E61D5"/>
    <w:rsid w:val="005E61EB"/>
    <w:rsid w:val="005E6346"/>
    <w:rsid w:val="005E7658"/>
    <w:rsid w:val="005F0052"/>
    <w:rsid w:val="005F0B11"/>
    <w:rsid w:val="005F1BDD"/>
    <w:rsid w:val="005F2CE6"/>
    <w:rsid w:val="005F4F53"/>
    <w:rsid w:val="005F5360"/>
    <w:rsid w:val="005F5777"/>
    <w:rsid w:val="005F5C38"/>
    <w:rsid w:val="005F62AC"/>
    <w:rsid w:val="005F742D"/>
    <w:rsid w:val="005F791C"/>
    <w:rsid w:val="005F7CE0"/>
    <w:rsid w:val="00600B0D"/>
    <w:rsid w:val="00603DB9"/>
    <w:rsid w:val="00603E39"/>
    <w:rsid w:val="0060453B"/>
    <w:rsid w:val="006055A4"/>
    <w:rsid w:val="00605656"/>
    <w:rsid w:val="00605C8F"/>
    <w:rsid w:val="006062C2"/>
    <w:rsid w:val="00606EC3"/>
    <w:rsid w:val="00607173"/>
    <w:rsid w:val="00607A8B"/>
    <w:rsid w:val="00610CE5"/>
    <w:rsid w:val="00610EAA"/>
    <w:rsid w:val="0061195E"/>
    <w:rsid w:val="006119DB"/>
    <w:rsid w:val="00611C05"/>
    <w:rsid w:val="00611CDA"/>
    <w:rsid w:val="00611E10"/>
    <w:rsid w:val="00612A05"/>
    <w:rsid w:val="00613049"/>
    <w:rsid w:val="00613B87"/>
    <w:rsid w:val="0061422D"/>
    <w:rsid w:val="00614388"/>
    <w:rsid w:val="00615A0C"/>
    <w:rsid w:val="00615CA3"/>
    <w:rsid w:val="00615F00"/>
    <w:rsid w:val="00616B30"/>
    <w:rsid w:val="00617386"/>
    <w:rsid w:val="00617C52"/>
    <w:rsid w:val="006214B9"/>
    <w:rsid w:val="00621994"/>
    <w:rsid w:val="00622884"/>
    <w:rsid w:val="0062310E"/>
    <w:rsid w:val="006233D1"/>
    <w:rsid w:val="00623C54"/>
    <w:rsid w:val="00623FC8"/>
    <w:rsid w:val="00625CC4"/>
    <w:rsid w:val="00625CEF"/>
    <w:rsid w:val="0062619B"/>
    <w:rsid w:val="0062785F"/>
    <w:rsid w:val="00627C5A"/>
    <w:rsid w:val="006306E9"/>
    <w:rsid w:val="00630D40"/>
    <w:rsid w:val="0063138C"/>
    <w:rsid w:val="00632E25"/>
    <w:rsid w:val="0063308A"/>
    <w:rsid w:val="0063327D"/>
    <w:rsid w:val="00633838"/>
    <w:rsid w:val="00635141"/>
    <w:rsid w:val="006352AD"/>
    <w:rsid w:val="006358F3"/>
    <w:rsid w:val="006359DB"/>
    <w:rsid w:val="0063775E"/>
    <w:rsid w:val="00637CDD"/>
    <w:rsid w:val="00641274"/>
    <w:rsid w:val="006417A4"/>
    <w:rsid w:val="00641A87"/>
    <w:rsid w:val="00641ECA"/>
    <w:rsid w:val="006427CD"/>
    <w:rsid w:val="00642FEC"/>
    <w:rsid w:val="0064325E"/>
    <w:rsid w:val="00643C6A"/>
    <w:rsid w:val="00643CBD"/>
    <w:rsid w:val="0064414E"/>
    <w:rsid w:val="0064471D"/>
    <w:rsid w:val="00645312"/>
    <w:rsid w:val="0064717E"/>
    <w:rsid w:val="00647693"/>
    <w:rsid w:val="00650925"/>
    <w:rsid w:val="00650B21"/>
    <w:rsid w:val="00650FB3"/>
    <w:rsid w:val="00651807"/>
    <w:rsid w:val="006527B6"/>
    <w:rsid w:val="0065307B"/>
    <w:rsid w:val="006536E0"/>
    <w:rsid w:val="00654B3B"/>
    <w:rsid w:val="00654CDF"/>
    <w:rsid w:val="00654DFB"/>
    <w:rsid w:val="0065557A"/>
    <w:rsid w:val="006572A8"/>
    <w:rsid w:val="006572ED"/>
    <w:rsid w:val="00657506"/>
    <w:rsid w:val="0066044F"/>
    <w:rsid w:val="0066106B"/>
    <w:rsid w:val="00661640"/>
    <w:rsid w:val="0066226E"/>
    <w:rsid w:val="0066345E"/>
    <w:rsid w:val="006636E4"/>
    <w:rsid w:val="00663C6C"/>
    <w:rsid w:val="006645E9"/>
    <w:rsid w:val="00664B8C"/>
    <w:rsid w:val="00664CC2"/>
    <w:rsid w:val="00664EAE"/>
    <w:rsid w:val="00665060"/>
    <w:rsid w:val="00665E6E"/>
    <w:rsid w:val="0066649D"/>
    <w:rsid w:val="00666E3A"/>
    <w:rsid w:val="006708F8"/>
    <w:rsid w:val="00671D5F"/>
    <w:rsid w:val="00671DEC"/>
    <w:rsid w:val="00671E0E"/>
    <w:rsid w:val="006720C3"/>
    <w:rsid w:val="00672695"/>
    <w:rsid w:val="00672C32"/>
    <w:rsid w:val="0067738C"/>
    <w:rsid w:val="0067794F"/>
    <w:rsid w:val="00677B54"/>
    <w:rsid w:val="00677DD9"/>
    <w:rsid w:val="00677E6E"/>
    <w:rsid w:val="00680615"/>
    <w:rsid w:val="006814EE"/>
    <w:rsid w:val="00681CAC"/>
    <w:rsid w:val="00683031"/>
    <w:rsid w:val="00686F36"/>
    <w:rsid w:val="0068706E"/>
    <w:rsid w:val="006874C8"/>
    <w:rsid w:val="00687CBF"/>
    <w:rsid w:val="00687F0F"/>
    <w:rsid w:val="00690F1D"/>
    <w:rsid w:val="00691077"/>
    <w:rsid w:val="00691A06"/>
    <w:rsid w:val="00691F58"/>
    <w:rsid w:val="006927C6"/>
    <w:rsid w:val="00692B03"/>
    <w:rsid w:val="00692C83"/>
    <w:rsid w:val="0069410B"/>
    <w:rsid w:val="006953EC"/>
    <w:rsid w:val="00695952"/>
    <w:rsid w:val="00695B29"/>
    <w:rsid w:val="0069651F"/>
    <w:rsid w:val="006972B6"/>
    <w:rsid w:val="006972E9"/>
    <w:rsid w:val="00697535"/>
    <w:rsid w:val="00697C5D"/>
    <w:rsid w:val="00697DD9"/>
    <w:rsid w:val="006A0E3E"/>
    <w:rsid w:val="006A1620"/>
    <w:rsid w:val="006A19B0"/>
    <w:rsid w:val="006A204F"/>
    <w:rsid w:val="006A27BF"/>
    <w:rsid w:val="006A2C01"/>
    <w:rsid w:val="006A2FC1"/>
    <w:rsid w:val="006A4B03"/>
    <w:rsid w:val="006A5250"/>
    <w:rsid w:val="006A529B"/>
    <w:rsid w:val="006A5663"/>
    <w:rsid w:val="006A5779"/>
    <w:rsid w:val="006A6814"/>
    <w:rsid w:val="006A6C88"/>
    <w:rsid w:val="006A7722"/>
    <w:rsid w:val="006B014F"/>
    <w:rsid w:val="006B11AB"/>
    <w:rsid w:val="006B22F1"/>
    <w:rsid w:val="006B2903"/>
    <w:rsid w:val="006B2912"/>
    <w:rsid w:val="006B3120"/>
    <w:rsid w:val="006B39B8"/>
    <w:rsid w:val="006B3E1F"/>
    <w:rsid w:val="006B4003"/>
    <w:rsid w:val="006B43AF"/>
    <w:rsid w:val="006B4E7D"/>
    <w:rsid w:val="006B7030"/>
    <w:rsid w:val="006C13EB"/>
    <w:rsid w:val="006C4A3E"/>
    <w:rsid w:val="006C4B57"/>
    <w:rsid w:val="006C5B1A"/>
    <w:rsid w:val="006C77ED"/>
    <w:rsid w:val="006C7C58"/>
    <w:rsid w:val="006D03E3"/>
    <w:rsid w:val="006D09A0"/>
    <w:rsid w:val="006D0C53"/>
    <w:rsid w:val="006D2A46"/>
    <w:rsid w:val="006D3611"/>
    <w:rsid w:val="006D531F"/>
    <w:rsid w:val="006D5A0A"/>
    <w:rsid w:val="006D5ACD"/>
    <w:rsid w:val="006D6DD1"/>
    <w:rsid w:val="006D73A7"/>
    <w:rsid w:val="006E0A49"/>
    <w:rsid w:val="006E1625"/>
    <w:rsid w:val="006E2A76"/>
    <w:rsid w:val="006E2E7A"/>
    <w:rsid w:val="006E306C"/>
    <w:rsid w:val="006E309E"/>
    <w:rsid w:val="006E32E9"/>
    <w:rsid w:val="006E495E"/>
    <w:rsid w:val="006E4D3C"/>
    <w:rsid w:val="006E51D0"/>
    <w:rsid w:val="006E52ED"/>
    <w:rsid w:val="006E5805"/>
    <w:rsid w:val="006E58FF"/>
    <w:rsid w:val="006E598C"/>
    <w:rsid w:val="006E701C"/>
    <w:rsid w:val="006E703E"/>
    <w:rsid w:val="006E7906"/>
    <w:rsid w:val="006F0091"/>
    <w:rsid w:val="006F0F09"/>
    <w:rsid w:val="006F2DA2"/>
    <w:rsid w:val="006F34B1"/>
    <w:rsid w:val="006F4448"/>
    <w:rsid w:val="006F4D9F"/>
    <w:rsid w:val="006F6B81"/>
    <w:rsid w:val="006F751A"/>
    <w:rsid w:val="006F78B3"/>
    <w:rsid w:val="006F7C1A"/>
    <w:rsid w:val="00700489"/>
    <w:rsid w:val="007019C0"/>
    <w:rsid w:val="007053FB"/>
    <w:rsid w:val="0070593E"/>
    <w:rsid w:val="00705DC9"/>
    <w:rsid w:val="007063BC"/>
    <w:rsid w:val="00706611"/>
    <w:rsid w:val="007069FD"/>
    <w:rsid w:val="00706BA3"/>
    <w:rsid w:val="007075CD"/>
    <w:rsid w:val="00707D80"/>
    <w:rsid w:val="00710F42"/>
    <w:rsid w:val="00711148"/>
    <w:rsid w:val="00711D57"/>
    <w:rsid w:val="00713175"/>
    <w:rsid w:val="00714DE2"/>
    <w:rsid w:val="00715B71"/>
    <w:rsid w:val="00715F75"/>
    <w:rsid w:val="007160AC"/>
    <w:rsid w:val="007167C3"/>
    <w:rsid w:val="007168BA"/>
    <w:rsid w:val="007174CF"/>
    <w:rsid w:val="00717F6D"/>
    <w:rsid w:val="00721103"/>
    <w:rsid w:val="007211CB"/>
    <w:rsid w:val="00721DC9"/>
    <w:rsid w:val="00722C75"/>
    <w:rsid w:val="00724385"/>
    <w:rsid w:val="00724834"/>
    <w:rsid w:val="0072520E"/>
    <w:rsid w:val="007270C4"/>
    <w:rsid w:val="00727246"/>
    <w:rsid w:val="00727C68"/>
    <w:rsid w:val="007303D3"/>
    <w:rsid w:val="0073182D"/>
    <w:rsid w:val="0073359F"/>
    <w:rsid w:val="007337FB"/>
    <w:rsid w:val="0073471C"/>
    <w:rsid w:val="00734EE4"/>
    <w:rsid w:val="00740401"/>
    <w:rsid w:val="0074050A"/>
    <w:rsid w:val="00740FFD"/>
    <w:rsid w:val="0074115A"/>
    <w:rsid w:val="00741A6C"/>
    <w:rsid w:val="007420B1"/>
    <w:rsid w:val="00742484"/>
    <w:rsid w:val="0074265F"/>
    <w:rsid w:val="00742D78"/>
    <w:rsid w:val="00742F05"/>
    <w:rsid w:val="007445EE"/>
    <w:rsid w:val="00744819"/>
    <w:rsid w:val="00744BFA"/>
    <w:rsid w:val="00745903"/>
    <w:rsid w:val="00745D49"/>
    <w:rsid w:val="00745F11"/>
    <w:rsid w:val="00746824"/>
    <w:rsid w:val="00747704"/>
    <w:rsid w:val="00747953"/>
    <w:rsid w:val="00747CB6"/>
    <w:rsid w:val="00750E0F"/>
    <w:rsid w:val="00751133"/>
    <w:rsid w:val="007515C7"/>
    <w:rsid w:val="007517F1"/>
    <w:rsid w:val="00751817"/>
    <w:rsid w:val="007532F9"/>
    <w:rsid w:val="00753571"/>
    <w:rsid w:val="00753673"/>
    <w:rsid w:val="00755C4E"/>
    <w:rsid w:val="00756FD8"/>
    <w:rsid w:val="007572F6"/>
    <w:rsid w:val="0075775F"/>
    <w:rsid w:val="00760776"/>
    <w:rsid w:val="00760972"/>
    <w:rsid w:val="00761EA5"/>
    <w:rsid w:val="00762412"/>
    <w:rsid w:val="0076380D"/>
    <w:rsid w:val="0076398C"/>
    <w:rsid w:val="007639D3"/>
    <w:rsid w:val="00763A6D"/>
    <w:rsid w:val="00763CC2"/>
    <w:rsid w:val="00765EA3"/>
    <w:rsid w:val="007662E0"/>
    <w:rsid w:val="007668DE"/>
    <w:rsid w:val="007668F1"/>
    <w:rsid w:val="00766C24"/>
    <w:rsid w:val="00767F17"/>
    <w:rsid w:val="007712F3"/>
    <w:rsid w:val="007728B0"/>
    <w:rsid w:val="007733E9"/>
    <w:rsid w:val="0077418E"/>
    <w:rsid w:val="00774A25"/>
    <w:rsid w:val="007751A9"/>
    <w:rsid w:val="00775CA3"/>
    <w:rsid w:val="00776819"/>
    <w:rsid w:val="00777552"/>
    <w:rsid w:val="007775D8"/>
    <w:rsid w:val="007811AD"/>
    <w:rsid w:val="007821DE"/>
    <w:rsid w:val="0078222F"/>
    <w:rsid w:val="007822AF"/>
    <w:rsid w:val="007829FD"/>
    <w:rsid w:val="00782A0D"/>
    <w:rsid w:val="00782D93"/>
    <w:rsid w:val="00783A78"/>
    <w:rsid w:val="00783F7B"/>
    <w:rsid w:val="00784467"/>
    <w:rsid w:val="0078585C"/>
    <w:rsid w:val="00785CFD"/>
    <w:rsid w:val="00786765"/>
    <w:rsid w:val="00786A95"/>
    <w:rsid w:val="00790663"/>
    <w:rsid w:val="007916EA"/>
    <w:rsid w:val="0079329D"/>
    <w:rsid w:val="0079492F"/>
    <w:rsid w:val="00794CF7"/>
    <w:rsid w:val="007957EC"/>
    <w:rsid w:val="00796B85"/>
    <w:rsid w:val="00797424"/>
    <w:rsid w:val="007A01FE"/>
    <w:rsid w:val="007A1E62"/>
    <w:rsid w:val="007A2439"/>
    <w:rsid w:val="007A2C43"/>
    <w:rsid w:val="007A32A8"/>
    <w:rsid w:val="007A347B"/>
    <w:rsid w:val="007A354C"/>
    <w:rsid w:val="007A40B9"/>
    <w:rsid w:val="007A50F8"/>
    <w:rsid w:val="007B07F2"/>
    <w:rsid w:val="007B148D"/>
    <w:rsid w:val="007B1789"/>
    <w:rsid w:val="007B2C67"/>
    <w:rsid w:val="007B3895"/>
    <w:rsid w:val="007B7159"/>
    <w:rsid w:val="007C0339"/>
    <w:rsid w:val="007C0FB7"/>
    <w:rsid w:val="007C29CC"/>
    <w:rsid w:val="007C2AD7"/>
    <w:rsid w:val="007C2DA8"/>
    <w:rsid w:val="007C301B"/>
    <w:rsid w:val="007C3152"/>
    <w:rsid w:val="007C343B"/>
    <w:rsid w:val="007C34D3"/>
    <w:rsid w:val="007C3D18"/>
    <w:rsid w:val="007C4613"/>
    <w:rsid w:val="007C4A1E"/>
    <w:rsid w:val="007C4F55"/>
    <w:rsid w:val="007C5048"/>
    <w:rsid w:val="007C5204"/>
    <w:rsid w:val="007C5653"/>
    <w:rsid w:val="007C7121"/>
    <w:rsid w:val="007C76DF"/>
    <w:rsid w:val="007D0B5F"/>
    <w:rsid w:val="007D0BA4"/>
    <w:rsid w:val="007D0F90"/>
    <w:rsid w:val="007D1536"/>
    <w:rsid w:val="007D23F2"/>
    <w:rsid w:val="007D2CE6"/>
    <w:rsid w:val="007D2FC7"/>
    <w:rsid w:val="007D31AF"/>
    <w:rsid w:val="007D5198"/>
    <w:rsid w:val="007D5EB2"/>
    <w:rsid w:val="007D7A99"/>
    <w:rsid w:val="007E0AEE"/>
    <w:rsid w:val="007E2514"/>
    <w:rsid w:val="007E2AA7"/>
    <w:rsid w:val="007E2C66"/>
    <w:rsid w:val="007E2E9F"/>
    <w:rsid w:val="007E32E5"/>
    <w:rsid w:val="007E32FA"/>
    <w:rsid w:val="007E3E06"/>
    <w:rsid w:val="007E499C"/>
    <w:rsid w:val="007E4A0E"/>
    <w:rsid w:val="007E7CCB"/>
    <w:rsid w:val="007F04B4"/>
    <w:rsid w:val="007F0D2B"/>
    <w:rsid w:val="007F1FAC"/>
    <w:rsid w:val="007F2D69"/>
    <w:rsid w:val="007F31DD"/>
    <w:rsid w:val="007F36B8"/>
    <w:rsid w:val="007F37C7"/>
    <w:rsid w:val="007F440C"/>
    <w:rsid w:val="007F4F0E"/>
    <w:rsid w:val="007F5087"/>
    <w:rsid w:val="007F5ABC"/>
    <w:rsid w:val="007F5D30"/>
    <w:rsid w:val="007F7812"/>
    <w:rsid w:val="007F7A34"/>
    <w:rsid w:val="007F7A9A"/>
    <w:rsid w:val="007F7AB1"/>
    <w:rsid w:val="0080257B"/>
    <w:rsid w:val="00803270"/>
    <w:rsid w:val="008065A5"/>
    <w:rsid w:val="008076DC"/>
    <w:rsid w:val="0080776E"/>
    <w:rsid w:val="008079DC"/>
    <w:rsid w:val="00807F82"/>
    <w:rsid w:val="00810E96"/>
    <w:rsid w:val="00811313"/>
    <w:rsid w:val="00811580"/>
    <w:rsid w:val="00813090"/>
    <w:rsid w:val="00813321"/>
    <w:rsid w:val="0081403C"/>
    <w:rsid w:val="0081598B"/>
    <w:rsid w:val="00815B88"/>
    <w:rsid w:val="00815EFB"/>
    <w:rsid w:val="008204A4"/>
    <w:rsid w:val="00823976"/>
    <w:rsid w:val="0082437D"/>
    <w:rsid w:val="0082498E"/>
    <w:rsid w:val="0082608D"/>
    <w:rsid w:val="008263CF"/>
    <w:rsid w:val="0082655E"/>
    <w:rsid w:val="008268AE"/>
    <w:rsid w:val="00826E86"/>
    <w:rsid w:val="008277B3"/>
    <w:rsid w:val="00830755"/>
    <w:rsid w:val="00831754"/>
    <w:rsid w:val="00831AB4"/>
    <w:rsid w:val="00832038"/>
    <w:rsid w:val="008327CD"/>
    <w:rsid w:val="008330A7"/>
    <w:rsid w:val="0083511A"/>
    <w:rsid w:val="008351BE"/>
    <w:rsid w:val="00835677"/>
    <w:rsid w:val="00835B9C"/>
    <w:rsid w:val="008367E8"/>
    <w:rsid w:val="008374D6"/>
    <w:rsid w:val="00840BB3"/>
    <w:rsid w:val="00840E0F"/>
    <w:rsid w:val="00841B67"/>
    <w:rsid w:val="0084261E"/>
    <w:rsid w:val="00843442"/>
    <w:rsid w:val="00843E03"/>
    <w:rsid w:val="00843E7B"/>
    <w:rsid w:val="00844895"/>
    <w:rsid w:val="00844BEA"/>
    <w:rsid w:val="00844E06"/>
    <w:rsid w:val="0084568F"/>
    <w:rsid w:val="00845CC3"/>
    <w:rsid w:val="00845D51"/>
    <w:rsid w:val="00846329"/>
    <w:rsid w:val="008466D6"/>
    <w:rsid w:val="00846723"/>
    <w:rsid w:val="00847115"/>
    <w:rsid w:val="00847B6B"/>
    <w:rsid w:val="00850194"/>
    <w:rsid w:val="0085042D"/>
    <w:rsid w:val="0085058E"/>
    <w:rsid w:val="008506BE"/>
    <w:rsid w:val="00850901"/>
    <w:rsid w:val="00850DF4"/>
    <w:rsid w:val="00851EEE"/>
    <w:rsid w:val="008520A0"/>
    <w:rsid w:val="00853232"/>
    <w:rsid w:val="008547C3"/>
    <w:rsid w:val="00854852"/>
    <w:rsid w:val="00855581"/>
    <w:rsid w:val="0085586D"/>
    <w:rsid w:val="0085600F"/>
    <w:rsid w:val="008560A9"/>
    <w:rsid w:val="00856796"/>
    <w:rsid w:val="008570D9"/>
    <w:rsid w:val="00860094"/>
    <w:rsid w:val="00861490"/>
    <w:rsid w:val="00861CB1"/>
    <w:rsid w:val="00862097"/>
    <w:rsid w:val="008620B3"/>
    <w:rsid w:val="008620D9"/>
    <w:rsid w:val="00862986"/>
    <w:rsid w:val="0086335A"/>
    <w:rsid w:val="00863D4B"/>
    <w:rsid w:val="00864547"/>
    <w:rsid w:val="00865917"/>
    <w:rsid w:val="008679B1"/>
    <w:rsid w:val="00867D7C"/>
    <w:rsid w:val="00867D9F"/>
    <w:rsid w:val="0087121D"/>
    <w:rsid w:val="0087152C"/>
    <w:rsid w:val="00872394"/>
    <w:rsid w:val="008727AA"/>
    <w:rsid w:val="00873448"/>
    <w:rsid w:val="0087368F"/>
    <w:rsid w:val="008738C4"/>
    <w:rsid w:val="00873DB1"/>
    <w:rsid w:val="00874C62"/>
    <w:rsid w:val="00875B10"/>
    <w:rsid w:val="0087633F"/>
    <w:rsid w:val="00876A80"/>
    <w:rsid w:val="00876C73"/>
    <w:rsid w:val="00877290"/>
    <w:rsid w:val="00880947"/>
    <w:rsid w:val="0088105C"/>
    <w:rsid w:val="008814C9"/>
    <w:rsid w:val="008829A5"/>
    <w:rsid w:val="008841C3"/>
    <w:rsid w:val="00884B5B"/>
    <w:rsid w:val="00884DCB"/>
    <w:rsid w:val="008867D1"/>
    <w:rsid w:val="00886FEB"/>
    <w:rsid w:val="008909A4"/>
    <w:rsid w:val="0089168F"/>
    <w:rsid w:val="00891D8B"/>
    <w:rsid w:val="00893923"/>
    <w:rsid w:val="00893FF8"/>
    <w:rsid w:val="008945E6"/>
    <w:rsid w:val="008955A4"/>
    <w:rsid w:val="0089738A"/>
    <w:rsid w:val="0089750D"/>
    <w:rsid w:val="008977D9"/>
    <w:rsid w:val="008978B5"/>
    <w:rsid w:val="008A11CD"/>
    <w:rsid w:val="008A1B45"/>
    <w:rsid w:val="008A2128"/>
    <w:rsid w:val="008A2B51"/>
    <w:rsid w:val="008A3A3D"/>
    <w:rsid w:val="008A3BDE"/>
    <w:rsid w:val="008A4463"/>
    <w:rsid w:val="008A6325"/>
    <w:rsid w:val="008A68D6"/>
    <w:rsid w:val="008A7AEB"/>
    <w:rsid w:val="008B03E6"/>
    <w:rsid w:val="008B09CC"/>
    <w:rsid w:val="008B1AF6"/>
    <w:rsid w:val="008B1B11"/>
    <w:rsid w:val="008B2331"/>
    <w:rsid w:val="008B3043"/>
    <w:rsid w:val="008B4541"/>
    <w:rsid w:val="008B59F6"/>
    <w:rsid w:val="008B5E8F"/>
    <w:rsid w:val="008B6E88"/>
    <w:rsid w:val="008B7093"/>
    <w:rsid w:val="008B76CC"/>
    <w:rsid w:val="008C0A62"/>
    <w:rsid w:val="008C0C47"/>
    <w:rsid w:val="008C17E1"/>
    <w:rsid w:val="008C2C3C"/>
    <w:rsid w:val="008C34BF"/>
    <w:rsid w:val="008C3F07"/>
    <w:rsid w:val="008C41BB"/>
    <w:rsid w:val="008C4A2D"/>
    <w:rsid w:val="008C5FCA"/>
    <w:rsid w:val="008C655E"/>
    <w:rsid w:val="008D0030"/>
    <w:rsid w:val="008D0BC4"/>
    <w:rsid w:val="008D16EF"/>
    <w:rsid w:val="008D171F"/>
    <w:rsid w:val="008D1B8D"/>
    <w:rsid w:val="008D256C"/>
    <w:rsid w:val="008D33FB"/>
    <w:rsid w:val="008D52C4"/>
    <w:rsid w:val="008E0019"/>
    <w:rsid w:val="008E03B5"/>
    <w:rsid w:val="008E1682"/>
    <w:rsid w:val="008E20C4"/>
    <w:rsid w:val="008E226A"/>
    <w:rsid w:val="008E2824"/>
    <w:rsid w:val="008E2F00"/>
    <w:rsid w:val="008E3172"/>
    <w:rsid w:val="008E335A"/>
    <w:rsid w:val="008E344C"/>
    <w:rsid w:val="008E3807"/>
    <w:rsid w:val="008E3CB5"/>
    <w:rsid w:val="008E44AB"/>
    <w:rsid w:val="008E469B"/>
    <w:rsid w:val="008E472B"/>
    <w:rsid w:val="008E48B6"/>
    <w:rsid w:val="008E5C9F"/>
    <w:rsid w:val="008E5CD7"/>
    <w:rsid w:val="008E7641"/>
    <w:rsid w:val="008E7C4A"/>
    <w:rsid w:val="008F069F"/>
    <w:rsid w:val="008F1D94"/>
    <w:rsid w:val="008F2397"/>
    <w:rsid w:val="008F2E90"/>
    <w:rsid w:val="008F36FB"/>
    <w:rsid w:val="008F3C9A"/>
    <w:rsid w:val="008F402C"/>
    <w:rsid w:val="008F4C1C"/>
    <w:rsid w:val="008F5382"/>
    <w:rsid w:val="008F6415"/>
    <w:rsid w:val="008F66B7"/>
    <w:rsid w:val="008F697F"/>
    <w:rsid w:val="008F6F5A"/>
    <w:rsid w:val="008F712D"/>
    <w:rsid w:val="008F7402"/>
    <w:rsid w:val="008F764C"/>
    <w:rsid w:val="008F7818"/>
    <w:rsid w:val="008F79EA"/>
    <w:rsid w:val="00900108"/>
    <w:rsid w:val="0090067C"/>
    <w:rsid w:val="00900D47"/>
    <w:rsid w:val="009013E2"/>
    <w:rsid w:val="00901E48"/>
    <w:rsid w:val="009025EB"/>
    <w:rsid w:val="00903DB9"/>
    <w:rsid w:val="0090461A"/>
    <w:rsid w:val="00904E30"/>
    <w:rsid w:val="00906C35"/>
    <w:rsid w:val="00911D89"/>
    <w:rsid w:val="00912457"/>
    <w:rsid w:val="00913CE5"/>
    <w:rsid w:val="0091410A"/>
    <w:rsid w:val="00914479"/>
    <w:rsid w:val="00916C33"/>
    <w:rsid w:val="0091762F"/>
    <w:rsid w:val="00917C4E"/>
    <w:rsid w:val="0092010D"/>
    <w:rsid w:val="009212AD"/>
    <w:rsid w:val="00922476"/>
    <w:rsid w:val="00922EE2"/>
    <w:rsid w:val="00923280"/>
    <w:rsid w:val="00923560"/>
    <w:rsid w:val="00924019"/>
    <w:rsid w:val="00924BC1"/>
    <w:rsid w:val="0092591C"/>
    <w:rsid w:val="0092654E"/>
    <w:rsid w:val="009270AE"/>
    <w:rsid w:val="009273C2"/>
    <w:rsid w:val="009275ED"/>
    <w:rsid w:val="00931A5D"/>
    <w:rsid w:val="00932C51"/>
    <w:rsid w:val="00932F9C"/>
    <w:rsid w:val="009331A9"/>
    <w:rsid w:val="00933E59"/>
    <w:rsid w:val="00934137"/>
    <w:rsid w:val="00936177"/>
    <w:rsid w:val="00937645"/>
    <w:rsid w:val="00941B7D"/>
    <w:rsid w:val="00941B80"/>
    <w:rsid w:val="0094274B"/>
    <w:rsid w:val="00942953"/>
    <w:rsid w:val="009449F1"/>
    <w:rsid w:val="00945805"/>
    <w:rsid w:val="00945CC1"/>
    <w:rsid w:val="00946C29"/>
    <w:rsid w:val="00946DB6"/>
    <w:rsid w:val="00946F5C"/>
    <w:rsid w:val="00950078"/>
    <w:rsid w:val="00951AB3"/>
    <w:rsid w:val="00951F71"/>
    <w:rsid w:val="009527B4"/>
    <w:rsid w:val="00953046"/>
    <w:rsid w:val="009541E8"/>
    <w:rsid w:val="0095476C"/>
    <w:rsid w:val="00955099"/>
    <w:rsid w:val="00955CFF"/>
    <w:rsid w:val="00956C33"/>
    <w:rsid w:val="00956F02"/>
    <w:rsid w:val="00957259"/>
    <w:rsid w:val="00957A01"/>
    <w:rsid w:val="00957A2B"/>
    <w:rsid w:val="00960674"/>
    <w:rsid w:val="009606AC"/>
    <w:rsid w:val="0096172C"/>
    <w:rsid w:val="00961CAA"/>
    <w:rsid w:val="00962B4F"/>
    <w:rsid w:val="00962D96"/>
    <w:rsid w:val="009640B1"/>
    <w:rsid w:val="009641C6"/>
    <w:rsid w:val="00964455"/>
    <w:rsid w:val="00964600"/>
    <w:rsid w:val="00965B72"/>
    <w:rsid w:val="00967AAF"/>
    <w:rsid w:val="009715A0"/>
    <w:rsid w:val="0097186D"/>
    <w:rsid w:val="00971CBC"/>
    <w:rsid w:val="0097201C"/>
    <w:rsid w:val="009744BC"/>
    <w:rsid w:val="00974998"/>
    <w:rsid w:val="00975779"/>
    <w:rsid w:val="00975D15"/>
    <w:rsid w:val="00976411"/>
    <w:rsid w:val="009803B0"/>
    <w:rsid w:val="00981121"/>
    <w:rsid w:val="00981286"/>
    <w:rsid w:val="009814B8"/>
    <w:rsid w:val="00981B1A"/>
    <w:rsid w:val="00981CD5"/>
    <w:rsid w:val="00983C37"/>
    <w:rsid w:val="00985EC9"/>
    <w:rsid w:val="00986ED8"/>
    <w:rsid w:val="009904E4"/>
    <w:rsid w:val="00991160"/>
    <w:rsid w:val="009947E0"/>
    <w:rsid w:val="00994F59"/>
    <w:rsid w:val="0099528B"/>
    <w:rsid w:val="00996647"/>
    <w:rsid w:val="009A00A9"/>
    <w:rsid w:val="009A0677"/>
    <w:rsid w:val="009A15C7"/>
    <w:rsid w:val="009A3C47"/>
    <w:rsid w:val="009A5259"/>
    <w:rsid w:val="009A5AD0"/>
    <w:rsid w:val="009A63C2"/>
    <w:rsid w:val="009A6E2D"/>
    <w:rsid w:val="009A7C21"/>
    <w:rsid w:val="009A7DD3"/>
    <w:rsid w:val="009B1B4D"/>
    <w:rsid w:val="009B3256"/>
    <w:rsid w:val="009B4938"/>
    <w:rsid w:val="009B4E03"/>
    <w:rsid w:val="009B4E25"/>
    <w:rsid w:val="009B4EEB"/>
    <w:rsid w:val="009B524E"/>
    <w:rsid w:val="009B5D5E"/>
    <w:rsid w:val="009B6867"/>
    <w:rsid w:val="009B6AD7"/>
    <w:rsid w:val="009B742B"/>
    <w:rsid w:val="009B79EA"/>
    <w:rsid w:val="009C1DFA"/>
    <w:rsid w:val="009C2202"/>
    <w:rsid w:val="009C251C"/>
    <w:rsid w:val="009C2C46"/>
    <w:rsid w:val="009C383E"/>
    <w:rsid w:val="009C416B"/>
    <w:rsid w:val="009C4175"/>
    <w:rsid w:val="009C46F8"/>
    <w:rsid w:val="009C5A76"/>
    <w:rsid w:val="009C5A9D"/>
    <w:rsid w:val="009C5BAE"/>
    <w:rsid w:val="009C677E"/>
    <w:rsid w:val="009C6A90"/>
    <w:rsid w:val="009C700E"/>
    <w:rsid w:val="009C7752"/>
    <w:rsid w:val="009D07C7"/>
    <w:rsid w:val="009D0BA8"/>
    <w:rsid w:val="009D0F2D"/>
    <w:rsid w:val="009D11AA"/>
    <w:rsid w:val="009D1685"/>
    <w:rsid w:val="009D2596"/>
    <w:rsid w:val="009D319D"/>
    <w:rsid w:val="009D4214"/>
    <w:rsid w:val="009D4232"/>
    <w:rsid w:val="009D424E"/>
    <w:rsid w:val="009D4E0A"/>
    <w:rsid w:val="009D50F3"/>
    <w:rsid w:val="009D5C2B"/>
    <w:rsid w:val="009D6B31"/>
    <w:rsid w:val="009D7599"/>
    <w:rsid w:val="009D7D72"/>
    <w:rsid w:val="009D7EB1"/>
    <w:rsid w:val="009D7F87"/>
    <w:rsid w:val="009E1D6F"/>
    <w:rsid w:val="009E29E6"/>
    <w:rsid w:val="009E4EFD"/>
    <w:rsid w:val="009E608C"/>
    <w:rsid w:val="009E6289"/>
    <w:rsid w:val="009E67EB"/>
    <w:rsid w:val="009E6C68"/>
    <w:rsid w:val="009F14DB"/>
    <w:rsid w:val="009F1C70"/>
    <w:rsid w:val="009F249A"/>
    <w:rsid w:val="009F2DC5"/>
    <w:rsid w:val="009F3A4C"/>
    <w:rsid w:val="009F4D8F"/>
    <w:rsid w:val="009F6DEC"/>
    <w:rsid w:val="00A00079"/>
    <w:rsid w:val="00A00828"/>
    <w:rsid w:val="00A00C44"/>
    <w:rsid w:val="00A01AFD"/>
    <w:rsid w:val="00A0457A"/>
    <w:rsid w:val="00A04789"/>
    <w:rsid w:val="00A04CAF"/>
    <w:rsid w:val="00A05BA8"/>
    <w:rsid w:val="00A05FEA"/>
    <w:rsid w:val="00A062DF"/>
    <w:rsid w:val="00A06582"/>
    <w:rsid w:val="00A06732"/>
    <w:rsid w:val="00A0700C"/>
    <w:rsid w:val="00A0784C"/>
    <w:rsid w:val="00A12252"/>
    <w:rsid w:val="00A1280F"/>
    <w:rsid w:val="00A129DE"/>
    <w:rsid w:val="00A13101"/>
    <w:rsid w:val="00A14CA1"/>
    <w:rsid w:val="00A161F6"/>
    <w:rsid w:val="00A16919"/>
    <w:rsid w:val="00A16E72"/>
    <w:rsid w:val="00A16FB8"/>
    <w:rsid w:val="00A17571"/>
    <w:rsid w:val="00A17DC0"/>
    <w:rsid w:val="00A2114B"/>
    <w:rsid w:val="00A218EB"/>
    <w:rsid w:val="00A232B6"/>
    <w:rsid w:val="00A23A97"/>
    <w:rsid w:val="00A24339"/>
    <w:rsid w:val="00A24600"/>
    <w:rsid w:val="00A24DE8"/>
    <w:rsid w:val="00A24F30"/>
    <w:rsid w:val="00A25271"/>
    <w:rsid w:val="00A2563A"/>
    <w:rsid w:val="00A27BBE"/>
    <w:rsid w:val="00A27F59"/>
    <w:rsid w:val="00A30146"/>
    <w:rsid w:val="00A30347"/>
    <w:rsid w:val="00A31842"/>
    <w:rsid w:val="00A32AFA"/>
    <w:rsid w:val="00A35273"/>
    <w:rsid w:val="00A35879"/>
    <w:rsid w:val="00A35D3D"/>
    <w:rsid w:val="00A35E66"/>
    <w:rsid w:val="00A3635F"/>
    <w:rsid w:val="00A366E0"/>
    <w:rsid w:val="00A36845"/>
    <w:rsid w:val="00A37A11"/>
    <w:rsid w:val="00A37D43"/>
    <w:rsid w:val="00A40B79"/>
    <w:rsid w:val="00A418C0"/>
    <w:rsid w:val="00A42A9B"/>
    <w:rsid w:val="00A42C6B"/>
    <w:rsid w:val="00A42E2A"/>
    <w:rsid w:val="00A43EF2"/>
    <w:rsid w:val="00A46EB2"/>
    <w:rsid w:val="00A46F74"/>
    <w:rsid w:val="00A46F88"/>
    <w:rsid w:val="00A47C4D"/>
    <w:rsid w:val="00A50116"/>
    <w:rsid w:val="00A52E8A"/>
    <w:rsid w:val="00A5380D"/>
    <w:rsid w:val="00A53B74"/>
    <w:rsid w:val="00A53BC0"/>
    <w:rsid w:val="00A542A6"/>
    <w:rsid w:val="00A54D2C"/>
    <w:rsid w:val="00A55CA8"/>
    <w:rsid w:val="00A55CF9"/>
    <w:rsid w:val="00A56ECB"/>
    <w:rsid w:val="00A57199"/>
    <w:rsid w:val="00A6003C"/>
    <w:rsid w:val="00A60BE5"/>
    <w:rsid w:val="00A60EE8"/>
    <w:rsid w:val="00A6106B"/>
    <w:rsid w:val="00A6167A"/>
    <w:rsid w:val="00A61EB6"/>
    <w:rsid w:val="00A61FDA"/>
    <w:rsid w:val="00A625A8"/>
    <w:rsid w:val="00A62752"/>
    <w:rsid w:val="00A62FAC"/>
    <w:rsid w:val="00A638E2"/>
    <w:rsid w:val="00A640EB"/>
    <w:rsid w:val="00A7026F"/>
    <w:rsid w:val="00A70618"/>
    <w:rsid w:val="00A70B0E"/>
    <w:rsid w:val="00A70BE3"/>
    <w:rsid w:val="00A70C61"/>
    <w:rsid w:val="00A71587"/>
    <w:rsid w:val="00A71610"/>
    <w:rsid w:val="00A7193C"/>
    <w:rsid w:val="00A7332A"/>
    <w:rsid w:val="00A74FAE"/>
    <w:rsid w:val="00A74FBC"/>
    <w:rsid w:val="00A76287"/>
    <w:rsid w:val="00A76603"/>
    <w:rsid w:val="00A77C7E"/>
    <w:rsid w:val="00A80501"/>
    <w:rsid w:val="00A81220"/>
    <w:rsid w:val="00A8184C"/>
    <w:rsid w:val="00A83846"/>
    <w:rsid w:val="00A845FB"/>
    <w:rsid w:val="00A8487F"/>
    <w:rsid w:val="00A84ABA"/>
    <w:rsid w:val="00A87CAB"/>
    <w:rsid w:val="00A87EE2"/>
    <w:rsid w:val="00A9009C"/>
    <w:rsid w:val="00A90D8C"/>
    <w:rsid w:val="00A91C4D"/>
    <w:rsid w:val="00A94B27"/>
    <w:rsid w:val="00A94E2B"/>
    <w:rsid w:val="00A954E2"/>
    <w:rsid w:val="00A95B62"/>
    <w:rsid w:val="00A96260"/>
    <w:rsid w:val="00A970CD"/>
    <w:rsid w:val="00A97BBC"/>
    <w:rsid w:val="00A97CFE"/>
    <w:rsid w:val="00AA07FF"/>
    <w:rsid w:val="00AA10AE"/>
    <w:rsid w:val="00AA1CED"/>
    <w:rsid w:val="00AA1DFA"/>
    <w:rsid w:val="00AA2714"/>
    <w:rsid w:val="00AA354D"/>
    <w:rsid w:val="00AA373E"/>
    <w:rsid w:val="00AA4396"/>
    <w:rsid w:val="00AA4610"/>
    <w:rsid w:val="00AA5908"/>
    <w:rsid w:val="00AA5C1F"/>
    <w:rsid w:val="00AA63D3"/>
    <w:rsid w:val="00AA71CA"/>
    <w:rsid w:val="00AA7319"/>
    <w:rsid w:val="00AA7340"/>
    <w:rsid w:val="00AA7A03"/>
    <w:rsid w:val="00AB1D49"/>
    <w:rsid w:val="00AB2D39"/>
    <w:rsid w:val="00AB642E"/>
    <w:rsid w:val="00AB732C"/>
    <w:rsid w:val="00AC056A"/>
    <w:rsid w:val="00AC158D"/>
    <w:rsid w:val="00AC1D63"/>
    <w:rsid w:val="00AC2D10"/>
    <w:rsid w:val="00AC37F4"/>
    <w:rsid w:val="00AC3D36"/>
    <w:rsid w:val="00AC4198"/>
    <w:rsid w:val="00AC4C9D"/>
    <w:rsid w:val="00AC5179"/>
    <w:rsid w:val="00AC5C6A"/>
    <w:rsid w:val="00AC65DF"/>
    <w:rsid w:val="00AC6EB8"/>
    <w:rsid w:val="00AC7F10"/>
    <w:rsid w:val="00AC7F1C"/>
    <w:rsid w:val="00AD0FF5"/>
    <w:rsid w:val="00AD19D9"/>
    <w:rsid w:val="00AD1E9E"/>
    <w:rsid w:val="00AD1EA4"/>
    <w:rsid w:val="00AD23D5"/>
    <w:rsid w:val="00AD40F9"/>
    <w:rsid w:val="00AD4172"/>
    <w:rsid w:val="00AD45ED"/>
    <w:rsid w:val="00AD510D"/>
    <w:rsid w:val="00AD550C"/>
    <w:rsid w:val="00AD5A8A"/>
    <w:rsid w:val="00AD6C44"/>
    <w:rsid w:val="00AD6C94"/>
    <w:rsid w:val="00AD76BC"/>
    <w:rsid w:val="00AD78E4"/>
    <w:rsid w:val="00AD7DA6"/>
    <w:rsid w:val="00AE0260"/>
    <w:rsid w:val="00AE08B8"/>
    <w:rsid w:val="00AE0B3D"/>
    <w:rsid w:val="00AE139E"/>
    <w:rsid w:val="00AE1FDE"/>
    <w:rsid w:val="00AE22DD"/>
    <w:rsid w:val="00AE2FB4"/>
    <w:rsid w:val="00AE32D4"/>
    <w:rsid w:val="00AE53A4"/>
    <w:rsid w:val="00AE5E3D"/>
    <w:rsid w:val="00AE6CC9"/>
    <w:rsid w:val="00AE7EB2"/>
    <w:rsid w:val="00AF1A5C"/>
    <w:rsid w:val="00AF1E0E"/>
    <w:rsid w:val="00AF26A8"/>
    <w:rsid w:val="00AF285E"/>
    <w:rsid w:val="00AF287C"/>
    <w:rsid w:val="00AF28DA"/>
    <w:rsid w:val="00AF2BFD"/>
    <w:rsid w:val="00AF2D21"/>
    <w:rsid w:val="00AF33EB"/>
    <w:rsid w:val="00AF3C6A"/>
    <w:rsid w:val="00AF3E9B"/>
    <w:rsid w:val="00AF4542"/>
    <w:rsid w:val="00AF5B20"/>
    <w:rsid w:val="00AF6E7F"/>
    <w:rsid w:val="00AF745F"/>
    <w:rsid w:val="00B004BB"/>
    <w:rsid w:val="00B0110B"/>
    <w:rsid w:val="00B01AF3"/>
    <w:rsid w:val="00B02443"/>
    <w:rsid w:val="00B03001"/>
    <w:rsid w:val="00B03BC3"/>
    <w:rsid w:val="00B05336"/>
    <w:rsid w:val="00B054FA"/>
    <w:rsid w:val="00B066D0"/>
    <w:rsid w:val="00B06CB1"/>
    <w:rsid w:val="00B0731F"/>
    <w:rsid w:val="00B079FD"/>
    <w:rsid w:val="00B1049C"/>
    <w:rsid w:val="00B10CD8"/>
    <w:rsid w:val="00B1198F"/>
    <w:rsid w:val="00B12173"/>
    <w:rsid w:val="00B12478"/>
    <w:rsid w:val="00B12520"/>
    <w:rsid w:val="00B12737"/>
    <w:rsid w:val="00B13720"/>
    <w:rsid w:val="00B13FFA"/>
    <w:rsid w:val="00B1574E"/>
    <w:rsid w:val="00B157FE"/>
    <w:rsid w:val="00B15E49"/>
    <w:rsid w:val="00B1665B"/>
    <w:rsid w:val="00B177B8"/>
    <w:rsid w:val="00B204A2"/>
    <w:rsid w:val="00B208E6"/>
    <w:rsid w:val="00B2107E"/>
    <w:rsid w:val="00B21178"/>
    <w:rsid w:val="00B21D22"/>
    <w:rsid w:val="00B21E43"/>
    <w:rsid w:val="00B22094"/>
    <w:rsid w:val="00B220E6"/>
    <w:rsid w:val="00B2213B"/>
    <w:rsid w:val="00B221C2"/>
    <w:rsid w:val="00B22588"/>
    <w:rsid w:val="00B23120"/>
    <w:rsid w:val="00B23AD5"/>
    <w:rsid w:val="00B23E87"/>
    <w:rsid w:val="00B23EBC"/>
    <w:rsid w:val="00B240B8"/>
    <w:rsid w:val="00B24D5D"/>
    <w:rsid w:val="00B2577E"/>
    <w:rsid w:val="00B26633"/>
    <w:rsid w:val="00B26BA8"/>
    <w:rsid w:val="00B270CC"/>
    <w:rsid w:val="00B30122"/>
    <w:rsid w:val="00B30DAA"/>
    <w:rsid w:val="00B30FB0"/>
    <w:rsid w:val="00B311EB"/>
    <w:rsid w:val="00B313C2"/>
    <w:rsid w:val="00B31F25"/>
    <w:rsid w:val="00B32033"/>
    <w:rsid w:val="00B321A9"/>
    <w:rsid w:val="00B32815"/>
    <w:rsid w:val="00B332D4"/>
    <w:rsid w:val="00B33460"/>
    <w:rsid w:val="00B342A8"/>
    <w:rsid w:val="00B34EF0"/>
    <w:rsid w:val="00B35094"/>
    <w:rsid w:val="00B3623E"/>
    <w:rsid w:val="00B36329"/>
    <w:rsid w:val="00B365A8"/>
    <w:rsid w:val="00B37773"/>
    <w:rsid w:val="00B37B0A"/>
    <w:rsid w:val="00B40196"/>
    <w:rsid w:val="00B40DDC"/>
    <w:rsid w:val="00B40F5F"/>
    <w:rsid w:val="00B41EAF"/>
    <w:rsid w:val="00B41FD7"/>
    <w:rsid w:val="00B4508C"/>
    <w:rsid w:val="00B45508"/>
    <w:rsid w:val="00B46480"/>
    <w:rsid w:val="00B46676"/>
    <w:rsid w:val="00B46BF8"/>
    <w:rsid w:val="00B47784"/>
    <w:rsid w:val="00B47DA6"/>
    <w:rsid w:val="00B503C7"/>
    <w:rsid w:val="00B52147"/>
    <w:rsid w:val="00B5292A"/>
    <w:rsid w:val="00B52AE3"/>
    <w:rsid w:val="00B53540"/>
    <w:rsid w:val="00B53C0F"/>
    <w:rsid w:val="00B54E90"/>
    <w:rsid w:val="00B5578A"/>
    <w:rsid w:val="00B55C90"/>
    <w:rsid w:val="00B55CCC"/>
    <w:rsid w:val="00B55CFD"/>
    <w:rsid w:val="00B601BA"/>
    <w:rsid w:val="00B60AF8"/>
    <w:rsid w:val="00B62AC6"/>
    <w:rsid w:val="00B63150"/>
    <w:rsid w:val="00B63155"/>
    <w:rsid w:val="00B633DA"/>
    <w:rsid w:val="00B64152"/>
    <w:rsid w:val="00B64309"/>
    <w:rsid w:val="00B64C8D"/>
    <w:rsid w:val="00B651CD"/>
    <w:rsid w:val="00B6547F"/>
    <w:rsid w:val="00B65A3A"/>
    <w:rsid w:val="00B663EF"/>
    <w:rsid w:val="00B66418"/>
    <w:rsid w:val="00B6786C"/>
    <w:rsid w:val="00B6797D"/>
    <w:rsid w:val="00B67C5D"/>
    <w:rsid w:val="00B67E2F"/>
    <w:rsid w:val="00B7034B"/>
    <w:rsid w:val="00B7095D"/>
    <w:rsid w:val="00B71D36"/>
    <w:rsid w:val="00B72ABA"/>
    <w:rsid w:val="00B72D51"/>
    <w:rsid w:val="00B75A9E"/>
    <w:rsid w:val="00B75C61"/>
    <w:rsid w:val="00B760C3"/>
    <w:rsid w:val="00B77A27"/>
    <w:rsid w:val="00B80A79"/>
    <w:rsid w:val="00B80C5A"/>
    <w:rsid w:val="00B810BC"/>
    <w:rsid w:val="00B822EB"/>
    <w:rsid w:val="00B82B0F"/>
    <w:rsid w:val="00B82E76"/>
    <w:rsid w:val="00B836A5"/>
    <w:rsid w:val="00B838EB"/>
    <w:rsid w:val="00B83E24"/>
    <w:rsid w:val="00B84497"/>
    <w:rsid w:val="00B86585"/>
    <w:rsid w:val="00B86B9A"/>
    <w:rsid w:val="00B8771A"/>
    <w:rsid w:val="00B91E18"/>
    <w:rsid w:val="00B91E49"/>
    <w:rsid w:val="00B9273F"/>
    <w:rsid w:val="00B93EC1"/>
    <w:rsid w:val="00B963C3"/>
    <w:rsid w:val="00B96BD3"/>
    <w:rsid w:val="00B9743C"/>
    <w:rsid w:val="00BA0257"/>
    <w:rsid w:val="00BA0C16"/>
    <w:rsid w:val="00BA0F97"/>
    <w:rsid w:val="00BA14EE"/>
    <w:rsid w:val="00BA1944"/>
    <w:rsid w:val="00BA20A7"/>
    <w:rsid w:val="00BA2A71"/>
    <w:rsid w:val="00BA326F"/>
    <w:rsid w:val="00BA3A03"/>
    <w:rsid w:val="00BA4ABC"/>
    <w:rsid w:val="00BA516A"/>
    <w:rsid w:val="00BA5C14"/>
    <w:rsid w:val="00BA722A"/>
    <w:rsid w:val="00BA7767"/>
    <w:rsid w:val="00BB07F8"/>
    <w:rsid w:val="00BB102F"/>
    <w:rsid w:val="00BB122E"/>
    <w:rsid w:val="00BB1628"/>
    <w:rsid w:val="00BB1E42"/>
    <w:rsid w:val="00BB25A5"/>
    <w:rsid w:val="00BB409F"/>
    <w:rsid w:val="00BB453B"/>
    <w:rsid w:val="00BB4BD6"/>
    <w:rsid w:val="00BB5A00"/>
    <w:rsid w:val="00BB5C26"/>
    <w:rsid w:val="00BB5CE5"/>
    <w:rsid w:val="00BB698B"/>
    <w:rsid w:val="00BB7067"/>
    <w:rsid w:val="00BB75A2"/>
    <w:rsid w:val="00BB7A86"/>
    <w:rsid w:val="00BC068E"/>
    <w:rsid w:val="00BC0B1C"/>
    <w:rsid w:val="00BC0BC5"/>
    <w:rsid w:val="00BC10CC"/>
    <w:rsid w:val="00BC1F0D"/>
    <w:rsid w:val="00BC24C2"/>
    <w:rsid w:val="00BC2AFA"/>
    <w:rsid w:val="00BC312D"/>
    <w:rsid w:val="00BC36A7"/>
    <w:rsid w:val="00BC3B44"/>
    <w:rsid w:val="00BC4B35"/>
    <w:rsid w:val="00BC4EB4"/>
    <w:rsid w:val="00BC4FEA"/>
    <w:rsid w:val="00BC5B14"/>
    <w:rsid w:val="00BC5C32"/>
    <w:rsid w:val="00BC5D95"/>
    <w:rsid w:val="00BC619A"/>
    <w:rsid w:val="00BC633C"/>
    <w:rsid w:val="00BC72C8"/>
    <w:rsid w:val="00BD1C47"/>
    <w:rsid w:val="00BD3438"/>
    <w:rsid w:val="00BD3D36"/>
    <w:rsid w:val="00BD43FB"/>
    <w:rsid w:val="00BD5354"/>
    <w:rsid w:val="00BD5BC0"/>
    <w:rsid w:val="00BD61A0"/>
    <w:rsid w:val="00BD7830"/>
    <w:rsid w:val="00BD7F46"/>
    <w:rsid w:val="00BE05AF"/>
    <w:rsid w:val="00BE0E70"/>
    <w:rsid w:val="00BE1B6B"/>
    <w:rsid w:val="00BE2759"/>
    <w:rsid w:val="00BE368E"/>
    <w:rsid w:val="00BE3A73"/>
    <w:rsid w:val="00BE480D"/>
    <w:rsid w:val="00BE4ED3"/>
    <w:rsid w:val="00BE5CE1"/>
    <w:rsid w:val="00BE6FFC"/>
    <w:rsid w:val="00BE723A"/>
    <w:rsid w:val="00BE7A6A"/>
    <w:rsid w:val="00BF03F3"/>
    <w:rsid w:val="00BF0707"/>
    <w:rsid w:val="00BF10EE"/>
    <w:rsid w:val="00BF28DE"/>
    <w:rsid w:val="00BF35EC"/>
    <w:rsid w:val="00BF361D"/>
    <w:rsid w:val="00BF3CA7"/>
    <w:rsid w:val="00BF4001"/>
    <w:rsid w:val="00BF4423"/>
    <w:rsid w:val="00BF62DD"/>
    <w:rsid w:val="00BF6B56"/>
    <w:rsid w:val="00BF755E"/>
    <w:rsid w:val="00BF78E6"/>
    <w:rsid w:val="00BF7EC4"/>
    <w:rsid w:val="00C0108D"/>
    <w:rsid w:val="00C04587"/>
    <w:rsid w:val="00C04800"/>
    <w:rsid w:val="00C05070"/>
    <w:rsid w:val="00C05524"/>
    <w:rsid w:val="00C06118"/>
    <w:rsid w:val="00C06168"/>
    <w:rsid w:val="00C066B3"/>
    <w:rsid w:val="00C068FD"/>
    <w:rsid w:val="00C06E37"/>
    <w:rsid w:val="00C07634"/>
    <w:rsid w:val="00C122B0"/>
    <w:rsid w:val="00C12B25"/>
    <w:rsid w:val="00C133B5"/>
    <w:rsid w:val="00C1347C"/>
    <w:rsid w:val="00C13C99"/>
    <w:rsid w:val="00C13DC8"/>
    <w:rsid w:val="00C14388"/>
    <w:rsid w:val="00C14538"/>
    <w:rsid w:val="00C15256"/>
    <w:rsid w:val="00C1562A"/>
    <w:rsid w:val="00C15B95"/>
    <w:rsid w:val="00C162CA"/>
    <w:rsid w:val="00C16505"/>
    <w:rsid w:val="00C16637"/>
    <w:rsid w:val="00C1689D"/>
    <w:rsid w:val="00C178A1"/>
    <w:rsid w:val="00C210A9"/>
    <w:rsid w:val="00C210C0"/>
    <w:rsid w:val="00C21405"/>
    <w:rsid w:val="00C21B81"/>
    <w:rsid w:val="00C22635"/>
    <w:rsid w:val="00C22D50"/>
    <w:rsid w:val="00C237C8"/>
    <w:rsid w:val="00C23A80"/>
    <w:rsid w:val="00C2461B"/>
    <w:rsid w:val="00C252DC"/>
    <w:rsid w:val="00C25FA2"/>
    <w:rsid w:val="00C27941"/>
    <w:rsid w:val="00C27A8B"/>
    <w:rsid w:val="00C302ED"/>
    <w:rsid w:val="00C30369"/>
    <w:rsid w:val="00C30DD4"/>
    <w:rsid w:val="00C317BB"/>
    <w:rsid w:val="00C332AF"/>
    <w:rsid w:val="00C337E6"/>
    <w:rsid w:val="00C33FD6"/>
    <w:rsid w:val="00C360B6"/>
    <w:rsid w:val="00C372AF"/>
    <w:rsid w:val="00C400CA"/>
    <w:rsid w:val="00C407E1"/>
    <w:rsid w:val="00C4135A"/>
    <w:rsid w:val="00C43BD8"/>
    <w:rsid w:val="00C44216"/>
    <w:rsid w:val="00C44347"/>
    <w:rsid w:val="00C44841"/>
    <w:rsid w:val="00C44C07"/>
    <w:rsid w:val="00C45C7F"/>
    <w:rsid w:val="00C46842"/>
    <w:rsid w:val="00C47F10"/>
    <w:rsid w:val="00C503E7"/>
    <w:rsid w:val="00C50A0C"/>
    <w:rsid w:val="00C50E89"/>
    <w:rsid w:val="00C54441"/>
    <w:rsid w:val="00C54E35"/>
    <w:rsid w:val="00C553CF"/>
    <w:rsid w:val="00C55BAB"/>
    <w:rsid w:val="00C567F7"/>
    <w:rsid w:val="00C56DDD"/>
    <w:rsid w:val="00C577DA"/>
    <w:rsid w:val="00C60AA9"/>
    <w:rsid w:val="00C60AFD"/>
    <w:rsid w:val="00C61963"/>
    <w:rsid w:val="00C6259B"/>
    <w:rsid w:val="00C6287B"/>
    <w:rsid w:val="00C6369F"/>
    <w:rsid w:val="00C63AA1"/>
    <w:rsid w:val="00C63BBA"/>
    <w:rsid w:val="00C64AF4"/>
    <w:rsid w:val="00C64DEA"/>
    <w:rsid w:val="00C65490"/>
    <w:rsid w:val="00C6592F"/>
    <w:rsid w:val="00C66219"/>
    <w:rsid w:val="00C6670F"/>
    <w:rsid w:val="00C66756"/>
    <w:rsid w:val="00C67BE1"/>
    <w:rsid w:val="00C70A71"/>
    <w:rsid w:val="00C70D55"/>
    <w:rsid w:val="00C70FD9"/>
    <w:rsid w:val="00C7357F"/>
    <w:rsid w:val="00C73B40"/>
    <w:rsid w:val="00C73E50"/>
    <w:rsid w:val="00C75A29"/>
    <w:rsid w:val="00C75A85"/>
    <w:rsid w:val="00C7731B"/>
    <w:rsid w:val="00C775DF"/>
    <w:rsid w:val="00C77A37"/>
    <w:rsid w:val="00C77ABB"/>
    <w:rsid w:val="00C77EFB"/>
    <w:rsid w:val="00C8070A"/>
    <w:rsid w:val="00C8094C"/>
    <w:rsid w:val="00C81096"/>
    <w:rsid w:val="00C813A1"/>
    <w:rsid w:val="00C820A5"/>
    <w:rsid w:val="00C82892"/>
    <w:rsid w:val="00C83493"/>
    <w:rsid w:val="00C84212"/>
    <w:rsid w:val="00C85277"/>
    <w:rsid w:val="00C85C38"/>
    <w:rsid w:val="00C86C5C"/>
    <w:rsid w:val="00C903B6"/>
    <w:rsid w:val="00C90916"/>
    <w:rsid w:val="00C9122D"/>
    <w:rsid w:val="00C91952"/>
    <w:rsid w:val="00C927EA"/>
    <w:rsid w:val="00C9326E"/>
    <w:rsid w:val="00C9464E"/>
    <w:rsid w:val="00C95619"/>
    <w:rsid w:val="00C9589F"/>
    <w:rsid w:val="00C9632C"/>
    <w:rsid w:val="00C964A1"/>
    <w:rsid w:val="00C978FD"/>
    <w:rsid w:val="00C97CE5"/>
    <w:rsid w:val="00C97FFB"/>
    <w:rsid w:val="00CA13FA"/>
    <w:rsid w:val="00CA252A"/>
    <w:rsid w:val="00CA2C6B"/>
    <w:rsid w:val="00CA30BE"/>
    <w:rsid w:val="00CA320E"/>
    <w:rsid w:val="00CA52F0"/>
    <w:rsid w:val="00CA5C04"/>
    <w:rsid w:val="00CA5E5A"/>
    <w:rsid w:val="00CA795A"/>
    <w:rsid w:val="00CA79A8"/>
    <w:rsid w:val="00CA7DBE"/>
    <w:rsid w:val="00CB09E0"/>
    <w:rsid w:val="00CB0B57"/>
    <w:rsid w:val="00CB25B9"/>
    <w:rsid w:val="00CB279E"/>
    <w:rsid w:val="00CB2BDB"/>
    <w:rsid w:val="00CB3552"/>
    <w:rsid w:val="00CB4086"/>
    <w:rsid w:val="00CB49B0"/>
    <w:rsid w:val="00CB752D"/>
    <w:rsid w:val="00CC0394"/>
    <w:rsid w:val="00CC03A2"/>
    <w:rsid w:val="00CC07F1"/>
    <w:rsid w:val="00CC13BD"/>
    <w:rsid w:val="00CC1DBA"/>
    <w:rsid w:val="00CC31BF"/>
    <w:rsid w:val="00CC3EE7"/>
    <w:rsid w:val="00CC4801"/>
    <w:rsid w:val="00CC58A1"/>
    <w:rsid w:val="00CC708A"/>
    <w:rsid w:val="00CD23CC"/>
    <w:rsid w:val="00CD29EC"/>
    <w:rsid w:val="00CD2DC8"/>
    <w:rsid w:val="00CD3B1B"/>
    <w:rsid w:val="00CD48C6"/>
    <w:rsid w:val="00CD4E76"/>
    <w:rsid w:val="00CD62D6"/>
    <w:rsid w:val="00CD63FA"/>
    <w:rsid w:val="00CE0A05"/>
    <w:rsid w:val="00CE0E93"/>
    <w:rsid w:val="00CE1471"/>
    <w:rsid w:val="00CE164C"/>
    <w:rsid w:val="00CE1B92"/>
    <w:rsid w:val="00CE2F74"/>
    <w:rsid w:val="00CE3C5B"/>
    <w:rsid w:val="00CE3F25"/>
    <w:rsid w:val="00CE4EEA"/>
    <w:rsid w:val="00CE579F"/>
    <w:rsid w:val="00CE5B67"/>
    <w:rsid w:val="00CE5B91"/>
    <w:rsid w:val="00CE6DAD"/>
    <w:rsid w:val="00CE6E1B"/>
    <w:rsid w:val="00CE7166"/>
    <w:rsid w:val="00CE73C2"/>
    <w:rsid w:val="00CE76DB"/>
    <w:rsid w:val="00CE783E"/>
    <w:rsid w:val="00CE784E"/>
    <w:rsid w:val="00CE7CD0"/>
    <w:rsid w:val="00CF0179"/>
    <w:rsid w:val="00CF0955"/>
    <w:rsid w:val="00CF0ED1"/>
    <w:rsid w:val="00CF0FEA"/>
    <w:rsid w:val="00CF1291"/>
    <w:rsid w:val="00CF1D9D"/>
    <w:rsid w:val="00CF21D6"/>
    <w:rsid w:val="00CF3385"/>
    <w:rsid w:val="00CF39E1"/>
    <w:rsid w:val="00CF45F0"/>
    <w:rsid w:val="00CF54EE"/>
    <w:rsid w:val="00CF6112"/>
    <w:rsid w:val="00CF63E3"/>
    <w:rsid w:val="00CF7AE4"/>
    <w:rsid w:val="00D0023C"/>
    <w:rsid w:val="00D00D2F"/>
    <w:rsid w:val="00D0193A"/>
    <w:rsid w:val="00D01B74"/>
    <w:rsid w:val="00D02B56"/>
    <w:rsid w:val="00D03E91"/>
    <w:rsid w:val="00D043A2"/>
    <w:rsid w:val="00D05270"/>
    <w:rsid w:val="00D05382"/>
    <w:rsid w:val="00D05DF6"/>
    <w:rsid w:val="00D06388"/>
    <w:rsid w:val="00D06E2E"/>
    <w:rsid w:val="00D06EA1"/>
    <w:rsid w:val="00D07D00"/>
    <w:rsid w:val="00D07F04"/>
    <w:rsid w:val="00D10BF0"/>
    <w:rsid w:val="00D10F60"/>
    <w:rsid w:val="00D1194F"/>
    <w:rsid w:val="00D11B0B"/>
    <w:rsid w:val="00D12B0E"/>
    <w:rsid w:val="00D130E5"/>
    <w:rsid w:val="00D13BF1"/>
    <w:rsid w:val="00D15755"/>
    <w:rsid w:val="00D15F1C"/>
    <w:rsid w:val="00D17209"/>
    <w:rsid w:val="00D17238"/>
    <w:rsid w:val="00D202B8"/>
    <w:rsid w:val="00D20A54"/>
    <w:rsid w:val="00D22C6B"/>
    <w:rsid w:val="00D23034"/>
    <w:rsid w:val="00D23ECA"/>
    <w:rsid w:val="00D26D61"/>
    <w:rsid w:val="00D27BF7"/>
    <w:rsid w:val="00D30069"/>
    <w:rsid w:val="00D307ED"/>
    <w:rsid w:val="00D316FE"/>
    <w:rsid w:val="00D32940"/>
    <w:rsid w:val="00D32E67"/>
    <w:rsid w:val="00D33B35"/>
    <w:rsid w:val="00D346EF"/>
    <w:rsid w:val="00D364C7"/>
    <w:rsid w:val="00D36A96"/>
    <w:rsid w:val="00D36BA4"/>
    <w:rsid w:val="00D37990"/>
    <w:rsid w:val="00D37C37"/>
    <w:rsid w:val="00D40615"/>
    <w:rsid w:val="00D42235"/>
    <w:rsid w:val="00D4286E"/>
    <w:rsid w:val="00D42A4A"/>
    <w:rsid w:val="00D42F9A"/>
    <w:rsid w:val="00D43A28"/>
    <w:rsid w:val="00D44603"/>
    <w:rsid w:val="00D44888"/>
    <w:rsid w:val="00D466EA"/>
    <w:rsid w:val="00D46C42"/>
    <w:rsid w:val="00D47400"/>
    <w:rsid w:val="00D4787B"/>
    <w:rsid w:val="00D5080D"/>
    <w:rsid w:val="00D50FE2"/>
    <w:rsid w:val="00D51842"/>
    <w:rsid w:val="00D524F0"/>
    <w:rsid w:val="00D52868"/>
    <w:rsid w:val="00D53A53"/>
    <w:rsid w:val="00D545A8"/>
    <w:rsid w:val="00D54892"/>
    <w:rsid w:val="00D55118"/>
    <w:rsid w:val="00D55586"/>
    <w:rsid w:val="00D56C07"/>
    <w:rsid w:val="00D56D44"/>
    <w:rsid w:val="00D5759C"/>
    <w:rsid w:val="00D57B28"/>
    <w:rsid w:val="00D57B43"/>
    <w:rsid w:val="00D57F5D"/>
    <w:rsid w:val="00D57FD7"/>
    <w:rsid w:val="00D609C6"/>
    <w:rsid w:val="00D618A0"/>
    <w:rsid w:val="00D619F9"/>
    <w:rsid w:val="00D61CFB"/>
    <w:rsid w:val="00D62943"/>
    <w:rsid w:val="00D65498"/>
    <w:rsid w:val="00D65620"/>
    <w:rsid w:val="00D65B12"/>
    <w:rsid w:val="00D65EFF"/>
    <w:rsid w:val="00D660AC"/>
    <w:rsid w:val="00D677F2"/>
    <w:rsid w:val="00D678AA"/>
    <w:rsid w:val="00D719B9"/>
    <w:rsid w:val="00D72468"/>
    <w:rsid w:val="00D738EE"/>
    <w:rsid w:val="00D73AEC"/>
    <w:rsid w:val="00D7559B"/>
    <w:rsid w:val="00D8029C"/>
    <w:rsid w:val="00D811F3"/>
    <w:rsid w:val="00D8123B"/>
    <w:rsid w:val="00D819AF"/>
    <w:rsid w:val="00D8500F"/>
    <w:rsid w:val="00D85D09"/>
    <w:rsid w:val="00D86176"/>
    <w:rsid w:val="00D86BE9"/>
    <w:rsid w:val="00D87170"/>
    <w:rsid w:val="00D87391"/>
    <w:rsid w:val="00D8795C"/>
    <w:rsid w:val="00D87CDC"/>
    <w:rsid w:val="00D9099E"/>
    <w:rsid w:val="00D914E2"/>
    <w:rsid w:val="00D91517"/>
    <w:rsid w:val="00D922D8"/>
    <w:rsid w:val="00D92542"/>
    <w:rsid w:val="00D938DF"/>
    <w:rsid w:val="00D95453"/>
    <w:rsid w:val="00D95AF1"/>
    <w:rsid w:val="00D95B14"/>
    <w:rsid w:val="00D9618D"/>
    <w:rsid w:val="00D97336"/>
    <w:rsid w:val="00D9737F"/>
    <w:rsid w:val="00D97486"/>
    <w:rsid w:val="00D97553"/>
    <w:rsid w:val="00D97952"/>
    <w:rsid w:val="00DA043D"/>
    <w:rsid w:val="00DA09A2"/>
    <w:rsid w:val="00DA1159"/>
    <w:rsid w:val="00DA1BC2"/>
    <w:rsid w:val="00DA1FEF"/>
    <w:rsid w:val="00DA2822"/>
    <w:rsid w:val="00DA3FE2"/>
    <w:rsid w:val="00DA4C4E"/>
    <w:rsid w:val="00DA5C0D"/>
    <w:rsid w:val="00DA62C6"/>
    <w:rsid w:val="00DA6469"/>
    <w:rsid w:val="00DA7DB1"/>
    <w:rsid w:val="00DB2047"/>
    <w:rsid w:val="00DB23EF"/>
    <w:rsid w:val="00DB3A76"/>
    <w:rsid w:val="00DB3BAA"/>
    <w:rsid w:val="00DB45DC"/>
    <w:rsid w:val="00DB4768"/>
    <w:rsid w:val="00DB542B"/>
    <w:rsid w:val="00DB774A"/>
    <w:rsid w:val="00DB7B5C"/>
    <w:rsid w:val="00DB7E29"/>
    <w:rsid w:val="00DC0589"/>
    <w:rsid w:val="00DC0862"/>
    <w:rsid w:val="00DC0A76"/>
    <w:rsid w:val="00DC0BA3"/>
    <w:rsid w:val="00DC1A4E"/>
    <w:rsid w:val="00DC25CA"/>
    <w:rsid w:val="00DC3F7D"/>
    <w:rsid w:val="00DC4EEE"/>
    <w:rsid w:val="00DC5149"/>
    <w:rsid w:val="00DC5561"/>
    <w:rsid w:val="00DC6066"/>
    <w:rsid w:val="00DC7D9F"/>
    <w:rsid w:val="00DD0149"/>
    <w:rsid w:val="00DD06A7"/>
    <w:rsid w:val="00DD0912"/>
    <w:rsid w:val="00DD0C80"/>
    <w:rsid w:val="00DD2148"/>
    <w:rsid w:val="00DD24D4"/>
    <w:rsid w:val="00DD2733"/>
    <w:rsid w:val="00DD4FFC"/>
    <w:rsid w:val="00DD5186"/>
    <w:rsid w:val="00DD6A2C"/>
    <w:rsid w:val="00DD6B83"/>
    <w:rsid w:val="00DD7494"/>
    <w:rsid w:val="00DE0CDF"/>
    <w:rsid w:val="00DE0F62"/>
    <w:rsid w:val="00DE2126"/>
    <w:rsid w:val="00DE3069"/>
    <w:rsid w:val="00DE44E4"/>
    <w:rsid w:val="00DE4EAE"/>
    <w:rsid w:val="00DE57C5"/>
    <w:rsid w:val="00DE6097"/>
    <w:rsid w:val="00DE7B29"/>
    <w:rsid w:val="00DF1339"/>
    <w:rsid w:val="00DF157E"/>
    <w:rsid w:val="00DF1DF4"/>
    <w:rsid w:val="00DF203A"/>
    <w:rsid w:val="00DF3B63"/>
    <w:rsid w:val="00DF3E0F"/>
    <w:rsid w:val="00DF4B3B"/>
    <w:rsid w:val="00DF5313"/>
    <w:rsid w:val="00DF5AAC"/>
    <w:rsid w:val="00DF685A"/>
    <w:rsid w:val="00DF7EC9"/>
    <w:rsid w:val="00E00256"/>
    <w:rsid w:val="00E00F01"/>
    <w:rsid w:val="00E0345B"/>
    <w:rsid w:val="00E0354B"/>
    <w:rsid w:val="00E035B6"/>
    <w:rsid w:val="00E039E8"/>
    <w:rsid w:val="00E05EE6"/>
    <w:rsid w:val="00E06A73"/>
    <w:rsid w:val="00E06D4B"/>
    <w:rsid w:val="00E0702B"/>
    <w:rsid w:val="00E070BB"/>
    <w:rsid w:val="00E10DCE"/>
    <w:rsid w:val="00E118BE"/>
    <w:rsid w:val="00E122FA"/>
    <w:rsid w:val="00E13522"/>
    <w:rsid w:val="00E140F7"/>
    <w:rsid w:val="00E146B6"/>
    <w:rsid w:val="00E147BB"/>
    <w:rsid w:val="00E161F7"/>
    <w:rsid w:val="00E16ECC"/>
    <w:rsid w:val="00E1744A"/>
    <w:rsid w:val="00E17F54"/>
    <w:rsid w:val="00E20E41"/>
    <w:rsid w:val="00E213D7"/>
    <w:rsid w:val="00E21454"/>
    <w:rsid w:val="00E21955"/>
    <w:rsid w:val="00E21959"/>
    <w:rsid w:val="00E22B0D"/>
    <w:rsid w:val="00E2479F"/>
    <w:rsid w:val="00E24E8B"/>
    <w:rsid w:val="00E25D6E"/>
    <w:rsid w:val="00E26665"/>
    <w:rsid w:val="00E26BAA"/>
    <w:rsid w:val="00E26F14"/>
    <w:rsid w:val="00E3039C"/>
    <w:rsid w:val="00E3042A"/>
    <w:rsid w:val="00E30C0F"/>
    <w:rsid w:val="00E31939"/>
    <w:rsid w:val="00E31E6D"/>
    <w:rsid w:val="00E32424"/>
    <w:rsid w:val="00E329D9"/>
    <w:rsid w:val="00E34167"/>
    <w:rsid w:val="00E361E6"/>
    <w:rsid w:val="00E36341"/>
    <w:rsid w:val="00E36580"/>
    <w:rsid w:val="00E36FD3"/>
    <w:rsid w:val="00E37638"/>
    <w:rsid w:val="00E37E56"/>
    <w:rsid w:val="00E40A95"/>
    <w:rsid w:val="00E41691"/>
    <w:rsid w:val="00E418F8"/>
    <w:rsid w:val="00E41DAD"/>
    <w:rsid w:val="00E42242"/>
    <w:rsid w:val="00E426EB"/>
    <w:rsid w:val="00E43005"/>
    <w:rsid w:val="00E434DD"/>
    <w:rsid w:val="00E43569"/>
    <w:rsid w:val="00E441A8"/>
    <w:rsid w:val="00E447A8"/>
    <w:rsid w:val="00E50EEC"/>
    <w:rsid w:val="00E51945"/>
    <w:rsid w:val="00E519B3"/>
    <w:rsid w:val="00E51D41"/>
    <w:rsid w:val="00E52897"/>
    <w:rsid w:val="00E52A34"/>
    <w:rsid w:val="00E53BF2"/>
    <w:rsid w:val="00E55578"/>
    <w:rsid w:val="00E555A0"/>
    <w:rsid w:val="00E55883"/>
    <w:rsid w:val="00E56AA2"/>
    <w:rsid w:val="00E606AE"/>
    <w:rsid w:val="00E6119F"/>
    <w:rsid w:val="00E62E23"/>
    <w:rsid w:val="00E62ECB"/>
    <w:rsid w:val="00E63E7E"/>
    <w:rsid w:val="00E63EF0"/>
    <w:rsid w:val="00E64363"/>
    <w:rsid w:val="00E6466A"/>
    <w:rsid w:val="00E65F27"/>
    <w:rsid w:val="00E665A7"/>
    <w:rsid w:val="00E668DE"/>
    <w:rsid w:val="00E66E00"/>
    <w:rsid w:val="00E66F91"/>
    <w:rsid w:val="00E67045"/>
    <w:rsid w:val="00E67D18"/>
    <w:rsid w:val="00E700BC"/>
    <w:rsid w:val="00E70B80"/>
    <w:rsid w:val="00E70DEC"/>
    <w:rsid w:val="00E7116C"/>
    <w:rsid w:val="00E71C44"/>
    <w:rsid w:val="00E72011"/>
    <w:rsid w:val="00E7274B"/>
    <w:rsid w:val="00E73524"/>
    <w:rsid w:val="00E74415"/>
    <w:rsid w:val="00E74832"/>
    <w:rsid w:val="00E7505B"/>
    <w:rsid w:val="00E759A3"/>
    <w:rsid w:val="00E75DBA"/>
    <w:rsid w:val="00E7605B"/>
    <w:rsid w:val="00E760D6"/>
    <w:rsid w:val="00E76277"/>
    <w:rsid w:val="00E774D9"/>
    <w:rsid w:val="00E776E8"/>
    <w:rsid w:val="00E77D40"/>
    <w:rsid w:val="00E77EF3"/>
    <w:rsid w:val="00E80BA9"/>
    <w:rsid w:val="00E82E19"/>
    <w:rsid w:val="00E850E9"/>
    <w:rsid w:val="00E86465"/>
    <w:rsid w:val="00E90495"/>
    <w:rsid w:val="00E91115"/>
    <w:rsid w:val="00E919E9"/>
    <w:rsid w:val="00E91C92"/>
    <w:rsid w:val="00E92283"/>
    <w:rsid w:val="00E924B2"/>
    <w:rsid w:val="00E93583"/>
    <w:rsid w:val="00E93815"/>
    <w:rsid w:val="00E94293"/>
    <w:rsid w:val="00E943E5"/>
    <w:rsid w:val="00E9440D"/>
    <w:rsid w:val="00E947FE"/>
    <w:rsid w:val="00E95DDF"/>
    <w:rsid w:val="00E96CBC"/>
    <w:rsid w:val="00EA0DD7"/>
    <w:rsid w:val="00EA1A5C"/>
    <w:rsid w:val="00EA21B0"/>
    <w:rsid w:val="00EA2A02"/>
    <w:rsid w:val="00EA5814"/>
    <w:rsid w:val="00EA6849"/>
    <w:rsid w:val="00EA6859"/>
    <w:rsid w:val="00EA6FFB"/>
    <w:rsid w:val="00EB00A7"/>
    <w:rsid w:val="00EB0509"/>
    <w:rsid w:val="00EB0C2B"/>
    <w:rsid w:val="00EB1A6C"/>
    <w:rsid w:val="00EB2013"/>
    <w:rsid w:val="00EB246C"/>
    <w:rsid w:val="00EB250D"/>
    <w:rsid w:val="00EB2FA1"/>
    <w:rsid w:val="00EB3422"/>
    <w:rsid w:val="00EB4E48"/>
    <w:rsid w:val="00EB503C"/>
    <w:rsid w:val="00EB593B"/>
    <w:rsid w:val="00EB6634"/>
    <w:rsid w:val="00EB6C8F"/>
    <w:rsid w:val="00EB6D79"/>
    <w:rsid w:val="00EC00E8"/>
    <w:rsid w:val="00EC13F1"/>
    <w:rsid w:val="00EC5420"/>
    <w:rsid w:val="00EC5C50"/>
    <w:rsid w:val="00EC5F8D"/>
    <w:rsid w:val="00EC6462"/>
    <w:rsid w:val="00EC6DE9"/>
    <w:rsid w:val="00EC7262"/>
    <w:rsid w:val="00EC7FAA"/>
    <w:rsid w:val="00ED1B4E"/>
    <w:rsid w:val="00ED1F8E"/>
    <w:rsid w:val="00ED34A7"/>
    <w:rsid w:val="00ED4D8E"/>
    <w:rsid w:val="00ED5527"/>
    <w:rsid w:val="00ED5C6F"/>
    <w:rsid w:val="00ED6CB2"/>
    <w:rsid w:val="00ED747C"/>
    <w:rsid w:val="00EE0430"/>
    <w:rsid w:val="00EE14F4"/>
    <w:rsid w:val="00EE1626"/>
    <w:rsid w:val="00EE2016"/>
    <w:rsid w:val="00EE35EC"/>
    <w:rsid w:val="00EE47D8"/>
    <w:rsid w:val="00EE544E"/>
    <w:rsid w:val="00EE656D"/>
    <w:rsid w:val="00EE6FDD"/>
    <w:rsid w:val="00EE764E"/>
    <w:rsid w:val="00EF05DF"/>
    <w:rsid w:val="00EF15CE"/>
    <w:rsid w:val="00EF2078"/>
    <w:rsid w:val="00EF5AEB"/>
    <w:rsid w:val="00EF625F"/>
    <w:rsid w:val="00EF7B6E"/>
    <w:rsid w:val="00EF7D42"/>
    <w:rsid w:val="00F0107A"/>
    <w:rsid w:val="00F012DA"/>
    <w:rsid w:val="00F01734"/>
    <w:rsid w:val="00F017AA"/>
    <w:rsid w:val="00F021FB"/>
    <w:rsid w:val="00F03219"/>
    <w:rsid w:val="00F03FDA"/>
    <w:rsid w:val="00F04A3B"/>
    <w:rsid w:val="00F051E2"/>
    <w:rsid w:val="00F06370"/>
    <w:rsid w:val="00F064BE"/>
    <w:rsid w:val="00F0691C"/>
    <w:rsid w:val="00F071DB"/>
    <w:rsid w:val="00F10A3D"/>
    <w:rsid w:val="00F1258D"/>
    <w:rsid w:val="00F1305C"/>
    <w:rsid w:val="00F14BB0"/>
    <w:rsid w:val="00F14C97"/>
    <w:rsid w:val="00F14F49"/>
    <w:rsid w:val="00F15927"/>
    <w:rsid w:val="00F15AFC"/>
    <w:rsid w:val="00F16964"/>
    <w:rsid w:val="00F1763A"/>
    <w:rsid w:val="00F17D33"/>
    <w:rsid w:val="00F226C8"/>
    <w:rsid w:val="00F2344A"/>
    <w:rsid w:val="00F242D6"/>
    <w:rsid w:val="00F25C4C"/>
    <w:rsid w:val="00F25C5E"/>
    <w:rsid w:val="00F268B2"/>
    <w:rsid w:val="00F26AF9"/>
    <w:rsid w:val="00F27792"/>
    <w:rsid w:val="00F3103B"/>
    <w:rsid w:val="00F32173"/>
    <w:rsid w:val="00F33294"/>
    <w:rsid w:val="00F33A20"/>
    <w:rsid w:val="00F346DE"/>
    <w:rsid w:val="00F34FAB"/>
    <w:rsid w:val="00F36A8D"/>
    <w:rsid w:val="00F36E7D"/>
    <w:rsid w:val="00F377FB"/>
    <w:rsid w:val="00F37BA0"/>
    <w:rsid w:val="00F41A9A"/>
    <w:rsid w:val="00F42718"/>
    <w:rsid w:val="00F45FC8"/>
    <w:rsid w:val="00F46F63"/>
    <w:rsid w:val="00F46FE2"/>
    <w:rsid w:val="00F4707D"/>
    <w:rsid w:val="00F47863"/>
    <w:rsid w:val="00F479D4"/>
    <w:rsid w:val="00F47BFB"/>
    <w:rsid w:val="00F50A58"/>
    <w:rsid w:val="00F517A2"/>
    <w:rsid w:val="00F51EB4"/>
    <w:rsid w:val="00F522E6"/>
    <w:rsid w:val="00F52DA2"/>
    <w:rsid w:val="00F53FE4"/>
    <w:rsid w:val="00F54050"/>
    <w:rsid w:val="00F547A9"/>
    <w:rsid w:val="00F558FC"/>
    <w:rsid w:val="00F558FF"/>
    <w:rsid w:val="00F561AB"/>
    <w:rsid w:val="00F56461"/>
    <w:rsid w:val="00F56554"/>
    <w:rsid w:val="00F56F4F"/>
    <w:rsid w:val="00F5720C"/>
    <w:rsid w:val="00F57BDA"/>
    <w:rsid w:val="00F601FD"/>
    <w:rsid w:val="00F60E13"/>
    <w:rsid w:val="00F6240B"/>
    <w:rsid w:val="00F62E8D"/>
    <w:rsid w:val="00F63652"/>
    <w:rsid w:val="00F637B4"/>
    <w:rsid w:val="00F63D6C"/>
    <w:rsid w:val="00F648E4"/>
    <w:rsid w:val="00F65093"/>
    <w:rsid w:val="00F65714"/>
    <w:rsid w:val="00F65F8E"/>
    <w:rsid w:val="00F67253"/>
    <w:rsid w:val="00F67708"/>
    <w:rsid w:val="00F70BB3"/>
    <w:rsid w:val="00F71B1A"/>
    <w:rsid w:val="00F71CE8"/>
    <w:rsid w:val="00F7327B"/>
    <w:rsid w:val="00F7386E"/>
    <w:rsid w:val="00F739EC"/>
    <w:rsid w:val="00F740F3"/>
    <w:rsid w:val="00F7645E"/>
    <w:rsid w:val="00F764D1"/>
    <w:rsid w:val="00F76882"/>
    <w:rsid w:val="00F770FD"/>
    <w:rsid w:val="00F7771A"/>
    <w:rsid w:val="00F7786D"/>
    <w:rsid w:val="00F80FFE"/>
    <w:rsid w:val="00F81340"/>
    <w:rsid w:val="00F8176C"/>
    <w:rsid w:val="00F84947"/>
    <w:rsid w:val="00F85C45"/>
    <w:rsid w:val="00F86684"/>
    <w:rsid w:val="00F93B03"/>
    <w:rsid w:val="00F93E40"/>
    <w:rsid w:val="00F944BA"/>
    <w:rsid w:val="00F9467E"/>
    <w:rsid w:val="00F95745"/>
    <w:rsid w:val="00F976A7"/>
    <w:rsid w:val="00F97D8A"/>
    <w:rsid w:val="00F97E40"/>
    <w:rsid w:val="00FA12D9"/>
    <w:rsid w:val="00FA1691"/>
    <w:rsid w:val="00FA16AB"/>
    <w:rsid w:val="00FA2876"/>
    <w:rsid w:val="00FA2A07"/>
    <w:rsid w:val="00FA3A40"/>
    <w:rsid w:val="00FA41A5"/>
    <w:rsid w:val="00FA45CA"/>
    <w:rsid w:val="00FA4AA9"/>
    <w:rsid w:val="00FA4D30"/>
    <w:rsid w:val="00FA6339"/>
    <w:rsid w:val="00FA67AE"/>
    <w:rsid w:val="00FA797E"/>
    <w:rsid w:val="00FB0036"/>
    <w:rsid w:val="00FB020B"/>
    <w:rsid w:val="00FB03F2"/>
    <w:rsid w:val="00FB05B7"/>
    <w:rsid w:val="00FB069A"/>
    <w:rsid w:val="00FB0E7E"/>
    <w:rsid w:val="00FB10DF"/>
    <w:rsid w:val="00FB1EAB"/>
    <w:rsid w:val="00FB2BC8"/>
    <w:rsid w:val="00FB2F47"/>
    <w:rsid w:val="00FB372B"/>
    <w:rsid w:val="00FB414D"/>
    <w:rsid w:val="00FB4AC3"/>
    <w:rsid w:val="00FB620A"/>
    <w:rsid w:val="00FB64F4"/>
    <w:rsid w:val="00FB66A4"/>
    <w:rsid w:val="00FB68F4"/>
    <w:rsid w:val="00FB6943"/>
    <w:rsid w:val="00FB7393"/>
    <w:rsid w:val="00FB7483"/>
    <w:rsid w:val="00FB7D8B"/>
    <w:rsid w:val="00FC133C"/>
    <w:rsid w:val="00FC1D75"/>
    <w:rsid w:val="00FC275E"/>
    <w:rsid w:val="00FC4AC3"/>
    <w:rsid w:val="00FC63D5"/>
    <w:rsid w:val="00FC6D59"/>
    <w:rsid w:val="00FC7C8D"/>
    <w:rsid w:val="00FD0514"/>
    <w:rsid w:val="00FD1053"/>
    <w:rsid w:val="00FD2539"/>
    <w:rsid w:val="00FD414E"/>
    <w:rsid w:val="00FD49E1"/>
    <w:rsid w:val="00FD5084"/>
    <w:rsid w:val="00FD5FEA"/>
    <w:rsid w:val="00FD66EA"/>
    <w:rsid w:val="00FD6DEC"/>
    <w:rsid w:val="00FD70F6"/>
    <w:rsid w:val="00FD7437"/>
    <w:rsid w:val="00FE075F"/>
    <w:rsid w:val="00FE0CAF"/>
    <w:rsid w:val="00FE21EB"/>
    <w:rsid w:val="00FE2F82"/>
    <w:rsid w:val="00FE37F7"/>
    <w:rsid w:val="00FE4530"/>
    <w:rsid w:val="00FE61D0"/>
    <w:rsid w:val="00FE6439"/>
    <w:rsid w:val="00FE7DEC"/>
    <w:rsid w:val="00FF090E"/>
    <w:rsid w:val="00FF0FEC"/>
    <w:rsid w:val="00FF2A23"/>
    <w:rsid w:val="00FF4EA9"/>
    <w:rsid w:val="00FF575E"/>
    <w:rsid w:val="00FF5D93"/>
    <w:rsid w:val="00FF7567"/>
    <w:rsid w:val="00FF75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471A79"/>
  <w15:docId w15:val="{ED2148E2-2D69-4EC5-86D1-E6FC11FC2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5106"/>
    <w:pPr>
      <w:spacing w:line="480" w:lineRule="auto"/>
      <w:ind w:firstLine="720"/>
      <w:jc w:val="both"/>
    </w:pPr>
    <w:rPr>
      <w:rFonts w:ascii="Times New Roman" w:hAnsi="Times New Roman"/>
      <w:sz w:val="24"/>
      <w:lang w:val="en-GB"/>
    </w:rPr>
  </w:style>
  <w:style w:type="paragraph" w:styleId="Heading1">
    <w:name w:val="heading 1"/>
    <w:basedOn w:val="Normal"/>
    <w:next w:val="Normal"/>
    <w:link w:val="Heading1Char"/>
    <w:uiPriority w:val="9"/>
    <w:qFormat/>
    <w:rsid w:val="00874C62"/>
    <w:pPr>
      <w:keepNext/>
      <w:keepLines/>
      <w:spacing w:before="240" w:after="0"/>
      <w:ind w:firstLine="0"/>
      <w:jc w:val="center"/>
      <w:outlineLvl w:val="0"/>
    </w:pPr>
    <w:rPr>
      <w:rFonts w:eastAsiaTheme="majorEastAsia" w:cstheme="majorBidi"/>
      <w:b/>
      <w:sz w:val="32"/>
      <w:szCs w:val="32"/>
    </w:rPr>
  </w:style>
  <w:style w:type="paragraph" w:styleId="Heading2">
    <w:name w:val="heading 2"/>
    <w:basedOn w:val="Heading1"/>
    <w:link w:val="Heading2Char"/>
    <w:uiPriority w:val="99"/>
    <w:unhideWhenUsed/>
    <w:qFormat/>
    <w:rsid w:val="00E86465"/>
    <w:pPr>
      <w:numPr>
        <w:ilvl w:val="1"/>
      </w:numPr>
      <w:spacing w:before="40"/>
      <w:outlineLvl w:val="1"/>
    </w:pPr>
    <w:rPr>
      <w:sz w:val="28"/>
      <w:szCs w:val="26"/>
    </w:rPr>
  </w:style>
  <w:style w:type="paragraph" w:styleId="Heading3">
    <w:name w:val="heading 3"/>
    <w:basedOn w:val="Normal"/>
    <w:next w:val="Normal"/>
    <w:link w:val="Heading3Char"/>
    <w:uiPriority w:val="99"/>
    <w:unhideWhenUsed/>
    <w:qFormat/>
    <w:rsid w:val="00D06EA1"/>
    <w:pPr>
      <w:keepNext/>
      <w:keepLines/>
      <w:spacing w:before="40" w:after="0"/>
      <w:outlineLvl w:val="2"/>
    </w:pPr>
    <w:rPr>
      <w:rFonts w:eastAsiaTheme="majorEastAsia" w:cstheme="majorBidi"/>
      <w:b/>
      <w:sz w:val="28"/>
      <w:szCs w:val="24"/>
    </w:rPr>
  </w:style>
  <w:style w:type="paragraph" w:styleId="Heading4">
    <w:name w:val="heading 4"/>
    <w:basedOn w:val="Normal"/>
    <w:next w:val="Normal"/>
    <w:link w:val="Heading4Char"/>
    <w:uiPriority w:val="9"/>
    <w:unhideWhenUsed/>
    <w:qFormat/>
    <w:rsid w:val="00967AAF"/>
    <w:pPr>
      <w:keepNext/>
      <w:keepLines/>
      <w:spacing w:before="40" w:after="0"/>
      <w:ind w:firstLine="0"/>
      <w:outlineLvl w:val="3"/>
    </w:pPr>
    <w:rPr>
      <w:rFonts w:eastAsiaTheme="majorEastAsia" w:cstheme="majorBidi"/>
      <w:b/>
      <w:iCs/>
    </w:rPr>
  </w:style>
  <w:style w:type="paragraph" w:styleId="Heading5">
    <w:name w:val="heading 5"/>
    <w:basedOn w:val="Normal"/>
    <w:next w:val="Normal"/>
    <w:link w:val="Heading5Char"/>
    <w:uiPriority w:val="9"/>
    <w:unhideWhenUsed/>
    <w:qFormat/>
    <w:rsid w:val="00A60EE8"/>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A60EE8"/>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A60EE8"/>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A60EE8"/>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60EE8"/>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267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673B"/>
  </w:style>
  <w:style w:type="paragraph" w:styleId="Footer">
    <w:name w:val="footer"/>
    <w:basedOn w:val="Normal"/>
    <w:link w:val="FooterChar"/>
    <w:uiPriority w:val="99"/>
    <w:unhideWhenUsed/>
    <w:rsid w:val="0022673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2673B"/>
  </w:style>
  <w:style w:type="character" w:customStyle="1" w:styleId="Heading1Char">
    <w:name w:val="Heading 1 Char"/>
    <w:basedOn w:val="DefaultParagraphFont"/>
    <w:link w:val="Heading1"/>
    <w:uiPriority w:val="9"/>
    <w:rsid w:val="00EC13F1"/>
    <w:rPr>
      <w:rFonts w:ascii="Times New Roman" w:eastAsiaTheme="majorEastAsia" w:hAnsi="Times New Roman" w:cstheme="majorBidi"/>
      <w:b/>
      <w:sz w:val="32"/>
      <w:szCs w:val="32"/>
    </w:rPr>
  </w:style>
  <w:style w:type="character" w:customStyle="1" w:styleId="Heading2Char">
    <w:name w:val="Heading 2 Char"/>
    <w:basedOn w:val="DefaultParagraphFont"/>
    <w:link w:val="Heading2"/>
    <w:uiPriority w:val="99"/>
    <w:rsid w:val="00E86465"/>
    <w:rPr>
      <w:rFonts w:ascii="Times New Roman" w:eastAsiaTheme="majorEastAsia" w:hAnsi="Times New Roman" w:cstheme="majorBidi"/>
      <w:b/>
      <w:sz w:val="28"/>
      <w:szCs w:val="26"/>
      <w:lang w:val="en-GB"/>
    </w:rPr>
  </w:style>
  <w:style w:type="character" w:customStyle="1" w:styleId="Heading3Char">
    <w:name w:val="Heading 3 Char"/>
    <w:basedOn w:val="DefaultParagraphFont"/>
    <w:link w:val="Heading3"/>
    <w:uiPriority w:val="99"/>
    <w:rsid w:val="00D06EA1"/>
    <w:rPr>
      <w:rFonts w:ascii="Times New Roman" w:eastAsiaTheme="majorEastAsia" w:hAnsi="Times New Roman" w:cstheme="majorBidi"/>
      <w:b/>
      <w:sz w:val="28"/>
      <w:szCs w:val="24"/>
      <w:lang w:val="en-GB"/>
    </w:rPr>
  </w:style>
  <w:style w:type="character" w:customStyle="1" w:styleId="Heading4Char">
    <w:name w:val="Heading 4 Char"/>
    <w:basedOn w:val="DefaultParagraphFont"/>
    <w:link w:val="Heading4"/>
    <w:uiPriority w:val="9"/>
    <w:rsid w:val="00967AAF"/>
    <w:rPr>
      <w:rFonts w:ascii="Times New Roman" w:eastAsiaTheme="majorEastAsia" w:hAnsi="Times New Roman" w:cstheme="majorBidi"/>
      <w:b/>
      <w:iCs/>
      <w:sz w:val="24"/>
      <w:lang w:val="en-GB"/>
    </w:rPr>
  </w:style>
  <w:style w:type="character" w:customStyle="1" w:styleId="Heading5Char">
    <w:name w:val="Heading 5 Char"/>
    <w:basedOn w:val="DefaultParagraphFont"/>
    <w:link w:val="Heading5"/>
    <w:uiPriority w:val="9"/>
    <w:rsid w:val="00A60EE8"/>
    <w:rPr>
      <w:rFonts w:asciiTheme="majorHAnsi" w:eastAsiaTheme="majorEastAsia" w:hAnsiTheme="majorHAnsi" w:cstheme="majorBidi"/>
      <w:color w:val="2E74B5" w:themeColor="accent1" w:themeShade="BF"/>
      <w:sz w:val="24"/>
    </w:rPr>
  </w:style>
  <w:style w:type="character" w:customStyle="1" w:styleId="Heading6Char">
    <w:name w:val="Heading 6 Char"/>
    <w:basedOn w:val="DefaultParagraphFont"/>
    <w:link w:val="Heading6"/>
    <w:uiPriority w:val="9"/>
    <w:semiHidden/>
    <w:rsid w:val="00A60EE8"/>
    <w:rPr>
      <w:rFonts w:asciiTheme="majorHAnsi" w:eastAsiaTheme="majorEastAsia" w:hAnsiTheme="majorHAnsi" w:cstheme="majorBidi"/>
      <w:color w:val="1F4D78" w:themeColor="accent1" w:themeShade="7F"/>
      <w:sz w:val="24"/>
    </w:rPr>
  </w:style>
  <w:style w:type="character" w:customStyle="1" w:styleId="Heading7Char">
    <w:name w:val="Heading 7 Char"/>
    <w:basedOn w:val="DefaultParagraphFont"/>
    <w:link w:val="Heading7"/>
    <w:uiPriority w:val="9"/>
    <w:semiHidden/>
    <w:rsid w:val="00A60EE8"/>
    <w:rPr>
      <w:rFonts w:asciiTheme="majorHAnsi" w:eastAsiaTheme="majorEastAsia" w:hAnsiTheme="majorHAnsi" w:cstheme="majorBidi"/>
      <w:i/>
      <w:iCs/>
      <w:color w:val="1F4D78" w:themeColor="accent1" w:themeShade="7F"/>
      <w:sz w:val="24"/>
    </w:rPr>
  </w:style>
  <w:style w:type="character" w:customStyle="1" w:styleId="Heading8Char">
    <w:name w:val="Heading 8 Char"/>
    <w:basedOn w:val="DefaultParagraphFont"/>
    <w:link w:val="Heading8"/>
    <w:uiPriority w:val="9"/>
    <w:semiHidden/>
    <w:rsid w:val="00A60EE8"/>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60EE8"/>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505696"/>
    <w:pPr>
      <w:ind w:left="720"/>
      <w:contextualSpacing/>
    </w:pPr>
  </w:style>
  <w:style w:type="paragraph" w:styleId="TOCHeading">
    <w:name w:val="TOC Heading"/>
    <w:basedOn w:val="Heading1"/>
    <w:next w:val="Normal"/>
    <w:uiPriority w:val="39"/>
    <w:unhideWhenUsed/>
    <w:qFormat/>
    <w:rsid w:val="0082437D"/>
    <w:pPr>
      <w:spacing w:line="259" w:lineRule="auto"/>
      <w:jc w:val="left"/>
      <w:outlineLvl w:val="9"/>
    </w:pPr>
  </w:style>
  <w:style w:type="paragraph" w:styleId="TOC1">
    <w:name w:val="toc 1"/>
    <w:basedOn w:val="Normal"/>
    <w:next w:val="Normal"/>
    <w:autoRedefine/>
    <w:uiPriority w:val="39"/>
    <w:unhideWhenUsed/>
    <w:rsid w:val="0082437D"/>
    <w:pPr>
      <w:spacing w:after="100"/>
    </w:pPr>
  </w:style>
  <w:style w:type="paragraph" w:styleId="TOC2">
    <w:name w:val="toc 2"/>
    <w:basedOn w:val="Normal"/>
    <w:next w:val="Normal"/>
    <w:autoRedefine/>
    <w:uiPriority w:val="39"/>
    <w:unhideWhenUsed/>
    <w:rsid w:val="0082437D"/>
    <w:pPr>
      <w:spacing w:after="100"/>
      <w:ind w:left="240"/>
    </w:pPr>
  </w:style>
  <w:style w:type="paragraph" w:styleId="TOC3">
    <w:name w:val="toc 3"/>
    <w:basedOn w:val="Normal"/>
    <w:next w:val="Normal"/>
    <w:autoRedefine/>
    <w:uiPriority w:val="39"/>
    <w:unhideWhenUsed/>
    <w:rsid w:val="0082437D"/>
    <w:pPr>
      <w:spacing w:after="100"/>
      <w:ind w:left="480"/>
    </w:pPr>
  </w:style>
  <w:style w:type="character" w:styleId="Hyperlink">
    <w:name w:val="Hyperlink"/>
    <w:basedOn w:val="DefaultParagraphFont"/>
    <w:uiPriority w:val="99"/>
    <w:unhideWhenUsed/>
    <w:rsid w:val="0082437D"/>
    <w:rPr>
      <w:color w:val="0563C1" w:themeColor="hyperlink"/>
      <w:u w:val="single"/>
    </w:rPr>
  </w:style>
  <w:style w:type="paragraph" w:styleId="Bibliography">
    <w:name w:val="Bibliography"/>
    <w:basedOn w:val="Normal"/>
    <w:next w:val="Normal"/>
    <w:uiPriority w:val="37"/>
    <w:unhideWhenUsed/>
    <w:rsid w:val="000102FB"/>
  </w:style>
  <w:style w:type="character" w:customStyle="1" w:styleId="fontstyle01">
    <w:name w:val="fontstyle01"/>
    <w:basedOn w:val="DefaultParagraphFont"/>
    <w:rsid w:val="00E774D9"/>
    <w:rPr>
      <w:rFonts w:ascii="TimesNewRoman" w:hAnsi="TimesNewRoman" w:hint="default"/>
      <w:b w:val="0"/>
      <w:bCs w:val="0"/>
      <w:i w:val="0"/>
      <w:iCs w:val="0"/>
      <w:color w:val="000000"/>
      <w:sz w:val="24"/>
      <w:szCs w:val="24"/>
    </w:rPr>
  </w:style>
  <w:style w:type="character" w:styleId="CommentReference">
    <w:name w:val="annotation reference"/>
    <w:basedOn w:val="DefaultParagraphFont"/>
    <w:uiPriority w:val="99"/>
    <w:semiHidden/>
    <w:unhideWhenUsed/>
    <w:rsid w:val="003C7DAB"/>
    <w:rPr>
      <w:sz w:val="16"/>
      <w:szCs w:val="16"/>
    </w:rPr>
  </w:style>
  <w:style w:type="paragraph" w:styleId="CommentText">
    <w:name w:val="annotation text"/>
    <w:basedOn w:val="Normal"/>
    <w:link w:val="CommentTextChar"/>
    <w:uiPriority w:val="99"/>
    <w:semiHidden/>
    <w:unhideWhenUsed/>
    <w:rsid w:val="003C7DAB"/>
    <w:pPr>
      <w:spacing w:line="240" w:lineRule="auto"/>
    </w:pPr>
    <w:rPr>
      <w:sz w:val="20"/>
      <w:szCs w:val="20"/>
    </w:rPr>
  </w:style>
  <w:style w:type="character" w:customStyle="1" w:styleId="CommentTextChar">
    <w:name w:val="Comment Text Char"/>
    <w:basedOn w:val="DefaultParagraphFont"/>
    <w:link w:val="CommentText"/>
    <w:uiPriority w:val="99"/>
    <w:semiHidden/>
    <w:rsid w:val="003C7DAB"/>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3C7DAB"/>
    <w:rPr>
      <w:b/>
      <w:bCs/>
    </w:rPr>
  </w:style>
  <w:style w:type="character" w:customStyle="1" w:styleId="CommentSubjectChar">
    <w:name w:val="Comment Subject Char"/>
    <w:basedOn w:val="CommentTextChar"/>
    <w:link w:val="CommentSubject"/>
    <w:uiPriority w:val="99"/>
    <w:semiHidden/>
    <w:rsid w:val="003C7DAB"/>
    <w:rPr>
      <w:rFonts w:ascii="Times New Roman" w:hAnsi="Times New Roman"/>
      <w:b/>
      <w:bCs/>
      <w:sz w:val="20"/>
      <w:szCs w:val="20"/>
    </w:rPr>
  </w:style>
  <w:style w:type="paragraph" w:styleId="BalloonText">
    <w:name w:val="Balloon Text"/>
    <w:basedOn w:val="Normal"/>
    <w:link w:val="BalloonTextChar"/>
    <w:uiPriority w:val="99"/>
    <w:semiHidden/>
    <w:unhideWhenUsed/>
    <w:rsid w:val="003C7D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7DAB"/>
    <w:rPr>
      <w:rFonts w:ascii="Segoe UI" w:hAnsi="Segoe UI" w:cs="Segoe UI"/>
      <w:sz w:val="18"/>
      <w:szCs w:val="18"/>
    </w:rPr>
  </w:style>
  <w:style w:type="paragraph" w:styleId="NormalWeb">
    <w:name w:val="Normal (Web)"/>
    <w:basedOn w:val="Normal"/>
    <w:uiPriority w:val="99"/>
    <w:unhideWhenUsed/>
    <w:rsid w:val="00B10CD8"/>
    <w:pPr>
      <w:spacing w:before="100" w:beforeAutospacing="1" w:after="100" w:afterAutospacing="1" w:line="240" w:lineRule="auto"/>
      <w:ind w:firstLine="0"/>
      <w:jc w:val="left"/>
    </w:pPr>
    <w:rPr>
      <w:rFonts w:eastAsia="Times New Roman" w:cs="Times New Roman"/>
      <w:szCs w:val="24"/>
      <w:lang w:val="en-US"/>
    </w:rPr>
  </w:style>
  <w:style w:type="character" w:customStyle="1" w:styleId="fontstyle21">
    <w:name w:val="fontstyle21"/>
    <w:basedOn w:val="DefaultParagraphFont"/>
    <w:rsid w:val="0047410A"/>
    <w:rPr>
      <w:rFonts w:ascii="TimesNewRomanPSMT" w:hAnsi="TimesNewRomanPSMT" w:hint="default"/>
      <w:b w:val="0"/>
      <w:bCs w:val="0"/>
      <w:i w:val="0"/>
      <w:iCs w:val="0"/>
      <w:color w:val="000000"/>
      <w:sz w:val="24"/>
      <w:szCs w:val="24"/>
    </w:rPr>
  </w:style>
  <w:style w:type="paragraph" w:styleId="Caption">
    <w:name w:val="caption"/>
    <w:basedOn w:val="Normal"/>
    <w:next w:val="Normal"/>
    <w:uiPriority w:val="35"/>
    <w:unhideWhenUsed/>
    <w:qFormat/>
    <w:rsid w:val="00D619F9"/>
    <w:pPr>
      <w:spacing w:after="200" w:line="240" w:lineRule="auto"/>
    </w:pPr>
    <w:rPr>
      <w:i/>
      <w:iCs/>
      <w:color w:val="0D0D0D" w:themeColor="text1" w:themeTint="F2"/>
      <w:szCs w:val="18"/>
    </w:rPr>
  </w:style>
  <w:style w:type="table" w:styleId="TableGrid">
    <w:name w:val="Table Grid"/>
    <w:basedOn w:val="TableNormal"/>
    <w:uiPriority w:val="39"/>
    <w:rsid w:val="008955A4"/>
    <w:pPr>
      <w:spacing w:after="0" w:line="240" w:lineRule="auto"/>
      <w:ind w:firstLine="431"/>
      <w:jc w:val="both"/>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565484"/>
  </w:style>
  <w:style w:type="table" w:customStyle="1" w:styleId="GridTable1Light1">
    <w:name w:val="Grid Table 1 Light1"/>
    <w:basedOn w:val="TableNormal"/>
    <w:uiPriority w:val="46"/>
    <w:rsid w:val="0056548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Style1">
    <w:name w:val="Style1"/>
    <w:basedOn w:val="TableNormal"/>
    <w:uiPriority w:val="99"/>
    <w:rsid w:val="00565484"/>
    <w:pPr>
      <w:spacing w:after="0" w:line="240" w:lineRule="auto"/>
    </w:pPr>
    <w:tblPr/>
  </w:style>
  <w:style w:type="character" w:styleId="Emphasis">
    <w:name w:val="Emphasis"/>
    <w:basedOn w:val="DefaultParagraphFont"/>
    <w:uiPriority w:val="20"/>
    <w:qFormat/>
    <w:rsid w:val="00565484"/>
    <w:rPr>
      <w:i/>
      <w:iCs/>
    </w:rPr>
  </w:style>
  <w:style w:type="character" w:styleId="Strong">
    <w:name w:val="Strong"/>
    <w:basedOn w:val="DefaultParagraphFont"/>
    <w:uiPriority w:val="22"/>
    <w:qFormat/>
    <w:rsid w:val="00565484"/>
    <w:rPr>
      <w:b/>
      <w:bCs/>
    </w:rPr>
  </w:style>
  <w:style w:type="character" w:customStyle="1" w:styleId="s-variable">
    <w:name w:val="s-variable"/>
    <w:basedOn w:val="DefaultParagraphFont"/>
    <w:rsid w:val="00565484"/>
  </w:style>
  <w:style w:type="character" w:customStyle="1" w:styleId="n-variable">
    <w:name w:val="n-variable"/>
    <w:basedOn w:val="DefaultParagraphFont"/>
    <w:rsid w:val="00565484"/>
  </w:style>
  <w:style w:type="paragraph" w:styleId="TableofFigures">
    <w:name w:val="table of figures"/>
    <w:basedOn w:val="Normal"/>
    <w:next w:val="Normal"/>
    <w:uiPriority w:val="99"/>
    <w:unhideWhenUsed/>
    <w:rsid w:val="005318C8"/>
    <w:pPr>
      <w:spacing w:after="0"/>
    </w:pPr>
  </w:style>
  <w:style w:type="paragraph" w:styleId="NoSpacing">
    <w:name w:val="No Spacing"/>
    <w:uiPriority w:val="1"/>
    <w:qFormat/>
    <w:rsid w:val="00082F64"/>
    <w:pPr>
      <w:spacing w:after="0" w:line="240" w:lineRule="auto"/>
      <w:jc w:val="both"/>
    </w:pPr>
    <w:rPr>
      <w:rFonts w:ascii="Times New Roman" w:hAnsi="Times New Roman"/>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059">
      <w:bodyDiv w:val="1"/>
      <w:marLeft w:val="0"/>
      <w:marRight w:val="0"/>
      <w:marTop w:val="0"/>
      <w:marBottom w:val="0"/>
      <w:divBdr>
        <w:top w:val="none" w:sz="0" w:space="0" w:color="auto"/>
        <w:left w:val="none" w:sz="0" w:space="0" w:color="auto"/>
        <w:bottom w:val="none" w:sz="0" w:space="0" w:color="auto"/>
        <w:right w:val="none" w:sz="0" w:space="0" w:color="auto"/>
      </w:divBdr>
    </w:div>
    <w:div w:id="3436145">
      <w:bodyDiv w:val="1"/>
      <w:marLeft w:val="0"/>
      <w:marRight w:val="0"/>
      <w:marTop w:val="0"/>
      <w:marBottom w:val="0"/>
      <w:divBdr>
        <w:top w:val="none" w:sz="0" w:space="0" w:color="auto"/>
        <w:left w:val="none" w:sz="0" w:space="0" w:color="auto"/>
        <w:bottom w:val="none" w:sz="0" w:space="0" w:color="auto"/>
        <w:right w:val="none" w:sz="0" w:space="0" w:color="auto"/>
      </w:divBdr>
    </w:div>
    <w:div w:id="5864738">
      <w:bodyDiv w:val="1"/>
      <w:marLeft w:val="0"/>
      <w:marRight w:val="0"/>
      <w:marTop w:val="0"/>
      <w:marBottom w:val="0"/>
      <w:divBdr>
        <w:top w:val="none" w:sz="0" w:space="0" w:color="auto"/>
        <w:left w:val="none" w:sz="0" w:space="0" w:color="auto"/>
        <w:bottom w:val="none" w:sz="0" w:space="0" w:color="auto"/>
        <w:right w:val="none" w:sz="0" w:space="0" w:color="auto"/>
      </w:divBdr>
    </w:div>
    <w:div w:id="9451109">
      <w:bodyDiv w:val="1"/>
      <w:marLeft w:val="0"/>
      <w:marRight w:val="0"/>
      <w:marTop w:val="0"/>
      <w:marBottom w:val="0"/>
      <w:divBdr>
        <w:top w:val="none" w:sz="0" w:space="0" w:color="auto"/>
        <w:left w:val="none" w:sz="0" w:space="0" w:color="auto"/>
        <w:bottom w:val="none" w:sz="0" w:space="0" w:color="auto"/>
        <w:right w:val="none" w:sz="0" w:space="0" w:color="auto"/>
      </w:divBdr>
    </w:div>
    <w:div w:id="11107503">
      <w:bodyDiv w:val="1"/>
      <w:marLeft w:val="0"/>
      <w:marRight w:val="0"/>
      <w:marTop w:val="0"/>
      <w:marBottom w:val="0"/>
      <w:divBdr>
        <w:top w:val="none" w:sz="0" w:space="0" w:color="auto"/>
        <w:left w:val="none" w:sz="0" w:space="0" w:color="auto"/>
        <w:bottom w:val="none" w:sz="0" w:space="0" w:color="auto"/>
        <w:right w:val="none" w:sz="0" w:space="0" w:color="auto"/>
      </w:divBdr>
    </w:div>
    <w:div w:id="18169987">
      <w:bodyDiv w:val="1"/>
      <w:marLeft w:val="0"/>
      <w:marRight w:val="0"/>
      <w:marTop w:val="0"/>
      <w:marBottom w:val="0"/>
      <w:divBdr>
        <w:top w:val="none" w:sz="0" w:space="0" w:color="auto"/>
        <w:left w:val="none" w:sz="0" w:space="0" w:color="auto"/>
        <w:bottom w:val="none" w:sz="0" w:space="0" w:color="auto"/>
        <w:right w:val="none" w:sz="0" w:space="0" w:color="auto"/>
      </w:divBdr>
    </w:div>
    <w:div w:id="29382563">
      <w:bodyDiv w:val="1"/>
      <w:marLeft w:val="0"/>
      <w:marRight w:val="0"/>
      <w:marTop w:val="0"/>
      <w:marBottom w:val="0"/>
      <w:divBdr>
        <w:top w:val="none" w:sz="0" w:space="0" w:color="auto"/>
        <w:left w:val="none" w:sz="0" w:space="0" w:color="auto"/>
        <w:bottom w:val="none" w:sz="0" w:space="0" w:color="auto"/>
        <w:right w:val="none" w:sz="0" w:space="0" w:color="auto"/>
      </w:divBdr>
    </w:div>
    <w:div w:id="34741562">
      <w:bodyDiv w:val="1"/>
      <w:marLeft w:val="0"/>
      <w:marRight w:val="0"/>
      <w:marTop w:val="0"/>
      <w:marBottom w:val="0"/>
      <w:divBdr>
        <w:top w:val="none" w:sz="0" w:space="0" w:color="auto"/>
        <w:left w:val="none" w:sz="0" w:space="0" w:color="auto"/>
        <w:bottom w:val="none" w:sz="0" w:space="0" w:color="auto"/>
        <w:right w:val="none" w:sz="0" w:space="0" w:color="auto"/>
      </w:divBdr>
    </w:div>
    <w:div w:id="36246709">
      <w:bodyDiv w:val="1"/>
      <w:marLeft w:val="0"/>
      <w:marRight w:val="0"/>
      <w:marTop w:val="0"/>
      <w:marBottom w:val="0"/>
      <w:divBdr>
        <w:top w:val="none" w:sz="0" w:space="0" w:color="auto"/>
        <w:left w:val="none" w:sz="0" w:space="0" w:color="auto"/>
        <w:bottom w:val="none" w:sz="0" w:space="0" w:color="auto"/>
        <w:right w:val="none" w:sz="0" w:space="0" w:color="auto"/>
      </w:divBdr>
    </w:div>
    <w:div w:id="37436094">
      <w:bodyDiv w:val="1"/>
      <w:marLeft w:val="0"/>
      <w:marRight w:val="0"/>
      <w:marTop w:val="0"/>
      <w:marBottom w:val="0"/>
      <w:divBdr>
        <w:top w:val="none" w:sz="0" w:space="0" w:color="auto"/>
        <w:left w:val="none" w:sz="0" w:space="0" w:color="auto"/>
        <w:bottom w:val="none" w:sz="0" w:space="0" w:color="auto"/>
        <w:right w:val="none" w:sz="0" w:space="0" w:color="auto"/>
      </w:divBdr>
    </w:div>
    <w:div w:id="43481598">
      <w:bodyDiv w:val="1"/>
      <w:marLeft w:val="0"/>
      <w:marRight w:val="0"/>
      <w:marTop w:val="0"/>
      <w:marBottom w:val="0"/>
      <w:divBdr>
        <w:top w:val="none" w:sz="0" w:space="0" w:color="auto"/>
        <w:left w:val="none" w:sz="0" w:space="0" w:color="auto"/>
        <w:bottom w:val="none" w:sz="0" w:space="0" w:color="auto"/>
        <w:right w:val="none" w:sz="0" w:space="0" w:color="auto"/>
      </w:divBdr>
    </w:div>
    <w:div w:id="47151026">
      <w:bodyDiv w:val="1"/>
      <w:marLeft w:val="0"/>
      <w:marRight w:val="0"/>
      <w:marTop w:val="0"/>
      <w:marBottom w:val="0"/>
      <w:divBdr>
        <w:top w:val="none" w:sz="0" w:space="0" w:color="auto"/>
        <w:left w:val="none" w:sz="0" w:space="0" w:color="auto"/>
        <w:bottom w:val="none" w:sz="0" w:space="0" w:color="auto"/>
        <w:right w:val="none" w:sz="0" w:space="0" w:color="auto"/>
      </w:divBdr>
    </w:div>
    <w:div w:id="49770433">
      <w:bodyDiv w:val="1"/>
      <w:marLeft w:val="0"/>
      <w:marRight w:val="0"/>
      <w:marTop w:val="0"/>
      <w:marBottom w:val="0"/>
      <w:divBdr>
        <w:top w:val="none" w:sz="0" w:space="0" w:color="auto"/>
        <w:left w:val="none" w:sz="0" w:space="0" w:color="auto"/>
        <w:bottom w:val="none" w:sz="0" w:space="0" w:color="auto"/>
        <w:right w:val="none" w:sz="0" w:space="0" w:color="auto"/>
      </w:divBdr>
    </w:div>
    <w:div w:id="55512527">
      <w:bodyDiv w:val="1"/>
      <w:marLeft w:val="0"/>
      <w:marRight w:val="0"/>
      <w:marTop w:val="0"/>
      <w:marBottom w:val="0"/>
      <w:divBdr>
        <w:top w:val="none" w:sz="0" w:space="0" w:color="auto"/>
        <w:left w:val="none" w:sz="0" w:space="0" w:color="auto"/>
        <w:bottom w:val="none" w:sz="0" w:space="0" w:color="auto"/>
        <w:right w:val="none" w:sz="0" w:space="0" w:color="auto"/>
      </w:divBdr>
    </w:div>
    <w:div w:id="58525853">
      <w:bodyDiv w:val="1"/>
      <w:marLeft w:val="0"/>
      <w:marRight w:val="0"/>
      <w:marTop w:val="0"/>
      <w:marBottom w:val="0"/>
      <w:divBdr>
        <w:top w:val="none" w:sz="0" w:space="0" w:color="auto"/>
        <w:left w:val="none" w:sz="0" w:space="0" w:color="auto"/>
        <w:bottom w:val="none" w:sz="0" w:space="0" w:color="auto"/>
        <w:right w:val="none" w:sz="0" w:space="0" w:color="auto"/>
      </w:divBdr>
    </w:div>
    <w:div w:id="61604051">
      <w:bodyDiv w:val="1"/>
      <w:marLeft w:val="0"/>
      <w:marRight w:val="0"/>
      <w:marTop w:val="0"/>
      <w:marBottom w:val="0"/>
      <w:divBdr>
        <w:top w:val="none" w:sz="0" w:space="0" w:color="auto"/>
        <w:left w:val="none" w:sz="0" w:space="0" w:color="auto"/>
        <w:bottom w:val="none" w:sz="0" w:space="0" w:color="auto"/>
        <w:right w:val="none" w:sz="0" w:space="0" w:color="auto"/>
      </w:divBdr>
    </w:div>
    <w:div w:id="65760019">
      <w:bodyDiv w:val="1"/>
      <w:marLeft w:val="0"/>
      <w:marRight w:val="0"/>
      <w:marTop w:val="0"/>
      <w:marBottom w:val="0"/>
      <w:divBdr>
        <w:top w:val="none" w:sz="0" w:space="0" w:color="auto"/>
        <w:left w:val="none" w:sz="0" w:space="0" w:color="auto"/>
        <w:bottom w:val="none" w:sz="0" w:space="0" w:color="auto"/>
        <w:right w:val="none" w:sz="0" w:space="0" w:color="auto"/>
      </w:divBdr>
    </w:div>
    <w:div w:id="68698314">
      <w:bodyDiv w:val="1"/>
      <w:marLeft w:val="0"/>
      <w:marRight w:val="0"/>
      <w:marTop w:val="0"/>
      <w:marBottom w:val="0"/>
      <w:divBdr>
        <w:top w:val="none" w:sz="0" w:space="0" w:color="auto"/>
        <w:left w:val="none" w:sz="0" w:space="0" w:color="auto"/>
        <w:bottom w:val="none" w:sz="0" w:space="0" w:color="auto"/>
        <w:right w:val="none" w:sz="0" w:space="0" w:color="auto"/>
      </w:divBdr>
    </w:div>
    <w:div w:id="69617614">
      <w:bodyDiv w:val="1"/>
      <w:marLeft w:val="0"/>
      <w:marRight w:val="0"/>
      <w:marTop w:val="0"/>
      <w:marBottom w:val="0"/>
      <w:divBdr>
        <w:top w:val="none" w:sz="0" w:space="0" w:color="auto"/>
        <w:left w:val="none" w:sz="0" w:space="0" w:color="auto"/>
        <w:bottom w:val="none" w:sz="0" w:space="0" w:color="auto"/>
        <w:right w:val="none" w:sz="0" w:space="0" w:color="auto"/>
      </w:divBdr>
    </w:div>
    <w:div w:id="69668554">
      <w:bodyDiv w:val="1"/>
      <w:marLeft w:val="0"/>
      <w:marRight w:val="0"/>
      <w:marTop w:val="0"/>
      <w:marBottom w:val="0"/>
      <w:divBdr>
        <w:top w:val="none" w:sz="0" w:space="0" w:color="auto"/>
        <w:left w:val="none" w:sz="0" w:space="0" w:color="auto"/>
        <w:bottom w:val="none" w:sz="0" w:space="0" w:color="auto"/>
        <w:right w:val="none" w:sz="0" w:space="0" w:color="auto"/>
      </w:divBdr>
    </w:div>
    <w:div w:id="70857773">
      <w:bodyDiv w:val="1"/>
      <w:marLeft w:val="0"/>
      <w:marRight w:val="0"/>
      <w:marTop w:val="0"/>
      <w:marBottom w:val="0"/>
      <w:divBdr>
        <w:top w:val="none" w:sz="0" w:space="0" w:color="auto"/>
        <w:left w:val="none" w:sz="0" w:space="0" w:color="auto"/>
        <w:bottom w:val="none" w:sz="0" w:space="0" w:color="auto"/>
        <w:right w:val="none" w:sz="0" w:space="0" w:color="auto"/>
      </w:divBdr>
    </w:div>
    <w:div w:id="76101514">
      <w:bodyDiv w:val="1"/>
      <w:marLeft w:val="0"/>
      <w:marRight w:val="0"/>
      <w:marTop w:val="0"/>
      <w:marBottom w:val="0"/>
      <w:divBdr>
        <w:top w:val="none" w:sz="0" w:space="0" w:color="auto"/>
        <w:left w:val="none" w:sz="0" w:space="0" w:color="auto"/>
        <w:bottom w:val="none" w:sz="0" w:space="0" w:color="auto"/>
        <w:right w:val="none" w:sz="0" w:space="0" w:color="auto"/>
      </w:divBdr>
    </w:div>
    <w:div w:id="91586214">
      <w:bodyDiv w:val="1"/>
      <w:marLeft w:val="0"/>
      <w:marRight w:val="0"/>
      <w:marTop w:val="0"/>
      <w:marBottom w:val="0"/>
      <w:divBdr>
        <w:top w:val="none" w:sz="0" w:space="0" w:color="auto"/>
        <w:left w:val="none" w:sz="0" w:space="0" w:color="auto"/>
        <w:bottom w:val="none" w:sz="0" w:space="0" w:color="auto"/>
        <w:right w:val="none" w:sz="0" w:space="0" w:color="auto"/>
      </w:divBdr>
    </w:div>
    <w:div w:id="92173290">
      <w:bodyDiv w:val="1"/>
      <w:marLeft w:val="0"/>
      <w:marRight w:val="0"/>
      <w:marTop w:val="0"/>
      <w:marBottom w:val="0"/>
      <w:divBdr>
        <w:top w:val="none" w:sz="0" w:space="0" w:color="auto"/>
        <w:left w:val="none" w:sz="0" w:space="0" w:color="auto"/>
        <w:bottom w:val="none" w:sz="0" w:space="0" w:color="auto"/>
        <w:right w:val="none" w:sz="0" w:space="0" w:color="auto"/>
      </w:divBdr>
    </w:div>
    <w:div w:id="93013329">
      <w:bodyDiv w:val="1"/>
      <w:marLeft w:val="0"/>
      <w:marRight w:val="0"/>
      <w:marTop w:val="0"/>
      <w:marBottom w:val="0"/>
      <w:divBdr>
        <w:top w:val="none" w:sz="0" w:space="0" w:color="auto"/>
        <w:left w:val="none" w:sz="0" w:space="0" w:color="auto"/>
        <w:bottom w:val="none" w:sz="0" w:space="0" w:color="auto"/>
        <w:right w:val="none" w:sz="0" w:space="0" w:color="auto"/>
      </w:divBdr>
    </w:div>
    <w:div w:id="93326815">
      <w:bodyDiv w:val="1"/>
      <w:marLeft w:val="0"/>
      <w:marRight w:val="0"/>
      <w:marTop w:val="0"/>
      <w:marBottom w:val="0"/>
      <w:divBdr>
        <w:top w:val="none" w:sz="0" w:space="0" w:color="auto"/>
        <w:left w:val="none" w:sz="0" w:space="0" w:color="auto"/>
        <w:bottom w:val="none" w:sz="0" w:space="0" w:color="auto"/>
        <w:right w:val="none" w:sz="0" w:space="0" w:color="auto"/>
      </w:divBdr>
    </w:div>
    <w:div w:id="95758803">
      <w:bodyDiv w:val="1"/>
      <w:marLeft w:val="0"/>
      <w:marRight w:val="0"/>
      <w:marTop w:val="0"/>
      <w:marBottom w:val="0"/>
      <w:divBdr>
        <w:top w:val="none" w:sz="0" w:space="0" w:color="auto"/>
        <w:left w:val="none" w:sz="0" w:space="0" w:color="auto"/>
        <w:bottom w:val="none" w:sz="0" w:space="0" w:color="auto"/>
        <w:right w:val="none" w:sz="0" w:space="0" w:color="auto"/>
      </w:divBdr>
    </w:div>
    <w:div w:id="99498053">
      <w:bodyDiv w:val="1"/>
      <w:marLeft w:val="0"/>
      <w:marRight w:val="0"/>
      <w:marTop w:val="0"/>
      <w:marBottom w:val="0"/>
      <w:divBdr>
        <w:top w:val="none" w:sz="0" w:space="0" w:color="auto"/>
        <w:left w:val="none" w:sz="0" w:space="0" w:color="auto"/>
        <w:bottom w:val="none" w:sz="0" w:space="0" w:color="auto"/>
        <w:right w:val="none" w:sz="0" w:space="0" w:color="auto"/>
      </w:divBdr>
    </w:div>
    <w:div w:id="102069852">
      <w:bodyDiv w:val="1"/>
      <w:marLeft w:val="0"/>
      <w:marRight w:val="0"/>
      <w:marTop w:val="0"/>
      <w:marBottom w:val="0"/>
      <w:divBdr>
        <w:top w:val="none" w:sz="0" w:space="0" w:color="auto"/>
        <w:left w:val="none" w:sz="0" w:space="0" w:color="auto"/>
        <w:bottom w:val="none" w:sz="0" w:space="0" w:color="auto"/>
        <w:right w:val="none" w:sz="0" w:space="0" w:color="auto"/>
      </w:divBdr>
    </w:div>
    <w:div w:id="105807610">
      <w:bodyDiv w:val="1"/>
      <w:marLeft w:val="0"/>
      <w:marRight w:val="0"/>
      <w:marTop w:val="0"/>
      <w:marBottom w:val="0"/>
      <w:divBdr>
        <w:top w:val="none" w:sz="0" w:space="0" w:color="auto"/>
        <w:left w:val="none" w:sz="0" w:space="0" w:color="auto"/>
        <w:bottom w:val="none" w:sz="0" w:space="0" w:color="auto"/>
        <w:right w:val="none" w:sz="0" w:space="0" w:color="auto"/>
      </w:divBdr>
    </w:div>
    <w:div w:id="110244662">
      <w:bodyDiv w:val="1"/>
      <w:marLeft w:val="0"/>
      <w:marRight w:val="0"/>
      <w:marTop w:val="0"/>
      <w:marBottom w:val="0"/>
      <w:divBdr>
        <w:top w:val="none" w:sz="0" w:space="0" w:color="auto"/>
        <w:left w:val="none" w:sz="0" w:space="0" w:color="auto"/>
        <w:bottom w:val="none" w:sz="0" w:space="0" w:color="auto"/>
        <w:right w:val="none" w:sz="0" w:space="0" w:color="auto"/>
      </w:divBdr>
    </w:div>
    <w:div w:id="111172980">
      <w:bodyDiv w:val="1"/>
      <w:marLeft w:val="0"/>
      <w:marRight w:val="0"/>
      <w:marTop w:val="0"/>
      <w:marBottom w:val="0"/>
      <w:divBdr>
        <w:top w:val="none" w:sz="0" w:space="0" w:color="auto"/>
        <w:left w:val="none" w:sz="0" w:space="0" w:color="auto"/>
        <w:bottom w:val="none" w:sz="0" w:space="0" w:color="auto"/>
        <w:right w:val="none" w:sz="0" w:space="0" w:color="auto"/>
      </w:divBdr>
    </w:div>
    <w:div w:id="111288672">
      <w:bodyDiv w:val="1"/>
      <w:marLeft w:val="0"/>
      <w:marRight w:val="0"/>
      <w:marTop w:val="0"/>
      <w:marBottom w:val="0"/>
      <w:divBdr>
        <w:top w:val="none" w:sz="0" w:space="0" w:color="auto"/>
        <w:left w:val="none" w:sz="0" w:space="0" w:color="auto"/>
        <w:bottom w:val="none" w:sz="0" w:space="0" w:color="auto"/>
        <w:right w:val="none" w:sz="0" w:space="0" w:color="auto"/>
      </w:divBdr>
    </w:div>
    <w:div w:id="112486876">
      <w:bodyDiv w:val="1"/>
      <w:marLeft w:val="0"/>
      <w:marRight w:val="0"/>
      <w:marTop w:val="0"/>
      <w:marBottom w:val="0"/>
      <w:divBdr>
        <w:top w:val="none" w:sz="0" w:space="0" w:color="auto"/>
        <w:left w:val="none" w:sz="0" w:space="0" w:color="auto"/>
        <w:bottom w:val="none" w:sz="0" w:space="0" w:color="auto"/>
        <w:right w:val="none" w:sz="0" w:space="0" w:color="auto"/>
      </w:divBdr>
    </w:div>
    <w:div w:id="115103727">
      <w:bodyDiv w:val="1"/>
      <w:marLeft w:val="0"/>
      <w:marRight w:val="0"/>
      <w:marTop w:val="0"/>
      <w:marBottom w:val="0"/>
      <w:divBdr>
        <w:top w:val="none" w:sz="0" w:space="0" w:color="auto"/>
        <w:left w:val="none" w:sz="0" w:space="0" w:color="auto"/>
        <w:bottom w:val="none" w:sz="0" w:space="0" w:color="auto"/>
        <w:right w:val="none" w:sz="0" w:space="0" w:color="auto"/>
      </w:divBdr>
    </w:div>
    <w:div w:id="115373801">
      <w:bodyDiv w:val="1"/>
      <w:marLeft w:val="0"/>
      <w:marRight w:val="0"/>
      <w:marTop w:val="0"/>
      <w:marBottom w:val="0"/>
      <w:divBdr>
        <w:top w:val="none" w:sz="0" w:space="0" w:color="auto"/>
        <w:left w:val="none" w:sz="0" w:space="0" w:color="auto"/>
        <w:bottom w:val="none" w:sz="0" w:space="0" w:color="auto"/>
        <w:right w:val="none" w:sz="0" w:space="0" w:color="auto"/>
      </w:divBdr>
    </w:div>
    <w:div w:id="117266737">
      <w:bodyDiv w:val="1"/>
      <w:marLeft w:val="0"/>
      <w:marRight w:val="0"/>
      <w:marTop w:val="0"/>
      <w:marBottom w:val="0"/>
      <w:divBdr>
        <w:top w:val="none" w:sz="0" w:space="0" w:color="auto"/>
        <w:left w:val="none" w:sz="0" w:space="0" w:color="auto"/>
        <w:bottom w:val="none" w:sz="0" w:space="0" w:color="auto"/>
        <w:right w:val="none" w:sz="0" w:space="0" w:color="auto"/>
      </w:divBdr>
    </w:div>
    <w:div w:id="122692964">
      <w:bodyDiv w:val="1"/>
      <w:marLeft w:val="0"/>
      <w:marRight w:val="0"/>
      <w:marTop w:val="0"/>
      <w:marBottom w:val="0"/>
      <w:divBdr>
        <w:top w:val="none" w:sz="0" w:space="0" w:color="auto"/>
        <w:left w:val="none" w:sz="0" w:space="0" w:color="auto"/>
        <w:bottom w:val="none" w:sz="0" w:space="0" w:color="auto"/>
        <w:right w:val="none" w:sz="0" w:space="0" w:color="auto"/>
      </w:divBdr>
    </w:div>
    <w:div w:id="123474158">
      <w:bodyDiv w:val="1"/>
      <w:marLeft w:val="0"/>
      <w:marRight w:val="0"/>
      <w:marTop w:val="0"/>
      <w:marBottom w:val="0"/>
      <w:divBdr>
        <w:top w:val="none" w:sz="0" w:space="0" w:color="auto"/>
        <w:left w:val="none" w:sz="0" w:space="0" w:color="auto"/>
        <w:bottom w:val="none" w:sz="0" w:space="0" w:color="auto"/>
        <w:right w:val="none" w:sz="0" w:space="0" w:color="auto"/>
      </w:divBdr>
    </w:div>
    <w:div w:id="128011692">
      <w:bodyDiv w:val="1"/>
      <w:marLeft w:val="0"/>
      <w:marRight w:val="0"/>
      <w:marTop w:val="0"/>
      <w:marBottom w:val="0"/>
      <w:divBdr>
        <w:top w:val="none" w:sz="0" w:space="0" w:color="auto"/>
        <w:left w:val="none" w:sz="0" w:space="0" w:color="auto"/>
        <w:bottom w:val="none" w:sz="0" w:space="0" w:color="auto"/>
        <w:right w:val="none" w:sz="0" w:space="0" w:color="auto"/>
      </w:divBdr>
    </w:div>
    <w:div w:id="132064197">
      <w:bodyDiv w:val="1"/>
      <w:marLeft w:val="0"/>
      <w:marRight w:val="0"/>
      <w:marTop w:val="0"/>
      <w:marBottom w:val="0"/>
      <w:divBdr>
        <w:top w:val="none" w:sz="0" w:space="0" w:color="auto"/>
        <w:left w:val="none" w:sz="0" w:space="0" w:color="auto"/>
        <w:bottom w:val="none" w:sz="0" w:space="0" w:color="auto"/>
        <w:right w:val="none" w:sz="0" w:space="0" w:color="auto"/>
      </w:divBdr>
    </w:div>
    <w:div w:id="135267218">
      <w:bodyDiv w:val="1"/>
      <w:marLeft w:val="0"/>
      <w:marRight w:val="0"/>
      <w:marTop w:val="0"/>
      <w:marBottom w:val="0"/>
      <w:divBdr>
        <w:top w:val="none" w:sz="0" w:space="0" w:color="auto"/>
        <w:left w:val="none" w:sz="0" w:space="0" w:color="auto"/>
        <w:bottom w:val="none" w:sz="0" w:space="0" w:color="auto"/>
        <w:right w:val="none" w:sz="0" w:space="0" w:color="auto"/>
      </w:divBdr>
    </w:div>
    <w:div w:id="137652237">
      <w:bodyDiv w:val="1"/>
      <w:marLeft w:val="0"/>
      <w:marRight w:val="0"/>
      <w:marTop w:val="0"/>
      <w:marBottom w:val="0"/>
      <w:divBdr>
        <w:top w:val="none" w:sz="0" w:space="0" w:color="auto"/>
        <w:left w:val="none" w:sz="0" w:space="0" w:color="auto"/>
        <w:bottom w:val="none" w:sz="0" w:space="0" w:color="auto"/>
        <w:right w:val="none" w:sz="0" w:space="0" w:color="auto"/>
      </w:divBdr>
    </w:div>
    <w:div w:id="138151902">
      <w:bodyDiv w:val="1"/>
      <w:marLeft w:val="0"/>
      <w:marRight w:val="0"/>
      <w:marTop w:val="0"/>
      <w:marBottom w:val="0"/>
      <w:divBdr>
        <w:top w:val="none" w:sz="0" w:space="0" w:color="auto"/>
        <w:left w:val="none" w:sz="0" w:space="0" w:color="auto"/>
        <w:bottom w:val="none" w:sz="0" w:space="0" w:color="auto"/>
        <w:right w:val="none" w:sz="0" w:space="0" w:color="auto"/>
      </w:divBdr>
    </w:div>
    <w:div w:id="140583410">
      <w:bodyDiv w:val="1"/>
      <w:marLeft w:val="0"/>
      <w:marRight w:val="0"/>
      <w:marTop w:val="0"/>
      <w:marBottom w:val="0"/>
      <w:divBdr>
        <w:top w:val="none" w:sz="0" w:space="0" w:color="auto"/>
        <w:left w:val="none" w:sz="0" w:space="0" w:color="auto"/>
        <w:bottom w:val="none" w:sz="0" w:space="0" w:color="auto"/>
        <w:right w:val="none" w:sz="0" w:space="0" w:color="auto"/>
      </w:divBdr>
    </w:div>
    <w:div w:id="144981191">
      <w:bodyDiv w:val="1"/>
      <w:marLeft w:val="0"/>
      <w:marRight w:val="0"/>
      <w:marTop w:val="0"/>
      <w:marBottom w:val="0"/>
      <w:divBdr>
        <w:top w:val="none" w:sz="0" w:space="0" w:color="auto"/>
        <w:left w:val="none" w:sz="0" w:space="0" w:color="auto"/>
        <w:bottom w:val="none" w:sz="0" w:space="0" w:color="auto"/>
        <w:right w:val="none" w:sz="0" w:space="0" w:color="auto"/>
      </w:divBdr>
    </w:div>
    <w:div w:id="146748711">
      <w:bodyDiv w:val="1"/>
      <w:marLeft w:val="0"/>
      <w:marRight w:val="0"/>
      <w:marTop w:val="0"/>
      <w:marBottom w:val="0"/>
      <w:divBdr>
        <w:top w:val="none" w:sz="0" w:space="0" w:color="auto"/>
        <w:left w:val="none" w:sz="0" w:space="0" w:color="auto"/>
        <w:bottom w:val="none" w:sz="0" w:space="0" w:color="auto"/>
        <w:right w:val="none" w:sz="0" w:space="0" w:color="auto"/>
      </w:divBdr>
    </w:div>
    <w:div w:id="152917354">
      <w:bodyDiv w:val="1"/>
      <w:marLeft w:val="0"/>
      <w:marRight w:val="0"/>
      <w:marTop w:val="0"/>
      <w:marBottom w:val="0"/>
      <w:divBdr>
        <w:top w:val="none" w:sz="0" w:space="0" w:color="auto"/>
        <w:left w:val="none" w:sz="0" w:space="0" w:color="auto"/>
        <w:bottom w:val="none" w:sz="0" w:space="0" w:color="auto"/>
        <w:right w:val="none" w:sz="0" w:space="0" w:color="auto"/>
      </w:divBdr>
    </w:div>
    <w:div w:id="153882575">
      <w:bodyDiv w:val="1"/>
      <w:marLeft w:val="0"/>
      <w:marRight w:val="0"/>
      <w:marTop w:val="0"/>
      <w:marBottom w:val="0"/>
      <w:divBdr>
        <w:top w:val="none" w:sz="0" w:space="0" w:color="auto"/>
        <w:left w:val="none" w:sz="0" w:space="0" w:color="auto"/>
        <w:bottom w:val="none" w:sz="0" w:space="0" w:color="auto"/>
        <w:right w:val="none" w:sz="0" w:space="0" w:color="auto"/>
      </w:divBdr>
    </w:div>
    <w:div w:id="155876425">
      <w:bodyDiv w:val="1"/>
      <w:marLeft w:val="0"/>
      <w:marRight w:val="0"/>
      <w:marTop w:val="0"/>
      <w:marBottom w:val="0"/>
      <w:divBdr>
        <w:top w:val="none" w:sz="0" w:space="0" w:color="auto"/>
        <w:left w:val="none" w:sz="0" w:space="0" w:color="auto"/>
        <w:bottom w:val="none" w:sz="0" w:space="0" w:color="auto"/>
        <w:right w:val="none" w:sz="0" w:space="0" w:color="auto"/>
      </w:divBdr>
    </w:div>
    <w:div w:id="156848242">
      <w:bodyDiv w:val="1"/>
      <w:marLeft w:val="0"/>
      <w:marRight w:val="0"/>
      <w:marTop w:val="0"/>
      <w:marBottom w:val="0"/>
      <w:divBdr>
        <w:top w:val="none" w:sz="0" w:space="0" w:color="auto"/>
        <w:left w:val="none" w:sz="0" w:space="0" w:color="auto"/>
        <w:bottom w:val="none" w:sz="0" w:space="0" w:color="auto"/>
        <w:right w:val="none" w:sz="0" w:space="0" w:color="auto"/>
      </w:divBdr>
    </w:div>
    <w:div w:id="157355803">
      <w:bodyDiv w:val="1"/>
      <w:marLeft w:val="0"/>
      <w:marRight w:val="0"/>
      <w:marTop w:val="0"/>
      <w:marBottom w:val="0"/>
      <w:divBdr>
        <w:top w:val="none" w:sz="0" w:space="0" w:color="auto"/>
        <w:left w:val="none" w:sz="0" w:space="0" w:color="auto"/>
        <w:bottom w:val="none" w:sz="0" w:space="0" w:color="auto"/>
        <w:right w:val="none" w:sz="0" w:space="0" w:color="auto"/>
      </w:divBdr>
    </w:div>
    <w:div w:id="163402512">
      <w:bodyDiv w:val="1"/>
      <w:marLeft w:val="0"/>
      <w:marRight w:val="0"/>
      <w:marTop w:val="0"/>
      <w:marBottom w:val="0"/>
      <w:divBdr>
        <w:top w:val="none" w:sz="0" w:space="0" w:color="auto"/>
        <w:left w:val="none" w:sz="0" w:space="0" w:color="auto"/>
        <w:bottom w:val="none" w:sz="0" w:space="0" w:color="auto"/>
        <w:right w:val="none" w:sz="0" w:space="0" w:color="auto"/>
      </w:divBdr>
    </w:div>
    <w:div w:id="165563899">
      <w:bodyDiv w:val="1"/>
      <w:marLeft w:val="0"/>
      <w:marRight w:val="0"/>
      <w:marTop w:val="0"/>
      <w:marBottom w:val="0"/>
      <w:divBdr>
        <w:top w:val="none" w:sz="0" w:space="0" w:color="auto"/>
        <w:left w:val="none" w:sz="0" w:space="0" w:color="auto"/>
        <w:bottom w:val="none" w:sz="0" w:space="0" w:color="auto"/>
        <w:right w:val="none" w:sz="0" w:space="0" w:color="auto"/>
      </w:divBdr>
    </w:div>
    <w:div w:id="166527113">
      <w:bodyDiv w:val="1"/>
      <w:marLeft w:val="0"/>
      <w:marRight w:val="0"/>
      <w:marTop w:val="0"/>
      <w:marBottom w:val="0"/>
      <w:divBdr>
        <w:top w:val="none" w:sz="0" w:space="0" w:color="auto"/>
        <w:left w:val="none" w:sz="0" w:space="0" w:color="auto"/>
        <w:bottom w:val="none" w:sz="0" w:space="0" w:color="auto"/>
        <w:right w:val="none" w:sz="0" w:space="0" w:color="auto"/>
      </w:divBdr>
    </w:div>
    <w:div w:id="168831508">
      <w:bodyDiv w:val="1"/>
      <w:marLeft w:val="0"/>
      <w:marRight w:val="0"/>
      <w:marTop w:val="0"/>
      <w:marBottom w:val="0"/>
      <w:divBdr>
        <w:top w:val="none" w:sz="0" w:space="0" w:color="auto"/>
        <w:left w:val="none" w:sz="0" w:space="0" w:color="auto"/>
        <w:bottom w:val="none" w:sz="0" w:space="0" w:color="auto"/>
        <w:right w:val="none" w:sz="0" w:space="0" w:color="auto"/>
      </w:divBdr>
    </w:div>
    <w:div w:id="184639970">
      <w:bodyDiv w:val="1"/>
      <w:marLeft w:val="0"/>
      <w:marRight w:val="0"/>
      <w:marTop w:val="0"/>
      <w:marBottom w:val="0"/>
      <w:divBdr>
        <w:top w:val="none" w:sz="0" w:space="0" w:color="auto"/>
        <w:left w:val="none" w:sz="0" w:space="0" w:color="auto"/>
        <w:bottom w:val="none" w:sz="0" w:space="0" w:color="auto"/>
        <w:right w:val="none" w:sz="0" w:space="0" w:color="auto"/>
      </w:divBdr>
    </w:div>
    <w:div w:id="184683830">
      <w:bodyDiv w:val="1"/>
      <w:marLeft w:val="0"/>
      <w:marRight w:val="0"/>
      <w:marTop w:val="0"/>
      <w:marBottom w:val="0"/>
      <w:divBdr>
        <w:top w:val="none" w:sz="0" w:space="0" w:color="auto"/>
        <w:left w:val="none" w:sz="0" w:space="0" w:color="auto"/>
        <w:bottom w:val="none" w:sz="0" w:space="0" w:color="auto"/>
        <w:right w:val="none" w:sz="0" w:space="0" w:color="auto"/>
      </w:divBdr>
    </w:div>
    <w:div w:id="191116273">
      <w:bodyDiv w:val="1"/>
      <w:marLeft w:val="0"/>
      <w:marRight w:val="0"/>
      <w:marTop w:val="0"/>
      <w:marBottom w:val="0"/>
      <w:divBdr>
        <w:top w:val="none" w:sz="0" w:space="0" w:color="auto"/>
        <w:left w:val="none" w:sz="0" w:space="0" w:color="auto"/>
        <w:bottom w:val="none" w:sz="0" w:space="0" w:color="auto"/>
        <w:right w:val="none" w:sz="0" w:space="0" w:color="auto"/>
      </w:divBdr>
    </w:div>
    <w:div w:id="192035823">
      <w:bodyDiv w:val="1"/>
      <w:marLeft w:val="0"/>
      <w:marRight w:val="0"/>
      <w:marTop w:val="0"/>
      <w:marBottom w:val="0"/>
      <w:divBdr>
        <w:top w:val="none" w:sz="0" w:space="0" w:color="auto"/>
        <w:left w:val="none" w:sz="0" w:space="0" w:color="auto"/>
        <w:bottom w:val="none" w:sz="0" w:space="0" w:color="auto"/>
        <w:right w:val="none" w:sz="0" w:space="0" w:color="auto"/>
      </w:divBdr>
    </w:div>
    <w:div w:id="192423179">
      <w:bodyDiv w:val="1"/>
      <w:marLeft w:val="0"/>
      <w:marRight w:val="0"/>
      <w:marTop w:val="0"/>
      <w:marBottom w:val="0"/>
      <w:divBdr>
        <w:top w:val="none" w:sz="0" w:space="0" w:color="auto"/>
        <w:left w:val="none" w:sz="0" w:space="0" w:color="auto"/>
        <w:bottom w:val="none" w:sz="0" w:space="0" w:color="auto"/>
        <w:right w:val="none" w:sz="0" w:space="0" w:color="auto"/>
      </w:divBdr>
    </w:div>
    <w:div w:id="193731136">
      <w:bodyDiv w:val="1"/>
      <w:marLeft w:val="0"/>
      <w:marRight w:val="0"/>
      <w:marTop w:val="0"/>
      <w:marBottom w:val="0"/>
      <w:divBdr>
        <w:top w:val="none" w:sz="0" w:space="0" w:color="auto"/>
        <w:left w:val="none" w:sz="0" w:space="0" w:color="auto"/>
        <w:bottom w:val="none" w:sz="0" w:space="0" w:color="auto"/>
        <w:right w:val="none" w:sz="0" w:space="0" w:color="auto"/>
      </w:divBdr>
    </w:div>
    <w:div w:id="195236896">
      <w:bodyDiv w:val="1"/>
      <w:marLeft w:val="0"/>
      <w:marRight w:val="0"/>
      <w:marTop w:val="0"/>
      <w:marBottom w:val="0"/>
      <w:divBdr>
        <w:top w:val="none" w:sz="0" w:space="0" w:color="auto"/>
        <w:left w:val="none" w:sz="0" w:space="0" w:color="auto"/>
        <w:bottom w:val="none" w:sz="0" w:space="0" w:color="auto"/>
        <w:right w:val="none" w:sz="0" w:space="0" w:color="auto"/>
      </w:divBdr>
    </w:div>
    <w:div w:id="195698862">
      <w:bodyDiv w:val="1"/>
      <w:marLeft w:val="0"/>
      <w:marRight w:val="0"/>
      <w:marTop w:val="0"/>
      <w:marBottom w:val="0"/>
      <w:divBdr>
        <w:top w:val="none" w:sz="0" w:space="0" w:color="auto"/>
        <w:left w:val="none" w:sz="0" w:space="0" w:color="auto"/>
        <w:bottom w:val="none" w:sz="0" w:space="0" w:color="auto"/>
        <w:right w:val="none" w:sz="0" w:space="0" w:color="auto"/>
      </w:divBdr>
    </w:div>
    <w:div w:id="200482258">
      <w:bodyDiv w:val="1"/>
      <w:marLeft w:val="0"/>
      <w:marRight w:val="0"/>
      <w:marTop w:val="0"/>
      <w:marBottom w:val="0"/>
      <w:divBdr>
        <w:top w:val="none" w:sz="0" w:space="0" w:color="auto"/>
        <w:left w:val="none" w:sz="0" w:space="0" w:color="auto"/>
        <w:bottom w:val="none" w:sz="0" w:space="0" w:color="auto"/>
        <w:right w:val="none" w:sz="0" w:space="0" w:color="auto"/>
      </w:divBdr>
    </w:div>
    <w:div w:id="205072506">
      <w:bodyDiv w:val="1"/>
      <w:marLeft w:val="0"/>
      <w:marRight w:val="0"/>
      <w:marTop w:val="0"/>
      <w:marBottom w:val="0"/>
      <w:divBdr>
        <w:top w:val="none" w:sz="0" w:space="0" w:color="auto"/>
        <w:left w:val="none" w:sz="0" w:space="0" w:color="auto"/>
        <w:bottom w:val="none" w:sz="0" w:space="0" w:color="auto"/>
        <w:right w:val="none" w:sz="0" w:space="0" w:color="auto"/>
      </w:divBdr>
    </w:div>
    <w:div w:id="205263541">
      <w:bodyDiv w:val="1"/>
      <w:marLeft w:val="0"/>
      <w:marRight w:val="0"/>
      <w:marTop w:val="0"/>
      <w:marBottom w:val="0"/>
      <w:divBdr>
        <w:top w:val="none" w:sz="0" w:space="0" w:color="auto"/>
        <w:left w:val="none" w:sz="0" w:space="0" w:color="auto"/>
        <w:bottom w:val="none" w:sz="0" w:space="0" w:color="auto"/>
        <w:right w:val="none" w:sz="0" w:space="0" w:color="auto"/>
      </w:divBdr>
    </w:div>
    <w:div w:id="208305268">
      <w:bodyDiv w:val="1"/>
      <w:marLeft w:val="0"/>
      <w:marRight w:val="0"/>
      <w:marTop w:val="0"/>
      <w:marBottom w:val="0"/>
      <w:divBdr>
        <w:top w:val="none" w:sz="0" w:space="0" w:color="auto"/>
        <w:left w:val="none" w:sz="0" w:space="0" w:color="auto"/>
        <w:bottom w:val="none" w:sz="0" w:space="0" w:color="auto"/>
        <w:right w:val="none" w:sz="0" w:space="0" w:color="auto"/>
      </w:divBdr>
    </w:div>
    <w:div w:id="217401466">
      <w:bodyDiv w:val="1"/>
      <w:marLeft w:val="0"/>
      <w:marRight w:val="0"/>
      <w:marTop w:val="0"/>
      <w:marBottom w:val="0"/>
      <w:divBdr>
        <w:top w:val="none" w:sz="0" w:space="0" w:color="auto"/>
        <w:left w:val="none" w:sz="0" w:space="0" w:color="auto"/>
        <w:bottom w:val="none" w:sz="0" w:space="0" w:color="auto"/>
        <w:right w:val="none" w:sz="0" w:space="0" w:color="auto"/>
      </w:divBdr>
    </w:div>
    <w:div w:id="225340355">
      <w:bodyDiv w:val="1"/>
      <w:marLeft w:val="0"/>
      <w:marRight w:val="0"/>
      <w:marTop w:val="0"/>
      <w:marBottom w:val="0"/>
      <w:divBdr>
        <w:top w:val="none" w:sz="0" w:space="0" w:color="auto"/>
        <w:left w:val="none" w:sz="0" w:space="0" w:color="auto"/>
        <w:bottom w:val="none" w:sz="0" w:space="0" w:color="auto"/>
        <w:right w:val="none" w:sz="0" w:space="0" w:color="auto"/>
      </w:divBdr>
    </w:div>
    <w:div w:id="226956530">
      <w:bodyDiv w:val="1"/>
      <w:marLeft w:val="0"/>
      <w:marRight w:val="0"/>
      <w:marTop w:val="0"/>
      <w:marBottom w:val="0"/>
      <w:divBdr>
        <w:top w:val="none" w:sz="0" w:space="0" w:color="auto"/>
        <w:left w:val="none" w:sz="0" w:space="0" w:color="auto"/>
        <w:bottom w:val="none" w:sz="0" w:space="0" w:color="auto"/>
        <w:right w:val="none" w:sz="0" w:space="0" w:color="auto"/>
      </w:divBdr>
    </w:div>
    <w:div w:id="227762115">
      <w:bodyDiv w:val="1"/>
      <w:marLeft w:val="0"/>
      <w:marRight w:val="0"/>
      <w:marTop w:val="0"/>
      <w:marBottom w:val="0"/>
      <w:divBdr>
        <w:top w:val="none" w:sz="0" w:space="0" w:color="auto"/>
        <w:left w:val="none" w:sz="0" w:space="0" w:color="auto"/>
        <w:bottom w:val="none" w:sz="0" w:space="0" w:color="auto"/>
        <w:right w:val="none" w:sz="0" w:space="0" w:color="auto"/>
      </w:divBdr>
    </w:div>
    <w:div w:id="248197160">
      <w:bodyDiv w:val="1"/>
      <w:marLeft w:val="0"/>
      <w:marRight w:val="0"/>
      <w:marTop w:val="0"/>
      <w:marBottom w:val="0"/>
      <w:divBdr>
        <w:top w:val="none" w:sz="0" w:space="0" w:color="auto"/>
        <w:left w:val="none" w:sz="0" w:space="0" w:color="auto"/>
        <w:bottom w:val="none" w:sz="0" w:space="0" w:color="auto"/>
        <w:right w:val="none" w:sz="0" w:space="0" w:color="auto"/>
      </w:divBdr>
    </w:div>
    <w:div w:id="254754517">
      <w:bodyDiv w:val="1"/>
      <w:marLeft w:val="0"/>
      <w:marRight w:val="0"/>
      <w:marTop w:val="0"/>
      <w:marBottom w:val="0"/>
      <w:divBdr>
        <w:top w:val="none" w:sz="0" w:space="0" w:color="auto"/>
        <w:left w:val="none" w:sz="0" w:space="0" w:color="auto"/>
        <w:bottom w:val="none" w:sz="0" w:space="0" w:color="auto"/>
        <w:right w:val="none" w:sz="0" w:space="0" w:color="auto"/>
      </w:divBdr>
    </w:div>
    <w:div w:id="254943959">
      <w:bodyDiv w:val="1"/>
      <w:marLeft w:val="0"/>
      <w:marRight w:val="0"/>
      <w:marTop w:val="0"/>
      <w:marBottom w:val="0"/>
      <w:divBdr>
        <w:top w:val="none" w:sz="0" w:space="0" w:color="auto"/>
        <w:left w:val="none" w:sz="0" w:space="0" w:color="auto"/>
        <w:bottom w:val="none" w:sz="0" w:space="0" w:color="auto"/>
        <w:right w:val="none" w:sz="0" w:space="0" w:color="auto"/>
      </w:divBdr>
    </w:div>
    <w:div w:id="257254406">
      <w:bodyDiv w:val="1"/>
      <w:marLeft w:val="0"/>
      <w:marRight w:val="0"/>
      <w:marTop w:val="0"/>
      <w:marBottom w:val="0"/>
      <w:divBdr>
        <w:top w:val="none" w:sz="0" w:space="0" w:color="auto"/>
        <w:left w:val="none" w:sz="0" w:space="0" w:color="auto"/>
        <w:bottom w:val="none" w:sz="0" w:space="0" w:color="auto"/>
        <w:right w:val="none" w:sz="0" w:space="0" w:color="auto"/>
      </w:divBdr>
    </w:div>
    <w:div w:id="257644451">
      <w:bodyDiv w:val="1"/>
      <w:marLeft w:val="0"/>
      <w:marRight w:val="0"/>
      <w:marTop w:val="0"/>
      <w:marBottom w:val="0"/>
      <w:divBdr>
        <w:top w:val="none" w:sz="0" w:space="0" w:color="auto"/>
        <w:left w:val="none" w:sz="0" w:space="0" w:color="auto"/>
        <w:bottom w:val="none" w:sz="0" w:space="0" w:color="auto"/>
        <w:right w:val="none" w:sz="0" w:space="0" w:color="auto"/>
      </w:divBdr>
    </w:div>
    <w:div w:id="261767723">
      <w:bodyDiv w:val="1"/>
      <w:marLeft w:val="0"/>
      <w:marRight w:val="0"/>
      <w:marTop w:val="0"/>
      <w:marBottom w:val="0"/>
      <w:divBdr>
        <w:top w:val="none" w:sz="0" w:space="0" w:color="auto"/>
        <w:left w:val="none" w:sz="0" w:space="0" w:color="auto"/>
        <w:bottom w:val="none" w:sz="0" w:space="0" w:color="auto"/>
        <w:right w:val="none" w:sz="0" w:space="0" w:color="auto"/>
      </w:divBdr>
    </w:div>
    <w:div w:id="262569861">
      <w:bodyDiv w:val="1"/>
      <w:marLeft w:val="0"/>
      <w:marRight w:val="0"/>
      <w:marTop w:val="0"/>
      <w:marBottom w:val="0"/>
      <w:divBdr>
        <w:top w:val="none" w:sz="0" w:space="0" w:color="auto"/>
        <w:left w:val="none" w:sz="0" w:space="0" w:color="auto"/>
        <w:bottom w:val="none" w:sz="0" w:space="0" w:color="auto"/>
        <w:right w:val="none" w:sz="0" w:space="0" w:color="auto"/>
      </w:divBdr>
    </w:div>
    <w:div w:id="264120364">
      <w:bodyDiv w:val="1"/>
      <w:marLeft w:val="0"/>
      <w:marRight w:val="0"/>
      <w:marTop w:val="0"/>
      <w:marBottom w:val="0"/>
      <w:divBdr>
        <w:top w:val="none" w:sz="0" w:space="0" w:color="auto"/>
        <w:left w:val="none" w:sz="0" w:space="0" w:color="auto"/>
        <w:bottom w:val="none" w:sz="0" w:space="0" w:color="auto"/>
        <w:right w:val="none" w:sz="0" w:space="0" w:color="auto"/>
      </w:divBdr>
    </w:div>
    <w:div w:id="266695967">
      <w:bodyDiv w:val="1"/>
      <w:marLeft w:val="0"/>
      <w:marRight w:val="0"/>
      <w:marTop w:val="0"/>
      <w:marBottom w:val="0"/>
      <w:divBdr>
        <w:top w:val="none" w:sz="0" w:space="0" w:color="auto"/>
        <w:left w:val="none" w:sz="0" w:space="0" w:color="auto"/>
        <w:bottom w:val="none" w:sz="0" w:space="0" w:color="auto"/>
        <w:right w:val="none" w:sz="0" w:space="0" w:color="auto"/>
      </w:divBdr>
    </w:div>
    <w:div w:id="266885169">
      <w:bodyDiv w:val="1"/>
      <w:marLeft w:val="0"/>
      <w:marRight w:val="0"/>
      <w:marTop w:val="0"/>
      <w:marBottom w:val="0"/>
      <w:divBdr>
        <w:top w:val="none" w:sz="0" w:space="0" w:color="auto"/>
        <w:left w:val="none" w:sz="0" w:space="0" w:color="auto"/>
        <w:bottom w:val="none" w:sz="0" w:space="0" w:color="auto"/>
        <w:right w:val="none" w:sz="0" w:space="0" w:color="auto"/>
      </w:divBdr>
    </w:div>
    <w:div w:id="277101648">
      <w:bodyDiv w:val="1"/>
      <w:marLeft w:val="0"/>
      <w:marRight w:val="0"/>
      <w:marTop w:val="0"/>
      <w:marBottom w:val="0"/>
      <w:divBdr>
        <w:top w:val="none" w:sz="0" w:space="0" w:color="auto"/>
        <w:left w:val="none" w:sz="0" w:space="0" w:color="auto"/>
        <w:bottom w:val="none" w:sz="0" w:space="0" w:color="auto"/>
        <w:right w:val="none" w:sz="0" w:space="0" w:color="auto"/>
      </w:divBdr>
    </w:div>
    <w:div w:id="281616719">
      <w:bodyDiv w:val="1"/>
      <w:marLeft w:val="0"/>
      <w:marRight w:val="0"/>
      <w:marTop w:val="0"/>
      <w:marBottom w:val="0"/>
      <w:divBdr>
        <w:top w:val="none" w:sz="0" w:space="0" w:color="auto"/>
        <w:left w:val="none" w:sz="0" w:space="0" w:color="auto"/>
        <w:bottom w:val="none" w:sz="0" w:space="0" w:color="auto"/>
        <w:right w:val="none" w:sz="0" w:space="0" w:color="auto"/>
      </w:divBdr>
    </w:div>
    <w:div w:id="285697750">
      <w:bodyDiv w:val="1"/>
      <w:marLeft w:val="0"/>
      <w:marRight w:val="0"/>
      <w:marTop w:val="0"/>
      <w:marBottom w:val="0"/>
      <w:divBdr>
        <w:top w:val="none" w:sz="0" w:space="0" w:color="auto"/>
        <w:left w:val="none" w:sz="0" w:space="0" w:color="auto"/>
        <w:bottom w:val="none" w:sz="0" w:space="0" w:color="auto"/>
        <w:right w:val="none" w:sz="0" w:space="0" w:color="auto"/>
      </w:divBdr>
    </w:div>
    <w:div w:id="285746767">
      <w:bodyDiv w:val="1"/>
      <w:marLeft w:val="0"/>
      <w:marRight w:val="0"/>
      <w:marTop w:val="0"/>
      <w:marBottom w:val="0"/>
      <w:divBdr>
        <w:top w:val="none" w:sz="0" w:space="0" w:color="auto"/>
        <w:left w:val="none" w:sz="0" w:space="0" w:color="auto"/>
        <w:bottom w:val="none" w:sz="0" w:space="0" w:color="auto"/>
        <w:right w:val="none" w:sz="0" w:space="0" w:color="auto"/>
      </w:divBdr>
    </w:div>
    <w:div w:id="291711376">
      <w:bodyDiv w:val="1"/>
      <w:marLeft w:val="0"/>
      <w:marRight w:val="0"/>
      <w:marTop w:val="0"/>
      <w:marBottom w:val="0"/>
      <w:divBdr>
        <w:top w:val="none" w:sz="0" w:space="0" w:color="auto"/>
        <w:left w:val="none" w:sz="0" w:space="0" w:color="auto"/>
        <w:bottom w:val="none" w:sz="0" w:space="0" w:color="auto"/>
        <w:right w:val="none" w:sz="0" w:space="0" w:color="auto"/>
      </w:divBdr>
    </w:div>
    <w:div w:id="292058207">
      <w:bodyDiv w:val="1"/>
      <w:marLeft w:val="0"/>
      <w:marRight w:val="0"/>
      <w:marTop w:val="0"/>
      <w:marBottom w:val="0"/>
      <w:divBdr>
        <w:top w:val="none" w:sz="0" w:space="0" w:color="auto"/>
        <w:left w:val="none" w:sz="0" w:space="0" w:color="auto"/>
        <w:bottom w:val="none" w:sz="0" w:space="0" w:color="auto"/>
        <w:right w:val="none" w:sz="0" w:space="0" w:color="auto"/>
      </w:divBdr>
    </w:div>
    <w:div w:id="293677400">
      <w:bodyDiv w:val="1"/>
      <w:marLeft w:val="0"/>
      <w:marRight w:val="0"/>
      <w:marTop w:val="0"/>
      <w:marBottom w:val="0"/>
      <w:divBdr>
        <w:top w:val="none" w:sz="0" w:space="0" w:color="auto"/>
        <w:left w:val="none" w:sz="0" w:space="0" w:color="auto"/>
        <w:bottom w:val="none" w:sz="0" w:space="0" w:color="auto"/>
        <w:right w:val="none" w:sz="0" w:space="0" w:color="auto"/>
      </w:divBdr>
    </w:div>
    <w:div w:id="293869101">
      <w:bodyDiv w:val="1"/>
      <w:marLeft w:val="0"/>
      <w:marRight w:val="0"/>
      <w:marTop w:val="0"/>
      <w:marBottom w:val="0"/>
      <w:divBdr>
        <w:top w:val="none" w:sz="0" w:space="0" w:color="auto"/>
        <w:left w:val="none" w:sz="0" w:space="0" w:color="auto"/>
        <w:bottom w:val="none" w:sz="0" w:space="0" w:color="auto"/>
        <w:right w:val="none" w:sz="0" w:space="0" w:color="auto"/>
      </w:divBdr>
    </w:div>
    <w:div w:id="297222042">
      <w:bodyDiv w:val="1"/>
      <w:marLeft w:val="0"/>
      <w:marRight w:val="0"/>
      <w:marTop w:val="0"/>
      <w:marBottom w:val="0"/>
      <w:divBdr>
        <w:top w:val="none" w:sz="0" w:space="0" w:color="auto"/>
        <w:left w:val="none" w:sz="0" w:space="0" w:color="auto"/>
        <w:bottom w:val="none" w:sz="0" w:space="0" w:color="auto"/>
        <w:right w:val="none" w:sz="0" w:space="0" w:color="auto"/>
      </w:divBdr>
    </w:div>
    <w:div w:id="299652071">
      <w:bodyDiv w:val="1"/>
      <w:marLeft w:val="0"/>
      <w:marRight w:val="0"/>
      <w:marTop w:val="0"/>
      <w:marBottom w:val="0"/>
      <w:divBdr>
        <w:top w:val="none" w:sz="0" w:space="0" w:color="auto"/>
        <w:left w:val="none" w:sz="0" w:space="0" w:color="auto"/>
        <w:bottom w:val="none" w:sz="0" w:space="0" w:color="auto"/>
        <w:right w:val="none" w:sz="0" w:space="0" w:color="auto"/>
      </w:divBdr>
    </w:div>
    <w:div w:id="303971397">
      <w:bodyDiv w:val="1"/>
      <w:marLeft w:val="0"/>
      <w:marRight w:val="0"/>
      <w:marTop w:val="0"/>
      <w:marBottom w:val="0"/>
      <w:divBdr>
        <w:top w:val="none" w:sz="0" w:space="0" w:color="auto"/>
        <w:left w:val="none" w:sz="0" w:space="0" w:color="auto"/>
        <w:bottom w:val="none" w:sz="0" w:space="0" w:color="auto"/>
        <w:right w:val="none" w:sz="0" w:space="0" w:color="auto"/>
      </w:divBdr>
    </w:div>
    <w:div w:id="305861875">
      <w:bodyDiv w:val="1"/>
      <w:marLeft w:val="0"/>
      <w:marRight w:val="0"/>
      <w:marTop w:val="0"/>
      <w:marBottom w:val="0"/>
      <w:divBdr>
        <w:top w:val="none" w:sz="0" w:space="0" w:color="auto"/>
        <w:left w:val="none" w:sz="0" w:space="0" w:color="auto"/>
        <w:bottom w:val="none" w:sz="0" w:space="0" w:color="auto"/>
        <w:right w:val="none" w:sz="0" w:space="0" w:color="auto"/>
      </w:divBdr>
    </w:div>
    <w:div w:id="306253080">
      <w:bodyDiv w:val="1"/>
      <w:marLeft w:val="0"/>
      <w:marRight w:val="0"/>
      <w:marTop w:val="0"/>
      <w:marBottom w:val="0"/>
      <w:divBdr>
        <w:top w:val="none" w:sz="0" w:space="0" w:color="auto"/>
        <w:left w:val="none" w:sz="0" w:space="0" w:color="auto"/>
        <w:bottom w:val="none" w:sz="0" w:space="0" w:color="auto"/>
        <w:right w:val="none" w:sz="0" w:space="0" w:color="auto"/>
      </w:divBdr>
    </w:div>
    <w:div w:id="306402091">
      <w:bodyDiv w:val="1"/>
      <w:marLeft w:val="0"/>
      <w:marRight w:val="0"/>
      <w:marTop w:val="0"/>
      <w:marBottom w:val="0"/>
      <w:divBdr>
        <w:top w:val="none" w:sz="0" w:space="0" w:color="auto"/>
        <w:left w:val="none" w:sz="0" w:space="0" w:color="auto"/>
        <w:bottom w:val="none" w:sz="0" w:space="0" w:color="auto"/>
        <w:right w:val="none" w:sz="0" w:space="0" w:color="auto"/>
      </w:divBdr>
    </w:div>
    <w:div w:id="309478014">
      <w:bodyDiv w:val="1"/>
      <w:marLeft w:val="0"/>
      <w:marRight w:val="0"/>
      <w:marTop w:val="0"/>
      <w:marBottom w:val="0"/>
      <w:divBdr>
        <w:top w:val="none" w:sz="0" w:space="0" w:color="auto"/>
        <w:left w:val="none" w:sz="0" w:space="0" w:color="auto"/>
        <w:bottom w:val="none" w:sz="0" w:space="0" w:color="auto"/>
        <w:right w:val="none" w:sz="0" w:space="0" w:color="auto"/>
      </w:divBdr>
    </w:div>
    <w:div w:id="309671099">
      <w:bodyDiv w:val="1"/>
      <w:marLeft w:val="0"/>
      <w:marRight w:val="0"/>
      <w:marTop w:val="0"/>
      <w:marBottom w:val="0"/>
      <w:divBdr>
        <w:top w:val="none" w:sz="0" w:space="0" w:color="auto"/>
        <w:left w:val="none" w:sz="0" w:space="0" w:color="auto"/>
        <w:bottom w:val="none" w:sz="0" w:space="0" w:color="auto"/>
        <w:right w:val="none" w:sz="0" w:space="0" w:color="auto"/>
      </w:divBdr>
    </w:div>
    <w:div w:id="313223400">
      <w:bodyDiv w:val="1"/>
      <w:marLeft w:val="0"/>
      <w:marRight w:val="0"/>
      <w:marTop w:val="0"/>
      <w:marBottom w:val="0"/>
      <w:divBdr>
        <w:top w:val="none" w:sz="0" w:space="0" w:color="auto"/>
        <w:left w:val="none" w:sz="0" w:space="0" w:color="auto"/>
        <w:bottom w:val="none" w:sz="0" w:space="0" w:color="auto"/>
        <w:right w:val="none" w:sz="0" w:space="0" w:color="auto"/>
      </w:divBdr>
    </w:div>
    <w:div w:id="317077830">
      <w:bodyDiv w:val="1"/>
      <w:marLeft w:val="0"/>
      <w:marRight w:val="0"/>
      <w:marTop w:val="0"/>
      <w:marBottom w:val="0"/>
      <w:divBdr>
        <w:top w:val="none" w:sz="0" w:space="0" w:color="auto"/>
        <w:left w:val="none" w:sz="0" w:space="0" w:color="auto"/>
        <w:bottom w:val="none" w:sz="0" w:space="0" w:color="auto"/>
        <w:right w:val="none" w:sz="0" w:space="0" w:color="auto"/>
      </w:divBdr>
    </w:div>
    <w:div w:id="319163282">
      <w:bodyDiv w:val="1"/>
      <w:marLeft w:val="0"/>
      <w:marRight w:val="0"/>
      <w:marTop w:val="0"/>
      <w:marBottom w:val="0"/>
      <w:divBdr>
        <w:top w:val="none" w:sz="0" w:space="0" w:color="auto"/>
        <w:left w:val="none" w:sz="0" w:space="0" w:color="auto"/>
        <w:bottom w:val="none" w:sz="0" w:space="0" w:color="auto"/>
        <w:right w:val="none" w:sz="0" w:space="0" w:color="auto"/>
      </w:divBdr>
    </w:div>
    <w:div w:id="319234170">
      <w:bodyDiv w:val="1"/>
      <w:marLeft w:val="0"/>
      <w:marRight w:val="0"/>
      <w:marTop w:val="0"/>
      <w:marBottom w:val="0"/>
      <w:divBdr>
        <w:top w:val="none" w:sz="0" w:space="0" w:color="auto"/>
        <w:left w:val="none" w:sz="0" w:space="0" w:color="auto"/>
        <w:bottom w:val="none" w:sz="0" w:space="0" w:color="auto"/>
        <w:right w:val="none" w:sz="0" w:space="0" w:color="auto"/>
      </w:divBdr>
    </w:div>
    <w:div w:id="320811690">
      <w:bodyDiv w:val="1"/>
      <w:marLeft w:val="0"/>
      <w:marRight w:val="0"/>
      <w:marTop w:val="0"/>
      <w:marBottom w:val="0"/>
      <w:divBdr>
        <w:top w:val="none" w:sz="0" w:space="0" w:color="auto"/>
        <w:left w:val="none" w:sz="0" w:space="0" w:color="auto"/>
        <w:bottom w:val="none" w:sz="0" w:space="0" w:color="auto"/>
        <w:right w:val="none" w:sz="0" w:space="0" w:color="auto"/>
      </w:divBdr>
    </w:div>
    <w:div w:id="322322678">
      <w:bodyDiv w:val="1"/>
      <w:marLeft w:val="0"/>
      <w:marRight w:val="0"/>
      <w:marTop w:val="0"/>
      <w:marBottom w:val="0"/>
      <w:divBdr>
        <w:top w:val="none" w:sz="0" w:space="0" w:color="auto"/>
        <w:left w:val="none" w:sz="0" w:space="0" w:color="auto"/>
        <w:bottom w:val="none" w:sz="0" w:space="0" w:color="auto"/>
        <w:right w:val="none" w:sz="0" w:space="0" w:color="auto"/>
      </w:divBdr>
    </w:div>
    <w:div w:id="322391957">
      <w:bodyDiv w:val="1"/>
      <w:marLeft w:val="0"/>
      <w:marRight w:val="0"/>
      <w:marTop w:val="0"/>
      <w:marBottom w:val="0"/>
      <w:divBdr>
        <w:top w:val="none" w:sz="0" w:space="0" w:color="auto"/>
        <w:left w:val="none" w:sz="0" w:space="0" w:color="auto"/>
        <w:bottom w:val="none" w:sz="0" w:space="0" w:color="auto"/>
        <w:right w:val="none" w:sz="0" w:space="0" w:color="auto"/>
      </w:divBdr>
    </w:div>
    <w:div w:id="326328433">
      <w:bodyDiv w:val="1"/>
      <w:marLeft w:val="0"/>
      <w:marRight w:val="0"/>
      <w:marTop w:val="0"/>
      <w:marBottom w:val="0"/>
      <w:divBdr>
        <w:top w:val="none" w:sz="0" w:space="0" w:color="auto"/>
        <w:left w:val="none" w:sz="0" w:space="0" w:color="auto"/>
        <w:bottom w:val="none" w:sz="0" w:space="0" w:color="auto"/>
        <w:right w:val="none" w:sz="0" w:space="0" w:color="auto"/>
      </w:divBdr>
    </w:div>
    <w:div w:id="329917467">
      <w:bodyDiv w:val="1"/>
      <w:marLeft w:val="0"/>
      <w:marRight w:val="0"/>
      <w:marTop w:val="0"/>
      <w:marBottom w:val="0"/>
      <w:divBdr>
        <w:top w:val="none" w:sz="0" w:space="0" w:color="auto"/>
        <w:left w:val="none" w:sz="0" w:space="0" w:color="auto"/>
        <w:bottom w:val="none" w:sz="0" w:space="0" w:color="auto"/>
        <w:right w:val="none" w:sz="0" w:space="0" w:color="auto"/>
      </w:divBdr>
    </w:div>
    <w:div w:id="333730948">
      <w:bodyDiv w:val="1"/>
      <w:marLeft w:val="0"/>
      <w:marRight w:val="0"/>
      <w:marTop w:val="0"/>
      <w:marBottom w:val="0"/>
      <w:divBdr>
        <w:top w:val="none" w:sz="0" w:space="0" w:color="auto"/>
        <w:left w:val="none" w:sz="0" w:space="0" w:color="auto"/>
        <w:bottom w:val="none" w:sz="0" w:space="0" w:color="auto"/>
        <w:right w:val="none" w:sz="0" w:space="0" w:color="auto"/>
      </w:divBdr>
    </w:div>
    <w:div w:id="336427510">
      <w:bodyDiv w:val="1"/>
      <w:marLeft w:val="0"/>
      <w:marRight w:val="0"/>
      <w:marTop w:val="0"/>
      <w:marBottom w:val="0"/>
      <w:divBdr>
        <w:top w:val="none" w:sz="0" w:space="0" w:color="auto"/>
        <w:left w:val="none" w:sz="0" w:space="0" w:color="auto"/>
        <w:bottom w:val="none" w:sz="0" w:space="0" w:color="auto"/>
        <w:right w:val="none" w:sz="0" w:space="0" w:color="auto"/>
      </w:divBdr>
    </w:div>
    <w:div w:id="340397206">
      <w:bodyDiv w:val="1"/>
      <w:marLeft w:val="0"/>
      <w:marRight w:val="0"/>
      <w:marTop w:val="0"/>
      <w:marBottom w:val="0"/>
      <w:divBdr>
        <w:top w:val="none" w:sz="0" w:space="0" w:color="auto"/>
        <w:left w:val="none" w:sz="0" w:space="0" w:color="auto"/>
        <w:bottom w:val="none" w:sz="0" w:space="0" w:color="auto"/>
        <w:right w:val="none" w:sz="0" w:space="0" w:color="auto"/>
      </w:divBdr>
    </w:div>
    <w:div w:id="342703717">
      <w:bodyDiv w:val="1"/>
      <w:marLeft w:val="0"/>
      <w:marRight w:val="0"/>
      <w:marTop w:val="0"/>
      <w:marBottom w:val="0"/>
      <w:divBdr>
        <w:top w:val="none" w:sz="0" w:space="0" w:color="auto"/>
        <w:left w:val="none" w:sz="0" w:space="0" w:color="auto"/>
        <w:bottom w:val="none" w:sz="0" w:space="0" w:color="auto"/>
        <w:right w:val="none" w:sz="0" w:space="0" w:color="auto"/>
      </w:divBdr>
    </w:div>
    <w:div w:id="347022206">
      <w:bodyDiv w:val="1"/>
      <w:marLeft w:val="0"/>
      <w:marRight w:val="0"/>
      <w:marTop w:val="0"/>
      <w:marBottom w:val="0"/>
      <w:divBdr>
        <w:top w:val="none" w:sz="0" w:space="0" w:color="auto"/>
        <w:left w:val="none" w:sz="0" w:space="0" w:color="auto"/>
        <w:bottom w:val="none" w:sz="0" w:space="0" w:color="auto"/>
        <w:right w:val="none" w:sz="0" w:space="0" w:color="auto"/>
      </w:divBdr>
    </w:div>
    <w:div w:id="351347580">
      <w:bodyDiv w:val="1"/>
      <w:marLeft w:val="0"/>
      <w:marRight w:val="0"/>
      <w:marTop w:val="0"/>
      <w:marBottom w:val="0"/>
      <w:divBdr>
        <w:top w:val="none" w:sz="0" w:space="0" w:color="auto"/>
        <w:left w:val="none" w:sz="0" w:space="0" w:color="auto"/>
        <w:bottom w:val="none" w:sz="0" w:space="0" w:color="auto"/>
        <w:right w:val="none" w:sz="0" w:space="0" w:color="auto"/>
      </w:divBdr>
    </w:div>
    <w:div w:id="352610094">
      <w:bodyDiv w:val="1"/>
      <w:marLeft w:val="0"/>
      <w:marRight w:val="0"/>
      <w:marTop w:val="0"/>
      <w:marBottom w:val="0"/>
      <w:divBdr>
        <w:top w:val="none" w:sz="0" w:space="0" w:color="auto"/>
        <w:left w:val="none" w:sz="0" w:space="0" w:color="auto"/>
        <w:bottom w:val="none" w:sz="0" w:space="0" w:color="auto"/>
        <w:right w:val="none" w:sz="0" w:space="0" w:color="auto"/>
      </w:divBdr>
    </w:div>
    <w:div w:id="353188574">
      <w:bodyDiv w:val="1"/>
      <w:marLeft w:val="0"/>
      <w:marRight w:val="0"/>
      <w:marTop w:val="0"/>
      <w:marBottom w:val="0"/>
      <w:divBdr>
        <w:top w:val="none" w:sz="0" w:space="0" w:color="auto"/>
        <w:left w:val="none" w:sz="0" w:space="0" w:color="auto"/>
        <w:bottom w:val="none" w:sz="0" w:space="0" w:color="auto"/>
        <w:right w:val="none" w:sz="0" w:space="0" w:color="auto"/>
      </w:divBdr>
    </w:div>
    <w:div w:id="362828130">
      <w:bodyDiv w:val="1"/>
      <w:marLeft w:val="0"/>
      <w:marRight w:val="0"/>
      <w:marTop w:val="0"/>
      <w:marBottom w:val="0"/>
      <w:divBdr>
        <w:top w:val="none" w:sz="0" w:space="0" w:color="auto"/>
        <w:left w:val="none" w:sz="0" w:space="0" w:color="auto"/>
        <w:bottom w:val="none" w:sz="0" w:space="0" w:color="auto"/>
        <w:right w:val="none" w:sz="0" w:space="0" w:color="auto"/>
      </w:divBdr>
    </w:div>
    <w:div w:id="362900749">
      <w:bodyDiv w:val="1"/>
      <w:marLeft w:val="0"/>
      <w:marRight w:val="0"/>
      <w:marTop w:val="0"/>
      <w:marBottom w:val="0"/>
      <w:divBdr>
        <w:top w:val="none" w:sz="0" w:space="0" w:color="auto"/>
        <w:left w:val="none" w:sz="0" w:space="0" w:color="auto"/>
        <w:bottom w:val="none" w:sz="0" w:space="0" w:color="auto"/>
        <w:right w:val="none" w:sz="0" w:space="0" w:color="auto"/>
      </w:divBdr>
    </w:div>
    <w:div w:id="366179139">
      <w:bodyDiv w:val="1"/>
      <w:marLeft w:val="0"/>
      <w:marRight w:val="0"/>
      <w:marTop w:val="0"/>
      <w:marBottom w:val="0"/>
      <w:divBdr>
        <w:top w:val="none" w:sz="0" w:space="0" w:color="auto"/>
        <w:left w:val="none" w:sz="0" w:space="0" w:color="auto"/>
        <w:bottom w:val="none" w:sz="0" w:space="0" w:color="auto"/>
        <w:right w:val="none" w:sz="0" w:space="0" w:color="auto"/>
      </w:divBdr>
    </w:div>
    <w:div w:id="366687718">
      <w:bodyDiv w:val="1"/>
      <w:marLeft w:val="0"/>
      <w:marRight w:val="0"/>
      <w:marTop w:val="0"/>
      <w:marBottom w:val="0"/>
      <w:divBdr>
        <w:top w:val="none" w:sz="0" w:space="0" w:color="auto"/>
        <w:left w:val="none" w:sz="0" w:space="0" w:color="auto"/>
        <w:bottom w:val="none" w:sz="0" w:space="0" w:color="auto"/>
        <w:right w:val="none" w:sz="0" w:space="0" w:color="auto"/>
      </w:divBdr>
    </w:div>
    <w:div w:id="371537001">
      <w:bodyDiv w:val="1"/>
      <w:marLeft w:val="0"/>
      <w:marRight w:val="0"/>
      <w:marTop w:val="0"/>
      <w:marBottom w:val="0"/>
      <w:divBdr>
        <w:top w:val="none" w:sz="0" w:space="0" w:color="auto"/>
        <w:left w:val="none" w:sz="0" w:space="0" w:color="auto"/>
        <w:bottom w:val="none" w:sz="0" w:space="0" w:color="auto"/>
        <w:right w:val="none" w:sz="0" w:space="0" w:color="auto"/>
      </w:divBdr>
    </w:div>
    <w:div w:id="372270187">
      <w:bodyDiv w:val="1"/>
      <w:marLeft w:val="0"/>
      <w:marRight w:val="0"/>
      <w:marTop w:val="0"/>
      <w:marBottom w:val="0"/>
      <w:divBdr>
        <w:top w:val="none" w:sz="0" w:space="0" w:color="auto"/>
        <w:left w:val="none" w:sz="0" w:space="0" w:color="auto"/>
        <w:bottom w:val="none" w:sz="0" w:space="0" w:color="auto"/>
        <w:right w:val="none" w:sz="0" w:space="0" w:color="auto"/>
      </w:divBdr>
    </w:div>
    <w:div w:id="372311731">
      <w:bodyDiv w:val="1"/>
      <w:marLeft w:val="0"/>
      <w:marRight w:val="0"/>
      <w:marTop w:val="0"/>
      <w:marBottom w:val="0"/>
      <w:divBdr>
        <w:top w:val="none" w:sz="0" w:space="0" w:color="auto"/>
        <w:left w:val="none" w:sz="0" w:space="0" w:color="auto"/>
        <w:bottom w:val="none" w:sz="0" w:space="0" w:color="auto"/>
        <w:right w:val="none" w:sz="0" w:space="0" w:color="auto"/>
      </w:divBdr>
    </w:div>
    <w:div w:id="377434843">
      <w:bodyDiv w:val="1"/>
      <w:marLeft w:val="0"/>
      <w:marRight w:val="0"/>
      <w:marTop w:val="0"/>
      <w:marBottom w:val="0"/>
      <w:divBdr>
        <w:top w:val="none" w:sz="0" w:space="0" w:color="auto"/>
        <w:left w:val="none" w:sz="0" w:space="0" w:color="auto"/>
        <w:bottom w:val="none" w:sz="0" w:space="0" w:color="auto"/>
        <w:right w:val="none" w:sz="0" w:space="0" w:color="auto"/>
      </w:divBdr>
    </w:div>
    <w:div w:id="378742692">
      <w:bodyDiv w:val="1"/>
      <w:marLeft w:val="0"/>
      <w:marRight w:val="0"/>
      <w:marTop w:val="0"/>
      <w:marBottom w:val="0"/>
      <w:divBdr>
        <w:top w:val="none" w:sz="0" w:space="0" w:color="auto"/>
        <w:left w:val="none" w:sz="0" w:space="0" w:color="auto"/>
        <w:bottom w:val="none" w:sz="0" w:space="0" w:color="auto"/>
        <w:right w:val="none" w:sz="0" w:space="0" w:color="auto"/>
      </w:divBdr>
    </w:div>
    <w:div w:id="382753490">
      <w:bodyDiv w:val="1"/>
      <w:marLeft w:val="0"/>
      <w:marRight w:val="0"/>
      <w:marTop w:val="0"/>
      <w:marBottom w:val="0"/>
      <w:divBdr>
        <w:top w:val="none" w:sz="0" w:space="0" w:color="auto"/>
        <w:left w:val="none" w:sz="0" w:space="0" w:color="auto"/>
        <w:bottom w:val="none" w:sz="0" w:space="0" w:color="auto"/>
        <w:right w:val="none" w:sz="0" w:space="0" w:color="auto"/>
      </w:divBdr>
    </w:div>
    <w:div w:id="383412632">
      <w:bodyDiv w:val="1"/>
      <w:marLeft w:val="0"/>
      <w:marRight w:val="0"/>
      <w:marTop w:val="0"/>
      <w:marBottom w:val="0"/>
      <w:divBdr>
        <w:top w:val="none" w:sz="0" w:space="0" w:color="auto"/>
        <w:left w:val="none" w:sz="0" w:space="0" w:color="auto"/>
        <w:bottom w:val="none" w:sz="0" w:space="0" w:color="auto"/>
        <w:right w:val="none" w:sz="0" w:space="0" w:color="auto"/>
      </w:divBdr>
    </w:div>
    <w:div w:id="388655207">
      <w:bodyDiv w:val="1"/>
      <w:marLeft w:val="0"/>
      <w:marRight w:val="0"/>
      <w:marTop w:val="0"/>
      <w:marBottom w:val="0"/>
      <w:divBdr>
        <w:top w:val="none" w:sz="0" w:space="0" w:color="auto"/>
        <w:left w:val="none" w:sz="0" w:space="0" w:color="auto"/>
        <w:bottom w:val="none" w:sz="0" w:space="0" w:color="auto"/>
        <w:right w:val="none" w:sz="0" w:space="0" w:color="auto"/>
      </w:divBdr>
    </w:div>
    <w:div w:id="393314193">
      <w:bodyDiv w:val="1"/>
      <w:marLeft w:val="0"/>
      <w:marRight w:val="0"/>
      <w:marTop w:val="0"/>
      <w:marBottom w:val="0"/>
      <w:divBdr>
        <w:top w:val="none" w:sz="0" w:space="0" w:color="auto"/>
        <w:left w:val="none" w:sz="0" w:space="0" w:color="auto"/>
        <w:bottom w:val="none" w:sz="0" w:space="0" w:color="auto"/>
        <w:right w:val="none" w:sz="0" w:space="0" w:color="auto"/>
      </w:divBdr>
    </w:div>
    <w:div w:id="393819218">
      <w:bodyDiv w:val="1"/>
      <w:marLeft w:val="0"/>
      <w:marRight w:val="0"/>
      <w:marTop w:val="0"/>
      <w:marBottom w:val="0"/>
      <w:divBdr>
        <w:top w:val="none" w:sz="0" w:space="0" w:color="auto"/>
        <w:left w:val="none" w:sz="0" w:space="0" w:color="auto"/>
        <w:bottom w:val="none" w:sz="0" w:space="0" w:color="auto"/>
        <w:right w:val="none" w:sz="0" w:space="0" w:color="auto"/>
      </w:divBdr>
    </w:div>
    <w:div w:id="401563367">
      <w:bodyDiv w:val="1"/>
      <w:marLeft w:val="0"/>
      <w:marRight w:val="0"/>
      <w:marTop w:val="0"/>
      <w:marBottom w:val="0"/>
      <w:divBdr>
        <w:top w:val="none" w:sz="0" w:space="0" w:color="auto"/>
        <w:left w:val="none" w:sz="0" w:space="0" w:color="auto"/>
        <w:bottom w:val="none" w:sz="0" w:space="0" w:color="auto"/>
        <w:right w:val="none" w:sz="0" w:space="0" w:color="auto"/>
      </w:divBdr>
    </w:div>
    <w:div w:id="404768180">
      <w:bodyDiv w:val="1"/>
      <w:marLeft w:val="0"/>
      <w:marRight w:val="0"/>
      <w:marTop w:val="0"/>
      <w:marBottom w:val="0"/>
      <w:divBdr>
        <w:top w:val="none" w:sz="0" w:space="0" w:color="auto"/>
        <w:left w:val="none" w:sz="0" w:space="0" w:color="auto"/>
        <w:bottom w:val="none" w:sz="0" w:space="0" w:color="auto"/>
        <w:right w:val="none" w:sz="0" w:space="0" w:color="auto"/>
      </w:divBdr>
    </w:div>
    <w:div w:id="406465881">
      <w:bodyDiv w:val="1"/>
      <w:marLeft w:val="0"/>
      <w:marRight w:val="0"/>
      <w:marTop w:val="0"/>
      <w:marBottom w:val="0"/>
      <w:divBdr>
        <w:top w:val="none" w:sz="0" w:space="0" w:color="auto"/>
        <w:left w:val="none" w:sz="0" w:space="0" w:color="auto"/>
        <w:bottom w:val="none" w:sz="0" w:space="0" w:color="auto"/>
        <w:right w:val="none" w:sz="0" w:space="0" w:color="auto"/>
      </w:divBdr>
    </w:div>
    <w:div w:id="407044617">
      <w:bodyDiv w:val="1"/>
      <w:marLeft w:val="0"/>
      <w:marRight w:val="0"/>
      <w:marTop w:val="0"/>
      <w:marBottom w:val="0"/>
      <w:divBdr>
        <w:top w:val="none" w:sz="0" w:space="0" w:color="auto"/>
        <w:left w:val="none" w:sz="0" w:space="0" w:color="auto"/>
        <w:bottom w:val="none" w:sz="0" w:space="0" w:color="auto"/>
        <w:right w:val="none" w:sz="0" w:space="0" w:color="auto"/>
      </w:divBdr>
    </w:div>
    <w:div w:id="409471891">
      <w:bodyDiv w:val="1"/>
      <w:marLeft w:val="0"/>
      <w:marRight w:val="0"/>
      <w:marTop w:val="0"/>
      <w:marBottom w:val="0"/>
      <w:divBdr>
        <w:top w:val="none" w:sz="0" w:space="0" w:color="auto"/>
        <w:left w:val="none" w:sz="0" w:space="0" w:color="auto"/>
        <w:bottom w:val="none" w:sz="0" w:space="0" w:color="auto"/>
        <w:right w:val="none" w:sz="0" w:space="0" w:color="auto"/>
      </w:divBdr>
    </w:div>
    <w:div w:id="409473356">
      <w:bodyDiv w:val="1"/>
      <w:marLeft w:val="0"/>
      <w:marRight w:val="0"/>
      <w:marTop w:val="0"/>
      <w:marBottom w:val="0"/>
      <w:divBdr>
        <w:top w:val="none" w:sz="0" w:space="0" w:color="auto"/>
        <w:left w:val="none" w:sz="0" w:space="0" w:color="auto"/>
        <w:bottom w:val="none" w:sz="0" w:space="0" w:color="auto"/>
        <w:right w:val="none" w:sz="0" w:space="0" w:color="auto"/>
      </w:divBdr>
    </w:div>
    <w:div w:id="409931619">
      <w:bodyDiv w:val="1"/>
      <w:marLeft w:val="0"/>
      <w:marRight w:val="0"/>
      <w:marTop w:val="0"/>
      <w:marBottom w:val="0"/>
      <w:divBdr>
        <w:top w:val="none" w:sz="0" w:space="0" w:color="auto"/>
        <w:left w:val="none" w:sz="0" w:space="0" w:color="auto"/>
        <w:bottom w:val="none" w:sz="0" w:space="0" w:color="auto"/>
        <w:right w:val="none" w:sz="0" w:space="0" w:color="auto"/>
      </w:divBdr>
    </w:div>
    <w:div w:id="411663878">
      <w:bodyDiv w:val="1"/>
      <w:marLeft w:val="0"/>
      <w:marRight w:val="0"/>
      <w:marTop w:val="0"/>
      <w:marBottom w:val="0"/>
      <w:divBdr>
        <w:top w:val="none" w:sz="0" w:space="0" w:color="auto"/>
        <w:left w:val="none" w:sz="0" w:space="0" w:color="auto"/>
        <w:bottom w:val="none" w:sz="0" w:space="0" w:color="auto"/>
        <w:right w:val="none" w:sz="0" w:space="0" w:color="auto"/>
      </w:divBdr>
    </w:div>
    <w:div w:id="415979284">
      <w:bodyDiv w:val="1"/>
      <w:marLeft w:val="0"/>
      <w:marRight w:val="0"/>
      <w:marTop w:val="0"/>
      <w:marBottom w:val="0"/>
      <w:divBdr>
        <w:top w:val="none" w:sz="0" w:space="0" w:color="auto"/>
        <w:left w:val="none" w:sz="0" w:space="0" w:color="auto"/>
        <w:bottom w:val="none" w:sz="0" w:space="0" w:color="auto"/>
        <w:right w:val="none" w:sz="0" w:space="0" w:color="auto"/>
      </w:divBdr>
    </w:div>
    <w:div w:id="423918866">
      <w:bodyDiv w:val="1"/>
      <w:marLeft w:val="0"/>
      <w:marRight w:val="0"/>
      <w:marTop w:val="0"/>
      <w:marBottom w:val="0"/>
      <w:divBdr>
        <w:top w:val="none" w:sz="0" w:space="0" w:color="auto"/>
        <w:left w:val="none" w:sz="0" w:space="0" w:color="auto"/>
        <w:bottom w:val="none" w:sz="0" w:space="0" w:color="auto"/>
        <w:right w:val="none" w:sz="0" w:space="0" w:color="auto"/>
      </w:divBdr>
    </w:div>
    <w:div w:id="424964895">
      <w:bodyDiv w:val="1"/>
      <w:marLeft w:val="0"/>
      <w:marRight w:val="0"/>
      <w:marTop w:val="0"/>
      <w:marBottom w:val="0"/>
      <w:divBdr>
        <w:top w:val="none" w:sz="0" w:space="0" w:color="auto"/>
        <w:left w:val="none" w:sz="0" w:space="0" w:color="auto"/>
        <w:bottom w:val="none" w:sz="0" w:space="0" w:color="auto"/>
        <w:right w:val="none" w:sz="0" w:space="0" w:color="auto"/>
      </w:divBdr>
    </w:div>
    <w:div w:id="430131510">
      <w:bodyDiv w:val="1"/>
      <w:marLeft w:val="0"/>
      <w:marRight w:val="0"/>
      <w:marTop w:val="0"/>
      <w:marBottom w:val="0"/>
      <w:divBdr>
        <w:top w:val="none" w:sz="0" w:space="0" w:color="auto"/>
        <w:left w:val="none" w:sz="0" w:space="0" w:color="auto"/>
        <w:bottom w:val="none" w:sz="0" w:space="0" w:color="auto"/>
        <w:right w:val="none" w:sz="0" w:space="0" w:color="auto"/>
      </w:divBdr>
    </w:div>
    <w:div w:id="432089683">
      <w:bodyDiv w:val="1"/>
      <w:marLeft w:val="0"/>
      <w:marRight w:val="0"/>
      <w:marTop w:val="0"/>
      <w:marBottom w:val="0"/>
      <w:divBdr>
        <w:top w:val="none" w:sz="0" w:space="0" w:color="auto"/>
        <w:left w:val="none" w:sz="0" w:space="0" w:color="auto"/>
        <w:bottom w:val="none" w:sz="0" w:space="0" w:color="auto"/>
        <w:right w:val="none" w:sz="0" w:space="0" w:color="auto"/>
      </w:divBdr>
    </w:div>
    <w:div w:id="434442496">
      <w:bodyDiv w:val="1"/>
      <w:marLeft w:val="0"/>
      <w:marRight w:val="0"/>
      <w:marTop w:val="0"/>
      <w:marBottom w:val="0"/>
      <w:divBdr>
        <w:top w:val="none" w:sz="0" w:space="0" w:color="auto"/>
        <w:left w:val="none" w:sz="0" w:space="0" w:color="auto"/>
        <w:bottom w:val="none" w:sz="0" w:space="0" w:color="auto"/>
        <w:right w:val="none" w:sz="0" w:space="0" w:color="auto"/>
      </w:divBdr>
    </w:div>
    <w:div w:id="436295815">
      <w:bodyDiv w:val="1"/>
      <w:marLeft w:val="0"/>
      <w:marRight w:val="0"/>
      <w:marTop w:val="0"/>
      <w:marBottom w:val="0"/>
      <w:divBdr>
        <w:top w:val="none" w:sz="0" w:space="0" w:color="auto"/>
        <w:left w:val="none" w:sz="0" w:space="0" w:color="auto"/>
        <w:bottom w:val="none" w:sz="0" w:space="0" w:color="auto"/>
        <w:right w:val="none" w:sz="0" w:space="0" w:color="auto"/>
      </w:divBdr>
    </w:div>
    <w:div w:id="436869497">
      <w:bodyDiv w:val="1"/>
      <w:marLeft w:val="0"/>
      <w:marRight w:val="0"/>
      <w:marTop w:val="0"/>
      <w:marBottom w:val="0"/>
      <w:divBdr>
        <w:top w:val="none" w:sz="0" w:space="0" w:color="auto"/>
        <w:left w:val="none" w:sz="0" w:space="0" w:color="auto"/>
        <w:bottom w:val="none" w:sz="0" w:space="0" w:color="auto"/>
        <w:right w:val="none" w:sz="0" w:space="0" w:color="auto"/>
      </w:divBdr>
    </w:div>
    <w:div w:id="439497479">
      <w:bodyDiv w:val="1"/>
      <w:marLeft w:val="0"/>
      <w:marRight w:val="0"/>
      <w:marTop w:val="0"/>
      <w:marBottom w:val="0"/>
      <w:divBdr>
        <w:top w:val="none" w:sz="0" w:space="0" w:color="auto"/>
        <w:left w:val="none" w:sz="0" w:space="0" w:color="auto"/>
        <w:bottom w:val="none" w:sz="0" w:space="0" w:color="auto"/>
        <w:right w:val="none" w:sz="0" w:space="0" w:color="auto"/>
      </w:divBdr>
    </w:div>
    <w:div w:id="441924695">
      <w:bodyDiv w:val="1"/>
      <w:marLeft w:val="0"/>
      <w:marRight w:val="0"/>
      <w:marTop w:val="0"/>
      <w:marBottom w:val="0"/>
      <w:divBdr>
        <w:top w:val="none" w:sz="0" w:space="0" w:color="auto"/>
        <w:left w:val="none" w:sz="0" w:space="0" w:color="auto"/>
        <w:bottom w:val="none" w:sz="0" w:space="0" w:color="auto"/>
        <w:right w:val="none" w:sz="0" w:space="0" w:color="auto"/>
      </w:divBdr>
    </w:div>
    <w:div w:id="446654845">
      <w:bodyDiv w:val="1"/>
      <w:marLeft w:val="0"/>
      <w:marRight w:val="0"/>
      <w:marTop w:val="0"/>
      <w:marBottom w:val="0"/>
      <w:divBdr>
        <w:top w:val="none" w:sz="0" w:space="0" w:color="auto"/>
        <w:left w:val="none" w:sz="0" w:space="0" w:color="auto"/>
        <w:bottom w:val="none" w:sz="0" w:space="0" w:color="auto"/>
        <w:right w:val="none" w:sz="0" w:space="0" w:color="auto"/>
      </w:divBdr>
    </w:div>
    <w:div w:id="455175167">
      <w:bodyDiv w:val="1"/>
      <w:marLeft w:val="0"/>
      <w:marRight w:val="0"/>
      <w:marTop w:val="0"/>
      <w:marBottom w:val="0"/>
      <w:divBdr>
        <w:top w:val="none" w:sz="0" w:space="0" w:color="auto"/>
        <w:left w:val="none" w:sz="0" w:space="0" w:color="auto"/>
        <w:bottom w:val="none" w:sz="0" w:space="0" w:color="auto"/>
        <w:right w:val="none" w:sz="0" w:space="0" w:color="auto"/>
      </w:divBdr>
    </w:div>
    <w:div w:id="457068347">
      <w:bodyDiv w:val="1"/>
      <w:marLeft w:val="0"/>
      <w:marRight w:val="0"/>
      <w:marTop w:val="0"/>
      <w:marBottom w:val="0"/>
      <w:divBdr>
        <w:top w:val="none" w:sz="0" w:space="0" w:color="auto"/>
        <w:left w:val="none" w:sz="0" w:space="0" w:color="auto"/>
        <w:bottom w:val="none" w:sz="0" w:space="0" w:color="auto"/>
        <w:right w:val="none" w:sz="0" w:space="0" w:color="auto"/>
      </w:divBdr>
    </w:div>
    <w:div w:id="462888888">
      <w:bodyDiv w:val="1"/>
      <w:marLeft w:val="0"/>
      <w:marRight w:val="0"/>
      <w:marTop w:val="0"/>
      <w:marBottom w:val="0"/>
      <w:divBdr>
        <w:top w:val="none" w:sz="0" w:space="0" w:color="auto"/>
        <w:left w:val="none" w:sz="0" w:space="0" w:color="auto"/>
        <w:bottom w:val="none" w:sz="0" w:space="0" w:color="auto"/>
        <w:right w:val="none" w:sz="0" w:space="0" w:color="auto"/>
      </w:divBdr>
    </w:div>
    <w:div w:id="464006980">
      <w:bodyDiv w:val="1"/>
      <w:marLeft w:val="0"/>
      <w:marRight w:val="0"/>
      <w:marTop w:val="0"/>
      <w:marBottom w:val="0"/>
      <w:divBdr>
        <w:top w:val="none" w:sz="0" w:space="0" w:color="auto"/>
        <w:left w:val="none" w:sz="0" w:space="0" w:color="auto"/>
        <w:bottom w:val="none" w:sz="0" w:space="0" w:color="auto"/>
        <w:right w:val="none" w:sz="0" w:space="0" w:color="auto"/>
      </w:divBdr>
    </w:div>
    <w:div w:id="467821928">
      <w:bodyDiv w:val="1"/>
      <w:marLeft w:val="0"/>
      <w:marRight w:val="0"/>
      <w:marTop w:val="0"/>
      <w:marBottom w:val="0"/>
      <w:divBdr>
        <w:top w:val="none" w:sz="0" w:space="0" w:color="auto"/>
        <w:left w:val="none" w:sz="0" w:space="0" w:color="auto"/>
        <w:bottom w:val="none" w:sz="0" w:space="0" w:color="auto"/>
        <w:right w:val="none" w:sz="0" w:space="0" w:color="auto"/>
      </w:divBdr>
    </w:div>
    <w:div w:id="468939497">
      <w:bodyDiv w:val="1"/>
      <w:marLeft w:val="0"/>
      <w:marRight w:val="0"/>
      <w:marTop w:val="0"/>
      <w:marBottom w:val="0"/>
      <w:divBdr>
        <w:top w:val="none" w:sz="0" w:space="0" w:color="auto"/>
        <w:left w:val="none" w:sz="0" w:space="0" w:color="auto"/>
        <w:bottom w:val="none" w:sz="0" w:space="0" w:color="auto"/>
        <w:right w:val="none" w:sz="0" w:space="0" w:color="auto"/>
      </w:divBdr>
    </w:div>
    <w:div w:id="471407330">
      <w:bodyDiv w:val="1"/>
      <w:marLeft w:val="0"/>
      <w:marRight w:val="0"/>
      <w:marTop w:val="0"/>
      <w:marBottom w:val="0"/>
      <w:divBdr>
        <w:top w:val="none" w:sz="0" w:space="0" w:color="auto"/>
        <w:left w:val="none" w:sz="0" w:space="0" w:color="auto"/>
        <w:bottom w:val="none" w:sz="0" w:space="0" w:color="auto"/>
        <w:right w:val="none" w:sz="0" w:space="0" w:color="auto"/>
      </w:divBdr>
    </w:div>
    <w:div w:id="474566043">
      <w:bodyDiv w:val="1"/>
      <w:marLeft w:val="0"/>
      <w:marRight w:val="0"/>
      <w:marTop w:val="0"/>
      <w:marBottom w:val="0"/>
      <w:divBdr>
        <w:top w:val="none" w:sz="0" w:space="0" w:color="auto"/>
        <w:left w:val="none" w:sz="0" w:space="0" w:color="auto"/>
        <w:bottom w:val="none" w:sz="0" w:space="0" w:color="auto"/>
        <w:right w:val="none" w:sz="0" w:space="0" w:color="auto"/>
      </w:divBdr>
    </w:div>
    <w:div w:id="476454198">
      <w:bodyDiv w:val="1"/>
      <w:marLeft w:val="0"/>
      <w:marRight w:val="0"/>
      <w:marTop w:val="0"/>
      <w:marBottom w:val="0"/>
      <w:divBdr>
        <w:top w:val="none" w:sz="0" w:space="0" w:color="auto"/>
        <w:left w:val="none" w:sz="0" w:space="0" w:color="auto"/>
        <w:bottom w:val="none" w:sz="0" w:space="0" w:color="auto"/>
        <w:right w:val="none" w:sz="0" w:space="0" w:color="auto"/>
      </w:divBdr>
    </w:div>
    <w:div w:id="483393922">
      <w:bodyDiv w:val="1"/>
      <w:marLeft w:val="0"/>
      <w:marRight w:val="0"/>
      <w:marTop w:val="0"/>
      <w:marBottom w:val="0"/>
      <w:divBdr>
        <w:top w:val="none" w:sz="0" w:space="0" w:color="auto"/>
        <w:left w:val="none" w:sz="0" w:space="0" w:color="auto"/>
        <w:bottom w:val="none" w:sz="0" w:space="0" w:color="auto"/>
        <w:right w:val="none" w:sz="0" w:space="0" w:color="auto"/>
      </w:divBdr>
    </w:div>
    <w:div w:id="484250341">
      <w:bodyDiv w:val="1"/>
      <w:marLeft w:val="0"/>
      <w:marRight w:val="0"/>
      <w:marTop w:val="0"/>
      <w:marBottom w:val="0"/>
      <w:divBdr>
        <w:top w:val="none" w:sz="0" w:space="0" w:color="auto"/>
        <w:left w:val="none" w:sz="0" w:space="0" w:color="auto"/>
        <w:bottom w:val="none" w:sz="0" w:space="0" w:color="auto"/>
        <w:right w:val="none" w:sz="0" w:space="0" w:color="auto"/>
      </w:divBdr>
    </w:div>
    <w:div w:id="485630383">
      <w:bodyDiv w:val="1"/>
      <w:marLeft w:val="0"/>
      <w:marRight w:val="0"/>
      <w:marTop w:val="0"/>
      <w:marBottom w:val="0"/>
      <w:divBdr>
        <w:top w:val="none" w:sz="0" w:space="0" w:color="auto"/>
        <w:left w:val="none" w:sz="0" w:space="0" w:color="auto"/>
        <w:bottom w:val="none" w:sz="0" w:space="0" w:color="auto"/>
        <w:right w:val="none" w:sz="0" w:space="0" w:color="auto"/>
      </w:divBdr>
    </w:div>
    <w:div w:id="488794891">
      <w:bodyDiv w:val="1"/>
      <w:marLeft w:val="0"/>
      <w:marRight w:val="0"/>
      <w:marTop w:val="0"/>
      <w:marBottom w:val="0"/>
      <w:divBdr>
        <w:top w:val="none" w:sz="0" w:space="0" w:color="auto"/>
        <w:left w:val="none" w:sz="0" w:space="0" w:color="auto"/>
        <w:bottom w:val="none" w:sz="0" w:space="0" w:color="auto"/>
        <w:right w:val="none" w:sz="0" w:space="0" w:color="auto"/>
      </w:divBdr>
    </w:div>
    <w:div w:id="488862333">
      <w:bodyDiv w:val="1"/>
      <w:marLeft w:val="0"/>
      <w:marRight w:val="0"/>
      <w:marTop w:val="0"/>
      <w:marBottom w:val="0"/>
      <w:divBdr>
        <w:top w:val="none" w:sz="0" w:space="0" w:color="auto"/>
        <w:left w:val="none" w:sz="0" w:space="0" w:color="auto"/>
        <w:bottom w:val="none" w:sz="0" w:space="0" w:color="auto"/>
        <w:right w:val="none" w:sz="0" w:space="0" w:color="auto"/>
      </w:divBdr>
    </w:div>
    <w:div w:id="489293100">
      <w:bodyDiv w:val="1"/>
      <w:marLeft w:val="0"/>
      <w:marRight w:val="0"/>
      <w:marTop w:val="0"/>
      <w:marBottom w:val="0"/>
      <w:divBdr>
        <w:top w:val="none" w:sz="0" w:space="0" w:color="auto"/>
        <w:left w:val="none" w:sz="0" w:space="0" w:color="auto"/>
        <w:bottom w:val="none" w:sz="0" w:space="0" w:color="auto"/>
        <w:right w:val="none" w:sz="0" w:space="0" w:color="auto"/>
      </w:divBdr>
    </w:div>
    <w:div w:id="491991058">
      <w:bodyDiv w:val="1"/>
      <w:marLeft w:val="0"/>
      <w:marRight w:val="0"/>
      <w:marTop w:val="0"/>
      <w:marBottom w:val="0"/>
      <w:divBdr>
        <w:top w:val="none" w:sz="0" w:space="0" w:color="auto"/>
        <w:left w:val="none" w:sz="0" w:space="0" w:color="auto"/>
        <w:bottom w:val="none" w:sz="0" w:space="0" w:color="auto"/>
        <w:right w:val="none" w:sz="0" w:space="0" w:color="auto"/>
      </w:divBdr>
    </w:div>
    <w:div w:id="495272024">
      <w:bodyDiv w:val="1"/>
      <w:marLeft w:val="0"/>
      <w:marRight w:val="0"/>
      <w:marTop w:val="0"/>
      <w:marBottom w:val="0"/>
      <w:divBdr>
        <w:top w:val="none" w:sz="0" w:space="0" w:color="auto"/>
        <w:left w:val="none" w:sz="0" w:space="0" w:color="auto"/>
        <w:bottom w:val="none" w:sz="0" w:space="0" w:color="auto"/>
        <w:right w:val="none" w:sz="0" w:space="0" w:color="auto"/>
      </w:divBdr>
    </w:div>
    <w:div w:id="495649461">
      <w:bodyDiv w:val="1"/>
      <w:marLeft w:val="0"/>
      <w:marRight w:val="0"/>
      <w:marTop w:val="0"/>
      <w:marBottom w:val="0"/>
      <w:divBdr>
        <w:top w:val="none" w:sz="0" w:space="0" w:color="auto"/>
        <w:left w:val="none" w:sz="0" w:space="0" w:color="auto"/>
        <w:bottom w:val="none" w:sz="0" w:space="0" w:color="auto"/>
        <w:right w:val="none" w:sz="0" w:space="0" w:color="auto"/>
      </w:divBdr>
    </w:div>
    <w:div w:id="500855480">
      <w:bodyDiv w:val="1"/>
      <w:marLeft w:val="0"/>
      <w:marRight w:val="0"/>
      <w:marTop w:val="0"/>
      <w:marBottom w:val="0"/>
      <w:divBdr>
        <w:top w:val="none" w:sz="0" w:space="0" w:color="auto"/>
        <w:left w:val="none" w:sz="0" w:space="0" w:color="auto"/>
        <w:bottom w:val="none" w:sz="0" w:space="0" w:color="auto"/>
        <w:right w:val="none" w:sz="0" w:space="0" w:color="auto"/>
      </w:divBdr>
    </w:div>
    <w:div w:id="502402714">
      <w:bodyDiv w:val="1"/>
      <w:marLeft w:val="0"/>
      <w:marRight w:val="0"/>
      <w:marTop w:val="0"/>
      <w:marBottom w:val="0"/>
      <w:divBdr>
        <w:top w:val="none" w:sz="0" w:space="0" w:color="auto"/>
        <w:left w:val="none" w:sz="0" w:space="0" w:color="auto"/>
        <w:bottom w:val="none" w:sz="0" w:space="0" w:color="auto"/>
        <w:right w:val="none" w:sz="0" w:space="0" w:color="auto"/>
      </w:divBdr>
    </w:div>
    <w:div w:id="504709973">
      <w:bodyDiv w:val="1"/>
      <w:marLeft w:val="0"/>
      <w:marRight w:val="0"/>
      <w:marTop w:val="0"/>
      <w:marBottom w:val="0"/>
      <w:divBdr>
        <w:top w:val="none" w:sz="0" w:space="0" w:color="auto"/>
        <w:left w:val="none" w:sz="0" w:space="0" w:color="auto"/>
        <w:bottom w:val="none" w:sz="0" w:space="0" w:color="auto"/>
        <w:right w:val="none" w:sz="0" w:space="0" w:color="auto"/>
      </w:divBdr>
    </w:div>
    <w:div w:id="509829227">
      <w:bodyDiv w:val="1"/>
      <w:marLeft w:val="0"/>
      <w:marRight w:val="0"/>
      <w:marTop w:val="0"/>
      <w:marBottom w:val="0"/>
      <w:divBdr>
        <w:top w:val="none" w:sz="0" w:space="0" w:color="auto"/>
        <w:left w:val="none" w:sz="0" w:space="0" w:color="auto"/>
        <w:bottom w:val="none" w:sz="0" w:space="0" w:color="auto"/>
        <w:right w:val="none" w:sz="0" w:space="0" w:color="auto"/>
      </w:divBdr>
    </w:div>
    <w:div w:id="510873221">
      <w:bodyDiv w:val="1"/>
      <w:marLeft w:val="0"/>
      <w:marRight w:val="0"/>
      <w:marTop w:val="0"/>
      <w:marBottom w:val="0"/>
      <w:divBdr>
        <w:top w:val="none" w:sz="0" w:space="0" w:color="auto"/>
        <w:left w:val="none" w:sz="0" w:space="0" w:color="auto"/>
        <w:bottom w:val="none" w:sz="0" w:space="0" w:color="auto"/>
        <w:right w:val="none" w:sz="0" w:space="0" w:color="auto"/>
      </w:divBdr>
    </w:div>
    <w:div w:id="511334450">
      <w:bodyDiv w:val="1"/>
      <w:marLeft w:val="0"/>
      <w:marRight w:val="0"/>
      <w:marTop w:val="0"/>
      <w:marBottom w:val="0"/>
      <w:divBdr>
        <w:top w:val="none" w:sz="0" w:space="0" w:color="auto"/>
        <w:left w:val="none" w:sz="0" w:space="0" w:color="auto"/>
        <w:bottom w:val="none" w:sz="0" w:space="0" w:color="auto"/>
        <w:right w:val="none" w:sz="0" w:space="0" w:color="auto"/>
      </w:divBdr>
    </w:div>
    <w:div w:id="514074448">
      <w:bodyDiv w:val="1"/>
      <w:marLeft w:val="0"/>
      <w:marRight w:val="0"/>
      <w:marTop w:val="0"/>
      <w:marBottom w:val="0"/>
      <w:divBdr>
        <w:top w:val="none" w:sz="0" w:space="0" w:color="auto"/>
        <w:left w:val="none" w:sz="0" w:space="0" w:color="auto"/>
        <w:bottom w:val="none" w:sz="0" w:space="0" w:color="auto"/>
        <w:right w:val="none" w:sz="0" w:space="0" w:color="auto"/>
      </w:divBdr>
    </w:div>
    <w:div w:id="514539236">
      <w:bodyDiv w:val="1"/>
      <w:marLeft w:val="0"/>
      <w:marRight w:val="0"/>
      <w:marTop w:val="0"/>
      <w:marBottom w:val="0"/>
      <w:divBdr>
        <w:top w:val="none" w:sz="0" w:space="0" w:color="auto"/>
        <w:left w:val="none" w:sz="0" w:space="0" w:color="auto"/>
        <w:bottom w:val="none" w:sz="0" w:space="0" w:color="auto"/>
        <w:right w:val="none" w:sz="0" w:space="0" w:color="auto"/>
      </w:divBdr>
    </w:div>
    <w:div w:id="515726965">
      <w:bodyDiv w:val="1"/>
      <w:marLeft w:val="0"/>
      <w:marRight w:val="0"/>
      <w:marTop w:val="0"/>
      <w:marBottom w:val="0"/>
      <w:divBdr>
        <w:top w:val="none" w:sz="0" w:space="0" w:color="auto"/>
        <w:left w:val="none" w:sz="0" w:space="0" w:color="auto"/>
        <w:bottom w:val="none" w:sz="0" w:space="0" w:color="auto"/>
        <w:right w:val="none" w:sz="0" w:space="0" w:color="auto"/>
      </w:divBdr>
    </w:div>
    <w:div w:id="517887781">
      <w:bodyDiv w:val="1"/>
      <w:marLeft w:val="0"/>
      <w:marRight w:val="0"/>
      <w:marTop w:val="0"/>
      <w:marBottom w:val="0"/>
      <w:divBdr>
        <w:top w:val="none" w:sz="0" w:space="0" w:color="auto"/>
        <w:left w:val="none" w:sz="0" w:space="0" w:color="auto"/>
        <w:bottom w:val="none" w:sz="0" w:space="0" w:color="auto"/>
        <w:right w:val="none" w:sz="0" w:space="0" w:color="auto"/>
      </w:divBdr>
    </w:div>
    <w:div w:id="525680101">
      <w:bodyDiv w:val="1"/>
      <w:marLeft w:val="0"/>
      <w:marRight w:val="0"/>
      <w:marTop w:val="0"/>
      <w:marBottom w:val="0"/>
      <w:divBdr>
        <w:top w:val="none" w:sz="0" w:space="0" w:color="auto"/>
        <w:left w:val="none" w:sz="0" w:space="0" w:color="auto"/>
        <w:bottom w:val="none" w:sz="0" w:space="0" w:color="auto"/>
        <w:right w:val="none" w:sz="0" w:space="0" w:color="auto"/>
      </w:divBdr>
    </w:div>
    <w:div w:id="526333094">
      <w:bodyDiv w:val="1"/>
      <w:marLeft w:val="0"/>
      <w:marRight w:val="0"/>
      <w:marTop w:val="0"/>
      <w:marBottom w:val="0"/>
      <w:divBdr>
        <w:top w:val="none" w:sz="0" w:space="0" w:color="auto"/>
        <w:left w:val="none" w:sz="0" w:space="0" w:color="auto"/>
        <w:bottom w:val="none" w:sz="0" w:space="0" w:color="auto"/>
        <w:right w:val="none" w:sz="0" w:space="0" w:color="auto"/>
      </w:divBdr>
    </w:div>
    <w:div w:id="528957078">
      <w:bodyDiv w:val="1"/>
      <w:marLeft w:val="0"/>
      <w:marRight w:val="0"/>
      <w:marTop w:val="0"/>
      <w:marBottom w:val="0"/>
      <w:divBdr>
        <w:top w:val="none" w:sz="0" w:space="0" w:color="auto"/>
        <w:left w:val="none" w:sz="0" w:space="0" w:color="auto"/>
        <w:bottom w:val="none" w:sz="0" w:space="0" w:color="auto"/>
        <w:right w:val="none" w:sz="0" w:space="0" w:color="auto"/>
      </w:divBdr>
    </w:div>
    <w:div w:id="529075113">
      <w:bodyDiv w:val="1"/>
      <w:marLeft w:val="0"/>
      <w:marRight w:val="0"/>
      <w:marTop w:val="0"/>
      <w:marBottom w:val="0"/>
      <w:divBdr>
        <w:top w:val="none" w:sz="0" w:space="0" w:color="auto"/>
        <w:left w:val="none" w:sz="0" w:space="0" w:color="auto"/>
        <w:bottom w:val="none" w:sz="0" w:space="0" w:color="auto"/>
        <w:right w:val="none" w:sz="0" w:space="0" w:color="auto"/>
      </w:divBdr>
    </w:div>
    <w:div w:id="531571745">
      <w:bodyDiv w:val="1"/>
      <w:marLeft w:val="0"/>
      <w:marRight w:val="0"/>
      <w:marTop w:val="0"/>
      <w:marBottom w:val="0"/>
      <w:divBdr>
        <w:top w:val="none" w:sz="0" w:space="0" w:color="auto"/>
        <w:left w:val="none" w:sz="0" w:space="0" w:color="auto"/>
        <w:bottom w:val="none" w:sz="0" w:space="0" w:color="auto"/>
        <w:right w:val="none" w:sz="0" w:space="0" w:color="auto"/>
      </w:divBdr>
    </w:div>
    <w:div w:id="534663210">
      <w:bodyDiv w:val="1"/>
      <w:marLeft w:val="0"/>
      <w:marRight w:val="0"/>
      <w:marTop w:val="0"/>
      <w:marBottom w:val="0"/>
      <w:divBdr>
        <w:top w:val="none" w:sz="0" w:space="0" w:color="auto"/>
        <w:left w:val="none" w:sz="0" w:space="0" w:color="auto"/>
        <w:bottom w:val="none" w:sz="0" w:space="0" w:color="auto"/>
        <w:right w:val="none" w:sz="0" w:space="0" w:color="auto"/>
      </w:divBdr>
    </w:div>
    <w:div w:id="538737127">
      <w:bodyDiv w:val="1"/>
      <w:marLeft w:val="0"/>
      <w:marRight w:val="0"/>
      <w:marTop w:val="0"/>
      <w:marBottom w:val="0"/>
      <w:divBdr>
        <w:top w:val="none" w:sz="0" w:space="0" w:color="auto"/>
        <w:left w:val="none" w:sz="0" w:space="0" w:color="auto"/>
        <w:bottom w:val="none" w:sz="0" w:space="0" w:color="auto"/>
        <w:right w:val="none" w:sz="0" w:space="0" w:color="auto"/>
      </w:divBdr>
    </w:div>
    <w:div w:id="538981997">
      <w:bodyDiv w:val="1"/>
      <w:marLeft w:val="0"/>
      <w:marRight w:val="0"/>
      <w:marTop w:val="0"/>
      <w:marBottom w:val="0"/>
      <w:divBdr>
        <w:top w:val="none" w:sz="0" w:space="0" w:color="auto"/>
        <w:left w:val="none" w:sz="0" w:space="0" w:color="auto"/>
        <w:bottom w:val="none" w:sz="0" w:space="0" w:color="auto"/>
        <w:right w:val="none" w:sz="0" w:space="0" w:color="auto"/>
      </w:divBdr>
    </w:div>
    <w:div w:id="548613933">
      <w:bodyDiv w:val="1"/>
      <w:marLeft w:val="0"/>
      <w:marRight w:val="0"/>
      <w:marTop w:val="0"/>
      <w:marBottom w:val="0"/>
      <w:divBdr>
        <w:top w:val="none" w:sz="0" w:space="0" w:color="auto"/>
        <w:left w:val="none" w:sz="0" w:space="0" w:color="auto"/>
        <w:bottom w:val="none" w:sz="0" w:space="0" w:color="auto"/>
        <w:right w:val="none" w:sz="0" w:space="0" w:color="auto"/>
      </w:divBdr>
    </w:div>
    <w:div w:id="550074050">
      <w:bodyDiv w:val="1"/>
      <w:marLeft w:val="0"/>
      <w:marRight w:val="0"/>
      <w:marTop w:val="0"/>
      <w:marBottom w:val="0"/>
      <w:divBdr>
        <w:top w:val="none" w:sz="0" w:space="0" w:color="auto"/>
        <w:left w:val="none" w:sz="0" w:space="0" w:color="auto"/>
        <w:bottom w:val="none" w:sz="0" w:space="0" w:color="auto"/>
        <w:right w:val="none" w:sz="0" w:space="0" w:color="auto"/>
      </w:divBdr>
    </w:div>
    <w:div w:id="555436276">
      <w:bodyDiv w:val="1"/>
      <w:marLeft w:val="0"/>
      <w:marRight w:val="0"/>
      <w:marTop w:val="0"/>
      <w:marBottom w:val="0"/>
      <w:divBdr>
        <w:top w:val="none" w:sz="0" w:space="0" w:color="auto"/>
        <w:left w:val="none" w:sz="0" w:space="0" w:color="auto"/>
        <w:bottom w:val="none" w:sz="0" w:space="0" w:color="auto"/>
        <w:right w:val="none" w:sz="0" w:space="0" w:color="auto"/>
      </w:divBdr>
    </w:div>
    <w:div w:id="556014325">
      <w:bodyDiv w:val="1"/>
      <w:marLeft w:val="0"/>
      <w:marRight w:val="0"/>
      <w:marTop w:val="0"/>
      <w:marBottom w:val="0"/>
      <w:divBdr>
        <w:top w:val="none" w:sz="0" w:space="0" w:color="auto"/>
        <w:left w:val="none" w:sz="0" w:space="0" w:color="auto"/>
        <w:bottom w:val="none" w:sz="0" w:space="0" w:color="auto"/>
        <w:right w:val="none" w:sz="0" w:space="0" w:color="auto"/>
      </w:divBdr>
    </w:div>
    <w:div w:id="556084625">
      <w:bodyDiv w:val="1"/>
      <w:marLeft w:val="0"/>
      <w:marRight w:val="0"/>
      <w:marTop w:val="0"/>
      <w:marBottom w:val="0"/>
      <w:divBdr>
        <w:top w:val="none" w:sz="0" w:space="0" w:color="auto"/>
        <w:left w:val="none" w:sz="0" w:space="0" w:color="auto"/>
        <w:bottom w:val="none" w:sz="0" w:space="0" w:color="auto"/>
        <w:right w:val="none" w:sz="0" w:space="0" w:color="auto"/>
      </w:divBdr>
    </w:div>
    <w:div w:id="566303560">
      <w:bodyDiv w:val="1"/>
      <w:marLeft w:val="0"/>
      <w:marRight w:val="0"/>
      <w:marTop w:val="0"/>
      <w:marBottom w:val="0"/>
      <w:divBdr>
        <w:top w:val="none" w:sz="0" w:space="0" w:color="auto"/>
        <w:left w:val="none" w:sz="0" w:space="0" w:color="auto"/>
        <w:bottom w:val="none" w:sz="0" w:space="0" w:color="auto"/>
        <w:right w:val="none" w:sz="0" w:space="0" w:color="auto"/>
      </w:divBdr>
    </w:div>
    <w:div w:id="566769358">
      <w:bodyDiv w:val="1"/>
      <w:marLeft w:val="0"/>
      <w:marRight w:val="0"/>
      <w:marTop w:val="0"/>
      <w:marBottom w:val="0"/>
      <w:divBdr>
        <w:top w:val="none" w:sz="0" w:space="0" w:color="auto"/>
        <w:left w:val="none" w:sz="0" w:space="0" w:color="auto"/>
        <w:bottom w:val="none" w:sz="0" w:space="0" w:color="auto"/>
        <w:right w:val="none" w:sz="0" w:space="0" w:color="auto"/>
      </w:divBdr>
    </w:div>
    <w:div w:id="569078578">
      <w:bodyDiv w:val="1"/>
      <w:marLeft w:val="0"/>
      <w:marRight w:val="0"/>
      <w:marTop w:val="0"/>
      <w:marBottom w:val="0"/>
      <w:divBdr>
        <w:top w:val="none" w:sz="0" w:space="0" w:color="auto"/>
        <w:left w:val="none" w:sz="0" w:space="0" w:color="auto"/>
        <w:bottom w:val="none" w:sz="0" w:space="0" w:color="auto"/>
        <w:right w:val="none" w:sz="0" w:space="0" w:color="auto"/>
      </w:divBdr>
    </w:div>
    <w:div w:id="588659004">
      <w:bodyDiv w:val="1"/>
      <w:marLeft w:val="0"/>
      <w:marRight w:val="0"/>
      <w:marTop w:val="0"/>
      <w:marBottom w:val="0"/>
      <w:divBdr>
        <w:top w:val="none" w:sz="0" w:space="0" w:color="auto"/>
        <w:left w:val="none" w:sz="0" w:space="0" w:color="auto"/>
        <w:bottom w:val="none" w:sz="0" w:space="0" w:color="auto"/>
        <w:right w:val="none" w:sz="0" w:space="0" w:color="auto"/>
      </w:divBdr>
    </w:div>
    <w:div w:id="589241503">
      <w:bodyDiv w:val="1"/>
      <w:marLeft w:val="0"/>
      <w:marRight w:val="0"/>
      <w:marTop w:val="0"/>
      <w:marBottom w:val="0"/>
      <w:divBdr>
        <w:top w:val="none" w:sz="0" w:space="0" w:color="auto"/>
        <w:left w:val="none" w:sz="0" w:space="0" w:color="auto"/>
        <w:bottom w:val="none" w:sz="0" w:space="0" w:color="auto"/>
        <w:right w:val="none" w:sz="0" w:space="0" w:color="auto"/>
      </w:divBdr>
    </w:div>
    <w:div w:id="596790326">
      <w:bodyDiv w:val="1"/>
      <w:marLeft w:val="0"/>
      <w:marRight w:val="0"/>
      <w:marTop w:val="0"/>
      <w:marBottom w:val="0"/>
      <w:divBdr>
        <w:top w:val="none" w:sz="0" w:space="0" w:color="auto"/>
        <w:left w:val="none" w:sz="0" w:space="0" w:color="auto"/>
        <w:bottom w:val="none" w:sz="0" w:space="0" w:color="auto"/>
        <w:right w:val="none" w:sz="0" w:space="0" w:color="auto"/>
      </w:divBdr>
    </w:div>
    <w:div w:id="600340369">
      <w:bodyDiv w:val="1"/>
      <w:marLeft w:val="0"/>
      <w:marRight w:val="0"/>
      <w:marTop w:val="0"/>
      <w:marBottom w:val="0"/>
      <w:divBdr>
        <w:top w:val="none" w:sz="0" w:space="0" w:color="auto"/>
        <w:left w:val="none" w:sz="0" w:space="0" w:color="auto"/>
        <w:bottom w:val="none" w:sz="0" w:space="0" w:color="auto"/>
        <w:right w:val="none" w:sz="0" w:space="0" w:color="auto"/>
      </w:divBdr>
    </w:div>
    <w:div w:id="605037548">
      <w:bodyDiv w:val="1"/>
      <w:marLeft w:val="0"/>
      <w:marRight w:val="0"/>
      <w:marTop w:val="0"/>
      <w:marBottom w:val="0"/>
      <w:divBdr>
        <w:top w:val="none" w:sz="0" w:space="0" w:color="auto"/>
        <w:left w:val="none" w:sz="0" w:space="0" w:color="auto"/>
        <w:bottom w:val="none" w:sz="0" w:space="0" w:color="auto"/>
        <w:right w:val="none" w:sz="0" w:space="0" w:color="auto"/>
      </w:divBdr>
    </w:div>
    <w:div w:id="605038876">
      <w:bodyDiv w:val="1"/>
      <w:marLeft w:val="0"/>
      <w:marRight w:val="0"/>
      <w:marTop w:val="0"/>
      <w:marBottom w:val="0"/>
      <w:divBdr>
        <w:top w:val="none" w:sz="0" w:space="0" w:color="auto"/>
        <w:left w:val="none" w:sz="0" w:space="0" w:color="auto"/>
        <w:bottom w:val="none" w:sz="0" w:space="0" w:color="auto"/>
        <w:right w:val="none" w:sz="0" w:space="0" w:color="auto"/>
      </w:divBdr>
    </w:div>
    <w:div w:id="605503006">
      <w:bodyDiv w:val="1"/>
      <w:marLeft w:val="0"/>
      <w:marRight w:val="0"/>
      <w:marTop w:val="0"/>
      <w:marBottom w:val="0"/>
      <w:divBdr>
        <w:top w:val="none" w:sz="0" w:space="0" w:color="auto"/>
        <w:left w:val="none" w:sz="0" w:space="0" w:color="auto"/>
        <w:bottom w:val="none" w:sz="0" w:space="0" w:color="auto"/>
        <w:right w:val="none" w:sz="0" w:space="0" w:color="auto"/>
      </w:divBdr>
    </w:div>
    <w:div w:id="605772761">
      <w:bodyDiv w:val="1"/>
      <w:marLeft w:val="0"/>
      <w:marRight w:val="0"/>
      <w:marTop w:val="0"/>
      <w:marBottom w:val="0"/>
      <w:divBdr>
        <w:top w:val="none" w:sz="0" w:space="0" w:color="auto"/>
        <w:left w:val="none" w:sz="0" w:space="0" w:color="auto"/>
        <w:bottom w:val="none" w:sz="0" w:space="0" w:color="auto"/>
        <w:right w:val="none" w:sz="0" w:space="0" w:color="auto"/>
      </w:divBdr>
    </w:div>
    <w:div w:id="606615704">
      <w:bodyDiv w:val="1"/>
      <w:marLeft w:val="0"/>
      <w:marRight w:val="0"/>
      <w:marTop w:val="0"/>
      <w:marBottom w:val="0"/>
      <w:divBdr>
        <w:top w:val="none" w:sz="0" w:space="0" w:color="auto"/>
        <w:left w:val="none" w:sz="0" w:space="0" w:color="auto"/>
        <w:bottom w:val="none" w:sz="0" w:space="0" w:color="auto"/>
        <w:right w:val="none" w:sz="0" w:space="0" w:color="auto"/>
      </w:divBdr>
    </w:div>
    <w:div w:id="609821023">
      <w:bodyDiv w:val="1"/>
      <w:marLeft w:val="0"/>
      <w:marRight w:val="0"/>
      <w:marTop w:val="0"/>
      <w:marBottom w:val="0"/>
      <w:divBdr>
        <w:top w:val="none" w:sz="0" w:space="0" w:color="auto"/>
        <w:left w:val="none" w:sz="0" w:space="0" w:color="auto"/>
        <w:bottom w:val="none" w:sz="0" w:space="0" w:color="auto"/>
        <w:right w:val="none" w:sz="0" w:space="0" w:color="auto"/>
      </w:divBdr>
    </w:div>
    <w:div w:id="612791423">
      <w:bodyDiv w:val="1"/>
      <w:marLeft w:val="0"/>
      <w:marRight w:val="0"/>
      <w:marTop w:val="0"/>
      <w:marBottom w:val="0"/>
      <w:divBdr>
        <w:top w:val="none" w:sz="0" w:space="0" w:color="auto"/>
        <w:left w:val="none" w:sz="0" w:space="0" w:color="auto"/>
        <w:bottom w:val="none" w:sz="0" w:space="0" w:color="auto"/>
        <w:right w:val="none" w:sz="0" w:space="0" w:color="auto"/>
      </w:divBdr>
    </w:div>
    <w:div w:id="615063614">
      <w:bodyDiv w:val="1"/>
      <w:marLeft w:val="0"/>
      <w:marRight w:val="0"/>
      <w:marTop w:val="0"/>
      <w:marBottom w:val="0"/>
      <w:divBdr>
        <w:top w:val="none" w:sz="0" w:space="0" w:color="auto"/>
        <w:left w:val="none" w:sz="0" w:space="0" w:color="auto"/>
        <w:bottom w:val="none" w:sz="0" w:space="0" w:color="auto"/>
        <w:right w:val="none" w:sz="0" w:space="0" w:color="auto"/>
      </w:divBdr>
    </w:div>
    <w:div w:id="619188810">
      <w:bodyDiv w:val="1"/>
      <w:marLeft w:val="0"/>
      <w:marRight w:val="0"/>
      <w:marTop w:val="0"/>
      <w:marBottom w:val="0"/>
      <w:divBdr>
        <w:top w:val="none" w:sz="0" w:space="0" w:color="auto"/>
        <w:left w:val="none" w:sz="0" w:space="0" w:color="auto"/>
        <w:bottom w:val="none" w:sz="0" w:space="0" w:color="auto"/>
        <w:right w:val="none" w:sz="0" w:space="0" w:color="auto"/>
      </w:divBdr>
    </w:div>
    <w:div w:id="620262931">
      <w:bodyDiv w:val="1"/>
      <w:marLeft w:val="0"/>
      <w:marRight w:val="0"/>
      <w:marTop w:val="0"/>
      <w:marBottom w:val="0"/>
      <w:divBdr>
        <w:top w:val="none" w:sz="0" w:space="0" w:color="auto"/>
        <w:left w:val="none" w:sz="0" w:space="0" w:color="auto"/>
        <w:bottom w:val="none" w:sz="0" w:space="0" w:color="auto"/>
        <w:right w:val="none" w:sz="0" w:space="0" w:color="auto"/>
      </w:divBdr>
    </w:div>
    <w:div w:id="620379996">
      <w:bodyDiv w:val="1"/>
      <w:marLeft w:val="0"/>
      <w:marRight w:val="0"/>
      <w:marTop w:val="0"/>
      <w:marBottom w:val="0"/>
      <w:divBdr>
        <w:top w:val="none" w:sz="0" w:space="0" w:color="auto"/>
        <w:left w:val="none" w:sz="0" w:space="0" w:color="auto"/>
        <w:bottom w:val="none" w:sz="0" w:space="0" w:color="auto"/>
        <w:right w:val="none" w:sz="0" w:space="0" w:color="auto"/>
      </w:divBdr>
    </w:div>
    <w:div w:id="621495485">
      <w:bodyDiv w:val="1"/>
      <w:marLeft w:val="0"/>
      <w:marRight w:val="0"/>
      <w:marTop w:val="0"/>
      <w:marBottom w:val="0"/>
      <w:divBdr>
        <w:top w:val="none" w:sz="0" w:space="0" w:color="auto"/>
        <w:left w:val="none" w:sz="0" w:space="0" w:color="auto"/>
        <w:bottom w:val="none" w:sz="0" w:space="0" w:color="auto"/>
        <w:right w:val="none" w:sz="0" w:space="0" w:color="auto"/>
      </w:divBdr>
    </w:div>
    <w:div w:id="627129254">
      <w:bodyDiv w:val="1"/>
      <w:marLeft w:val="0"/>
      <w:marRight w:val="0"/>
      <w:marTop w:val="0"/>
      <w:marBottom w:val="0"/>
      <w:divBdr>
        <w:top w:val="none" w:sz="0" w:space="0" w:color="auto"/>
        <w:left w:val="none" w:sz="0" w:space="0" w:color="auto"/>
        <w:bottom w:val="none" w:sz="0" w:space="0" w:color="auto"/>
        <w:right w:val="none" w:sz="0" w:space="0" w:color="auto"/>
      </w:divBdr>
    </w:div>
    <w:div w:id="628363937">
      <w:bodyDiv w:val="1"/>
      <w:marLeft w:val="0"/>
      <w:marRight w:val="0"/>
      <w:marTop w:val="0"/>
      <w:marBottom w:val="0"/>
      <w:divBdr>
        <w:top w:val="none" w:sz="0" w:space="0" w:color="auto"/>
        <w:left w:val="none" w:sz="0" w:space="0" w:color="auto"/>
        <w:bottom w:val="none" w:sz="0" w:space="0" w:color="auto"/>
        <w:right w:val="none" w:sz="0" w:space="0" w:color="auto"/>
      </w:divBdr>
    </w:div>
    <w:div w:id="629434939">
      <w:bodyDiv w:val="1"/>
      <w:marLeft w:val="0"/>
      <w:marRight w:val="0"/>
      <w:marTop w:val="0"/>
      <w:marBottom w:val="0"/>
      <w:divBdr>
        <w:top w:val="none" w:sz="0" w:space="0" w:color="auto"/>
        <w:left w:val="none" w:sz="0" w:space="0" w:color="auto"/>
        <w:bottom w:val="none" w:sz="0" w:space="0" w:color="auto"/>
        <w:right w:val="none" w:sz="0" w:space="0" w:color="auto"/>
      </w:divBdr>
    </w:div>
    <w:div w:id="638849442">
      <w:bodyDiv w:val="1"/>
      <w:marLeft w:val="0"/>
      <w:marRight w:val="0"/>
      <w:marTop w:val="0"/>
      <w:marBottom w:val="0"/>
      <w:divBdr>
        <w:top w:val="none" w:sz="0" w:space="0" w:color="auto"/>
        <w:left w:val="none" w:sz="0" w:space="0" w:color="auto"/>
        <w:bottom w:val="none" w:sz="0" w:space="0" w:color="auto"/>
        <w:right w:val="none" w:sz="0" w:space="0" w:color="auto"/>
      </w:divBdr>
    </w:div>
    <w:div w:id="639769580">
      <w:bodyDiv w:val="1"/>
      <w:marLeft w:val="0"/>
      <w:marRight w:val="0"/>
      <w:marTop w:val="0"/>
      <w:marBottom w:val="0"/>
      <w:divBdr>
        <w:top w:val="none" w:sz="0" w:space="0" w:color="auto"/>
        <w:left w:val="none" w:sz="0" w:space="0" w:color="auto"/>
        <w:bottom w:val="none" w:sz="0" w:space="0" w:color="auto"/>
        <w:right w:val="none" w:sz="0" w:space="0" w:color="auto"/>
      </w:divBdr>
    </w:div>
    <w:div w:id="642658321">
      <w:bodyDiv w:val="1"/>
      <w:marLeft w:val="0"/>
      <w:marRight w:val="0"/>
      <w:marTop w:val="0"/>
      <w:marBottom w:val="0"/>
      <w:divBdr>
        <w:top w:val="none" w:sz="0" w:space="0" w:color="auto"/>
        <w:left w:val="none" w:sz="0" w:space="0" w:color="auto"/>
        <w:bottom w:val="none" w:sz="0" w:space="0" w:color="auto"/>
        <w:right w:val="none" w:sz="0" w:space="0" w:color="auto"/>
      </w:divBdr>
    </w:div>
    <w:div w:id="648437638">
      <w:bodyDiv w:val="1"/>
      <w:marLeft w:val="0"/>
      <w:marRight w:val="0"/>
      <w:marTop w:val="0"/>
      <w:marBottom w:val="0"/>
      <w:divBdr>
        <w:top w:val="none" w:sz="0" w:space="0" w:color="auto"/>
        <w:left w:val="none" w:sz="0" w:space="0" w:color="auto"/>
        <w:bottom w:val="none" w:sz="0" w:space="0" w:color="auto"/>
        <w:right w:val="none" w:sz="0" w:space="0" w:color="auto"/>
      </w:divBdr>
    </w:div>
    <w:div w:id="648629017">
      <w:bodyDiv w:val="1"/>
      <w:marLeft w:val="0"/>
      <w:marRight w:val="0"/>
      <w:marTop w:val="0"/>
      <w:marBottom w:val="0"/>
      <w:divBdr>
        <w:top w:val="none" w:sz="0" w:space="0" w:color="auto"/>
        <w:left w:val="none" w:sz="0" w:space="0" w:color="auto"/>
        <w:bottom w:val="none" w:sz="0" w:space="0" w:color="auto"/>
        <w:right w:val="none" w:sz="0" w:space="0" w:color="auto"/>
      </w:divBdr>
    </w:div>
    <w:div w:id="656764842">
      <w:bodyDiv w:val="1"/>
      <w:marLeft w:val="0"/>
      <w:marRight w:val="0"/>
      <w:marTop w:val="0"/>
      <w:marBottom w:val="0"/>
      <w:divBdr>
        <w:top w:val="none" w:sz="0" w:space="0" w:color="auto"/>
        <w:left w:val="none" w:sz="0" w:space="0" w:color="auto"/>
        <w:bottom w:val="none" w:sz="0" w:space="0" w:color="auto"/>
        <w:right w:val="none" w:sz="0" w:space="0" w:color="auto"/>
      </w:divBdr>
    </w:div>
    <w:div w:id="658777773">
      <w:bodyDiv w:val="1"/>
      <w:marLeft w:val="0"/>
      <w:marRight w:val="0"/>
      <w:marTop w:val="0"/>
      <w:marBottom w:val="0"/>
      <w:divBdr>
        <w:top w:val="none" w:sz="0" w:space="0" w:color="auto"/>
        <w:left w:val="none" w:sz="0" w:space="0" w:color="auto"/>
        <w:bottom w:val="none" w:sz="0" w:space="0" w:color="auto"/>
        <w:right w:val="none" w:sz="0" w:space="0" w:color="auto"/>
      </w:divBdr>
    </w:div>
    <w:div w:id="659306588">
      <w:bodyDiv w:val="1"/>
      <w:marLeft w:val="0"/>
      <w:marRight w:val="0"/>
      <w:marTop w:val="0"/>
      <w:marBottom w:val="0"/>
      <w:divBdr>
        <w:top w:val="none" w:sz="0" w:space="0" w:color="auto"/>
        <w:left w:val="none" w:sz="0" w:space="0" w:color="auto"/>
        <w:bottom w:val="none" w:sz="0" w:space="0" w:color="auto"/>
        <w:right w:val="none" w:sz="0" w:space="0" w:color="auto"/>
      </w:divBdr>
    </w:div>
    <w:div w:id="660735927">
      <w:bodyDiv w:val="1"/>
      <w:marLeft w:val="0"/>
      <w:marRight w:val="0"/>
      <w:marTop w:val="0"/>
      <w:marBottom w:val="0"/>
      <w:divBdr>
        <w:top w:val="none" w:sz="0" w:space="0" w:color="auto"/>
        <w:left w:val="none" w:sz="0" w:space="0" w:color="auto"/>
        <w:bottom w:val="none" w:sz="0" w:space="0" w:color="auto"/>
        <w:right w:val="none" w:sz="0" w:space="0" w:color="auto"/>
      </w:divBdr>
    </w:div>
    <w:div w:id="667904107">
      <w:bodyDiv w:val="1"/>
      <w:marLeft w:val="0"/>
      <w:marRight w:val="0"/>
      <w:marTop w:val="0"/>
      <w:marBottom w:val="0"/>
      <w:divBdr>
        <w:top w:val="none" w:sz="0" w:space="0" w:color="auto"/>
        <w:left w:val="none" w:sz="0" w:space="0" w:color="auto"/>
        <w:bottom w:val="none" w:sz="0" w:space="0" w:color="auto"/>
        <w:right w:val="none" w:sz="0" w:space="0" w:color="auto"/>
      </w:divBdr>
    </w:div>
    <w:div w:id="669211487">
      <w:bodyDiv w:val="1"/>
      <w:marLeft w:val="0"/>
      <w:marRight w:val="0"/>
      <w:marTop w:val="0"/>
      <w:marBottom w:val="0"/>
      <w:divBdr>
        <w:top w:val="none" w:sz="0" w:space="0" w:color="auto"/>
        <w:left w:val="none" w:sz="0" w:space="0" w:color="auto"/>
        <w:bottom w:val="none" w:sz="0" w:space="0" w:color="auto"/>
        <w:right w:val="none" w:sz="0" w:space="0" w:color="auto"/>
      </w:divBdr>
    </w:div>
    <w:div w:id="675226625">
      <w:bodyDiv w:val="1"/>
      <w:marLeft w:val="0"/>
      <w:marRight w:val="0"/>
      <w:marTop w:val="0"/>
      <w:marBottom w:val="0"/>
      <w:divBdr>
        <w:top w:val="none" w:sz="0" w:space="0" w:color="auto"/>
        <w:left w:val="none" w:sz="0" w:space="0" w:color="auto"/>
        <w:bottom w:val="none" w:sz="0" w:space="0" w:color="auto"/>
        <w:right w:val="none" w:sz="0" w:space="0" w:color="auto"/>
      </w:divBdr>
    </w:div>
    <w:div w:id="675302552">
      <w:bodyDiv w:val="1"/>
      <w:marLeft w:val="0"/>
      <w:marRight w:val="0"/>
      <w:marTop w:val="0"/>
      <w:marBottom w:val="0"/>
      <w:divBdr>
        <w:top w:val="none" w:sz="0" w:space="0" w:color="auto"/>
        <w:left w:val="none" w:sz="0" w:space="0" w:color="auto"/>
        <w:bottom w:val="none" w:sz="0" w:space="0" w:color="auto"/>
        <w:right w:val="none" w:sz="0" w:space="0" w:color="auto"/>
      </w:divBdr>
    </w:div>
    <w:div w:id="681316902">
      <w:bodyDiv w:val="1"/>
      <w:marLeft w:val="0"/>
      <w:marRight w:val="0"/>
      <w:marTop w:val="0"/>
      <w:marBottom w:val="0"/>
      <w:divBdr>
        <w:top w:val="none" w:sz="0" w:space="0" w:color="auto"/>
        <w:left w:val="none" w:sz="0" w:space="0" w:color="auto"/>
        <w:bottom w:val="none" w:sz="0" w:space="0" w:color="auto"/>
        <w:right w:val="none" w:sz="0" w:space="0" w:color="auto"/>
      </w:divBdr>
    </w:div>
    <w:div w:id="681976902">
      <w:bodyDiv w:val="1"/>
      <w:marLeft w:val="0"/>
      <w:marRight w:val="0"/>
      <w:marTop w:val="0"/>
      <w:marBottom w:val="0"/>
      <w:divBdr>
        <w:top w:val="none" w:sz="0" w:space="0" w:color="auto"/>
        <w:left w:val="none" w:sz="0" w:space="0" w:color="auto"/>
        <w:bottom w:val="none" w:sz="0" w:space="0" w:color="auto"/>
        <w:right w:val="none" w:sz="0" w:space="0" w:color="auto"/>
      </w:divBdr>
    </w:div>
    <w:div w:id="685788864">
      <w:bodyDiv w:val="1"/>
      <w:marLeft w:val="0"/>
      <w:marRight w:val="0"/>
      <w:marTop w:val="0"/>
      <w:marBottom w:val="0"/>
      <w:divBdr>
        <w:top w:val="none" w:sz="0" w:space="0" w:color="auto"/>
        <w:left w:val="none" w:sz="0" w:space="0" w:color="auto"/>
        <w:bottom w:val="none" w:sz="0" w:space="0" w:color="auto"/>
        <w:right w:val="none" w:sz="0" w:space="0" w:color="auto"/>
      </w:divBdr>
    </w:div>
    <w:div w:id="689642478">
      <w:bodyDiv w:val="1"/>
      <w:marLeft w:val="0"/>
      <w:marRight w:val="0"/>
      <w:marTop w:val="0"/>
      <w:marBottom w:val="0"/>
      <w:divBdr>
        <w:top w:val="none" w:sz="0" w:space="0" w:color="auto"/>
        <w:left w:val="none" w:sz="0" w:space="0" w:color="auto"/>
        <w:bottom w:val="none" w:sz="0" w:space="0" w:color="auto"/>
        <w:right w:val="none" w:sz="0" w:space="0" w:color="auto"/>
      </w:divBdr>
    </w:div>
    <w:div w:id="690490749">
      <w:bodyDiv w:val="1"/>
      <w:marLeft w:val="0"/>
      <w:marRight w:val="0"/>
      <w:marTop w:val="0"/>
      <w:marBottom w:val="0"/>
      <w:divBdr>
        <w:top w:val="none" w:sz="0" w:space="0" w:color="auto"/>
        <w:left w:val="none" w:sz="0" w:space="0" w:color="auto"/>
        <w:bottom w:val="none" w:sz="0" w:space="0" w:color="auto"/>
        <w:right w:val="none" w:sz="0" w:space="0" w:color="auto"/>
      </w:divBdr>
    </w:div>
    <w:div w:id="691876511">
      <w:bodyDiv w:val="1"/>
      <w:marLeft w:val="0"/>
      <w:marRight w:val="0"/>
      <w:marTop w:val="0"/>
      <w:marBottom w:val="0"/>
      <w:divBdr>
        <w:top w:val="none" w:sz="0" w:space="0" w:color="auto"/>
        <w:left w:val="none" w:sz="0" w:space="0" w:color="auto"/>
        <w:bottom w:val="none" w:sz="0" w:space="0" w:color="auto"/>
        <w:right w:val="none" w:sz="0" w:space="0" w:color="auto"/>
      </w:divBdr>
    </w:div>
    <w:div w:id="693962438">
      <w:bodyDiv w:val="1"/>
      <w:marLeft w:val="0"/>
      <w:marRight w:val="0"/>
      <w:marTop w:val="0"/>
      <w:marBottom w:val="0"/>
      <w:divBdr>
        <w:top w:val="none" w:sz="0" w:space="0" w:color="auto"/>
        <w:left w:val="none" w:sz="0" w:space="0" w:color="auto"/>
        <w:bottom w:val="none" w:sz="0" w:space="0" w:color="auto"/>
        <w:right w:val="none" w:sz="0" w:space="0" w:color="auto"/>
      </w:divBdr>
    </w:div>
    <w:div w:id="700741180">
      <w:bodyDiv w:val="1"/>
      <w:marLeft w:val="0"/>
      <w:marRight w:val="0"/>
      <w:marTop w:val="0"/>
      <w:marBottom w:val="0"/>
      <w:divBdr>
        <w:top w:val="none" w:sz="0" w:space="0" w:color="auto"/>
        <w:left w:val="none" w:sz="0" w:space="0" w:color="auto"/>
        <w:bottom w:val="none" w:sz="0" w:space="0" w:color="auto"/>
        <w:right w:val="none" w:sz="0" w:space="0" w:color="auto"/>
      </w:divBdr>
    </w:div>
    <w:div w:id="703335575">
      <w:bodyDiv w:val="1"/>
      <w:marLeft w:val="0"/>
      <w:marRight w:val="0"/>
      <w:marTop w:val="0"/>
      <w:marBottom w:val="0"/>
      <w:divBdr>
        <w:top w:val="none" w:sz="0" w:space="0" w:color="auto"/>
        <w:left w:val="none" w:sz="0" w:space="0" w:color="auto"/>
        <w:bottom w:val="none" w:sz="0" w:space="0" w:color="auto"/>
        <w:right w:val="none" w:sz="0" w:space="0" w:color="auto"/>
      </w:divBdr>
    </w:div>
    <w:div w:id="711616175">
      <w:bodyDiv w:val="1"/>
      <w:marLeft w:val="0"/>
      <w:marRight w:val="0"/>
      <w:marTop w:val="0"/>
      <w:marBottom w:val="0"/>
      <w:divBdr>
        <w:top w:val="none" w:sz="0" w:space="0" w:color="auto"/>
        <w:left w:val="none" w:sz="0" w:space="0" w:color="auto"/>
        <w:bottom w:val="none" w:sz="0" w:space="0" w:color="auto"/>
        <w:right w:val="none" w:sz="0" w:space="0" w:color="auto"/>
      </w:divBdr>
    </w:div>
    <w:div w:id="711807980">
      <w:bodyDiv w:val="1"/>
      <w:marLeft w:val="0"/>
      <w:marRight w:val="0"/>
      <w:marTop w:val="0"/>
      <w:marBottom w:val="0"/>
      <w:divBdr>
        <w:top w:val="none" w:sz="0" w:space="0" w:color="auto"/>
        <w:left w:val="none" w:sz="0" w:space="0" w:color="auto"/>
        <w:bottom w:val="none" w:sz="0" w:space="0" w:color="auto"/>
        <w:right w:val="none" w:sz="0" w:space="0" w:color="auto"/>
      </w:divBdr>
    </w:div>
    <w:div w:id="712115691">
      <w:bodyDiv w:val="1"/>
      <w:marLeft w:val="0"/>
      <w:marRight w:val="0"/>
      <w:marTop w:val="0"/>
      <w:marBottom w:val="0"/>
      <w:divBdr>
        <w:top w:val="none" w:sz="0" w:space="0" w:color="auto"/>
        <w:left w:val="none" w:sz="0" w:space="0" w:color="auto"/>
        <w:bottom w:val="none" w:sz="0" w:space="0" w:color="auto"/>
        <w:right w:val="none" w:sz="0" w:space="0" w:color="auto"/>
      </w:divBdr>
    </w:div>
    <w:div w:id="713778201">
      <w:bodyDiv w:val="1"/>
      <w:marLeft w:val="0"/>
      <w:marRight w:val="0"/>
      <w:marTop w:val="0"/>
      <w:marBottom w:val="0"/>
      <w:divBdr>
        <w:top w:val="none" w:sz="0" w:space="0" w:color="auto"/>
        <w:left w:val="none" w:sz="0" w:space="0" w:color="auto"/>
        <w:bottom w:val="none" w:sz="0" w:space="0" w:color="auto"/>
        <w:right w:val="none" w:sz="0" w:space="0" w:color="auto"/>
      </w:divBdr>
    </w:div>
    <w:div w:id="720128535">
      <w:bodyDiv w:val="1"/>
      <w:marLeft w:val="0"/>
      <w:marRight w:val="0"/>
      <w:marTop w:val="0"/>
      <w:marBottom w:val="0"/>
      <w:divBdr>
        <w:top w:val="none" w:sz="0" w:space="0" w:color="auto"/>
        <w:left w:val="none" w:sz="0" w:space="0" w:color="auto"/>
        <w:bottom w:val="none" w:sz="0" w:space="0" w:color="auto"/>
        <w:right w:val="none" w:sz="0" w:space="0" w:color="auto"/>
      </w:divBdr>
    </w:div>
    <w:div w:id="721825638">
      <w:bodyDiv w:val="1"/>
      <w:marLeft w:val="0"/>
      <w:marRight w:val="0"/>
      <w:marTop w:val="0"/>
      <w:marBottom w:val="0"/>
      <w:divBdr>
        <w:top w:val="none" w:sz="0" w:space="0" w:color="auto"/>
        <w:left w:val="none" w:sz="0" w:space="0" w:color="auto"/>
        <w:bottom w:val="none" w:sz="0" w:space="0" w:color="auto"/>
        <w:right w:val="none" w:sz="0" w:space="0" w:color="auto"/>
      </w:divBdr>
    </w:div>
    <w:div w:id="722406099">
      <w:bodyDiv w:val="1"/>
      <w:marLeft w:val="0"/>
      <w:marRight w:val="0"/>
      <w:marTop w:val="0"/>
      <w:marBottom w:val="0"/>
      <w:divBdr>
        <w:top w:val="none" w:sz="0" w:space="0" w:color="auto"/>
        <w:left w:val="none" w:sz="0" w:space="0" w:color="auto"/>
        <w:bottom w:val="none" w:sz="0" w:space="0" w:color="auto"/>
        <w:right w:val="none" w:sz="0" w:space="0" w:color="auto"/>
      </w:divBdr>
    </w:div>
    <w:div w:id="723336356">
      <w:bodyDiv w:val="1"/>
      <w:marLeft w:val="0"/>
      <w:marRight w:val="0"/>
      <w:marTop w:val="0"/>
      <w:marBottom w:val="0"/>
      <w:divBdr>
        <w:top w:val="none" w:sz="0" w:space="0" w:color="auto"/>
        <w:left w:val="none" w:sz="0" w:space="0" w:color="auto"/>
        <w:bottom w:val="none" w:sz="0" w:space="0" w:color="auto"/>
        <w:right w:val="none" w:sz="0" w:space="0" w:color="auto"/>
      </w:divBdr>
    </w:div>
    <w:div w:id="726294991">
      <w:bodyDiv w:val="1"/>
      <w:marLeft w:val="0"/>
      <w:marRight w:val="0"/>
      <w:marTop w:val="0"/>
      <w:marBottom w:val="0"/>
      <w:divBdr>
        <w:top w:val="none" w:sz="0" w:space="0" w:color="auto"/>
        <w:left w:val="none" w:sz="0" w:space="0" w:color="auto"/>
        <w:bottom w:val="none" w:sz="0" w:space="0" w:color="auto"/>
        <w:right w:val="none" w:sz="0" w:space="0" w:color="auto"/>
      </w:divBdr>
    </w:div>
    <w:div w:id="726606762">
      <w:bodyDiv w:val="1"/>
      <w:marLeft w:val="0"/>
      <w:marRight w:val="0"/>
      <w:marTop w:val="0"/>
      <w:marBottom w:val="0"/>
      <w:divBdr>
        <w:top w:val="none" w:sz="0" w:space="0" w:color="auto"/>
        <w:left w:val="none" w:sz="0" w:space="0" w:color="auto"/>
        <w:bottom w:val="none" w:sz="0" w:space="0" w:color="auto"/>
        <w:right w:val="none" w:sz="0" w:space="0" w:color="auto"/>
      </w:divBdr>
    </w:div>
    <w:div w:id="727995014">
      <w:bodyDiv w:val="1"/>
      <w:marLeft w:val="0"/>
      <w:marRight w:val="0"/>
      <w:marTop w:val="0"/>
      <w:marBottom w:val="0"/>
      <w:divBdr>
        <w:top w:val="none" w:sz="0" w:space="0" w:color="auto"/>
        <w:left w:val="none" w:sz="0" w:space="0" w:color="auto"/>
        <w:bottom w:val="none" w:sz="0" w:space="0" w:color="auto"/>
        <w:right w:val="none" w:sz="0" w:space="0" w:color="auto"/>
      </w:divBdr>
    </w:div>
    <w:div w:id="728306647">
      <w:bodyDiv w:val="1"/>
      <w:marLeft w:val="0"/>
      <w:marRight w:val="0"/>
      <w:marTop w:val="0"/>
      <w:marBottom w:val="0"/>
      <w:divBdr>
        <w:top w:val="none" w:sz="0" w:space="0" w:color="auto"/>
        <w:left w:val="none" w:sz="0" w:space="0" w:color="auto"/>
        <w:bottom w:val="none" w:sz="0" w:space="0" w:color="auto"/>
        <w:right w:val="none" w:sz="0" w:space="0" w:color="auto"/>
      </w:divBdr>
    </w:div>
    <w:div w:id="732585186">
      <w:bodyDiv w:val="1"/>
      <w:marLeft w:val="0"/>
      <w:marRight w:val="0"/>
      <w:marTop w:val="0"/>
      <w:marBottom w:val="0"/>
      <w:divBdr>
        <w:top w:val="none" w:sz="0" w:space="0" w:color="auto"/>
        <w:left w:val="none" w:sz="0" w:space="0" w:color="auto"/>
        <w:bottom w:val="none" w:sz="0" w:space="0" w:color="auto"/>
        <w:right w:val="none" w:sz="0" w:space="0" w:color="auto"/>
      </w:divBdr>
    </w:div>
    <w:div w:id="733550742">
      <w:bodyDiv w:val="1"/>
      <w:marLeft w:val="0"/>
      <w:marRight w:val="0"/>
      <w:marTop w:val="0"/>
      <w:marBottom w:val="0"/>
      <w:divBdr>
        <w:top w:val="none" w:sz="0" w:space="0" w:color="auto"/>
        <w:left w:val="none" w:sz="0" w:space="0" w:color="auto"/>
        <w:bottom w:val="none" w:sz="0" w:space="0" w:color="auto"/>
        <w:right w:val="none" w:sz="0" w:space="0" w:color="auto"/>
      </w:divBdr>
    </w:div>
    <w:div w:id="740758527">
      <w:bodyDiv w:val="1"/>
      <w:marLeft w:val="0"/>
      <w:marRight w:val="0"/>
      <w:marTop w:val="0"/>
      <w:marBottom w:val="0"/>
      <w:divBdr>
        <w:top w:val="none" w:sz="0" w:space="0" w:color="auto"/>
        <w:left w:val="none" w:sz="0" w:space="0" w:color="auto"/>
        <w:bottom w:val="none" w:sz="0" w:space="0" w:color="auto"/>
        <w:right w:val="none" w:sz="0" w:space="0" w:color="auto"/>
      </w:divBdr>
    </w:div>
    <w:div w:id="743383306">
      <w:bodyDiv w:val="1"/>
      <w:marLeft w:val="0"/>
      <w:marRight w:val="0"/>
      <w:marTop w:val="0"/>
      <w:marBottom w:val="0"/>
      <w:divBdr>
        <w:top w:val="none" w:sz="0" w:space="0" w:color="auto"/>
        <w:left w:val="none" w:sz="0" w:space="0" w:color="auto"/>
        <w:bottom w:val="none" w:sz="0" w:space="0" w:color="auto"/>
        <w:right w:val="none" w:sz="0" w:space="0" w:color="auto"/>
      </w:divBdr>
    </w:div>
    <w:div w:id="747727586">
      <w:bodyDiv w:val="1"/>
      <w:marLeft w:val="0"/>
      <w:marRight w:val="0"/>
      <w:marTop w:val="0"/>
      <w:marBottom w:val="0"/>
      <w:divBdr>
        <w:top w:val="none" w:sz="0" w:space="0" w:color="auto"/>
        <w:left w:val="none" w:sz="0" w:space="0" w:color="auto"/>
        <w:bottom w:val="none" w:sz="0" w:space="0" w:color="auto"/>
        <w:right w:val="none" w:sz="0" w:space="0" w:color="auto"/>
      </w:divBdr>
    </w:div>
    <w:div w:id="752169149">
      <w:bodyDiv w:val="1"/>
      <w:marLeft w:val="0"/>
      <w:marRight w:val="0"/>
      <w:marTop w:val="0"/>
      <w:marBottom w:val="0"/>
      <w:divBdr>
        <w:top w:val="none" w:sz="0" w:space="0" w:color="auto"/>
        <w:left w:val="none" w:sz="0" w:space="0" w:color="auto"/>
        <w:bottom w:val="none" w:sz="0" w:space="0" w:color="auto"/>
        <w:right w:val="none" w:sz="0" w:space="0" w:color="auto"/>
      </w:divBdr>
    </w:div>
    <w:div w:id="752626028">
      <w:bodyDiv w:val="1"/>
      <w:marLeft w:val="0"/>
      <w:marRight w:val="0"/>
      <w:marTop w:val="0"/>
      <w:marBottom w:val="0"/>
      <w:divBdr>
        <w:top w:val="none" w:sz="0" w:space="0" w:color="auto"/>
        <w:left w:val="none" w:sz="0" w:space="0" w:color="auto"/>
        <w:bottom w:val="none" w:sz="0" w:space="0" w:color="auto"/>
        <w:right w:val="none" w:sz="0" w:space="0" w:color="auto"/>
      </w:divBdr>
    </w:div>
    <w:div w:id="755636604">
      <w:bodyDiv w:val="1"/>
      <w:marLeft w:val="0"/>
      <w:marRight w:val="0"/>
      <w:marTop w:val="0"/>
      <w:marBottom w:val="0"/>
      <w:divBdr>
        <w:top w:val="none" w:sz="0" w:space="0" w:color="auto"/>
        <w:left w:val="none" w:sz="0" w:space="0" w:color="auto"/>
        <w:bottom w:val="none" w:sz="0" w:space="0" w:color="auto"/>
        <w:right w:val="none" w:sz="0" w:space="0" w:color="auto"/>
      </w:divBdr>
    </w:div>
    <w:div w:id="760881178">
      <w:bodyDiv w:val="1"/>
      <w:marLeft w:val="0"/>
      <w:marRight w:val="0"/>
      <w:marTop w:val="0"/>
      <w:marBottom w:val="0"/>
      <w:divBdr>
        <w:top w:val="none" w:sz="0" w:space="0" w:color="auto"/>
        <w:left w:val="none" w:sz="0" w:space="0" w:color="auto"/>
        <w:bottom w:val="none" w:sz="0" w:space="0" w:color="auto"/>
        <w:right w:val="none" w:sz="0" w:space="0" w:color="auto"/>
      </w:divBdr>
    </w:div>
    <w:div w:id="762797468">
      <w:bodyDiv w:val="1"/>
      <w:marLeft w:val="0"/>
      <w:marRight w:val="0"/>
      <w:marTop w:val="0"/>
      <w:marBottom w:val="0"/>
      <w:divBdr>
        <w:top w:val="none" w:sz="0" w:space="0" w:color="auto"/>
        <w:left w:val="none" w:sz="0" w:space="0" w:color="auto"/>
        <w:bottom w:val="none" w:sz="0" w:space="0" w:color="auto"/>
        <w:right w:val="none" w:sz="0" w:space="0" w:color="auto"/>
      </w:divBdr>
    </w:div>
    <w:div w:id="763264286">
      <w:bodyDiv w:val="1"/>
      <w:marLeft w:val="0"/>
      <w:marRight w:val="0"/>
      <w:marTop w:val="0"/>
      <w:marBottom w:val="0"/>
      <w:divBdr>
        <w:top w:val="none" w:sz="0" w:space="0" w:color="auto"/>
        <w:left w:val="none" w:sz="0" w:space="0" w:color="auto"/>
        <w:bottom w:val="none" w:sz="0" w:space="0" w:color="auto"/>
        <w:right w:val="none" w:sz="0" w:space="0" w:color="auto"/>
      </w:divBdr>
    </w:div>
    <w:div w:id="766538377">
      <w:bodyDiv w:val="1"/>
      <w:marLeft w:val="0"/>
      <w:marRight w:val="0"/>
      <w:marTop w:val="0"/>
      <w:marBottom w:val="0"/>
      <w:divBdr>
        <w:top w:val="none" w:sz="0" w:space="0" w:color="auto"/>
        <w:left w:val="none" w:sz="0" w:space="0" w:color="auto"/>
        <w:bottom w:val="none" w:sz="0" w:space="0" w:color="auto"/>
        <w:right w:val="none" w:sz="0" w:space="0" w:color="auto"/>
      </w:divBdr>
    </w:div>
    <w:div w:id="768742698">
      <w:bodyDiv w:val="1"/>
      <w:marLeft w:val="0"/>
      <w:marRight w:val="0"/>
      <w:marTop w:val="0"/>
      <w:marBottom w:val="0"/>
      <w:divBdr>
        <w:top w:val="none" w:sz="0" w:space="0" w:color="auto"/>
        <w:left w:val="none" w:sz="0" w:space="0" w:color="auto"/>
        <w:bottom w:val="none" w:sz="0" w:space="0" w:color="auto"/>
        <w:right w:val="none" w:sz="0" w:space="0" w:color="auto"/>
      </w:divBdr>
    </w:div>
    <w:div w:id="775563013">
      <w:bodyDiv w:val="1"/>
      <w:marLeft w:val="0"/>
      <w:marRight w:val="0"/>
      <w:marTop w:val="0"/>
      <w:marBottom w:val="0"/>
      <w:divBdr>
        <w:top w:val="none" w:sz="0" w:space="0" w:color="auto"/>
        <w:left w:val="none" w:sz="0" w:space="0" w:color="auto"/>
        <w:bottom w:val="none" w:sz="0" w:space="0" w:color="auto"/>
        <w:right w:val="none" w:sz="0" w:space="0" w:color="auto"/>
      </w:divBdr>
    </w:div>
    <w:div w:id="780757422">
      <w:bodyDiv w:val="1"/>
      <w:marLeft w:val="0"/>
      <w:marRight w:val="0"/>
      <w:marTop w:val="0"/>
      <w:marBottom w:val="0"/>
      <w:divBdr>
        <w:top w:val="none" w:sz="0" w:space="0" w:color="auto"/>
        <w:left w:val="none" w:sz="0" w:space="0" w:color="auto"/>
        <w:bottom w:val="none" w:sz="0" w:space="0" w:color="auto"/>
        <w:right w:val="none" w:sz="0" w:space="0" w:color="auto"/>
      </w:divBdr>
    </w:div>
    <w:div w:id="782770478">
      <w:bodyDiv w:val="1"/>
      <w:marLeft w:val="0"/>
      <w:marRight w:val="0"/>
      <w:marTop w:val="0"/>
      <w:marBottom w:val="0"/>
      <w:divBdr>
        <w:top w:val="none" w:sz="0" w:space="0" w:color="auto"/>
        <w:left w:val="none" w:sz="0" w:space="0" w:color="auto"/>
        <w:bottom w:val="none" w:sz="0" w:space="0" w:color="auto"/>
        <w:right w:val="none" w:sz="0" w:space="0" w:color="auto"/>
      </w:divBdr>
    </w:div>
    <w:div w:id="783886260">
      <w:bodyDiv w:val="1"/>
      <w:marLeft w:val="0"/>
      <w:marRight w:val="0"/>
      <w:marTop w:val="0"/>
      <w:marBottom w:val="0"/>
      <w:divBdr>
        <w:top w:val="none" w:sz="0" w:space="0" w:color="auto"/>
        <w:left w:val="none" w:sz="0" w:space="0" w:color="auto"/>
        <w:bottom w:val="none" w:sz="0" w:space="0" w:color="auto"/>
        <w:right w:val="none" w:sz="0" w:space="0" w:color="auto"/>
      </w:divBdr>
    </w:div>
    <w:div w:id="787235548">
      <w:bodyDiv w:val="1"/>
      <w:marLeft w:val="0"/>
      <w:marRight w:val="0"/>
      <w:marTop w:val="0"/>
      <w:marBottom w:val="0"/>
      <w:divBdr>
        <w:top w:val="none" w:sz="0" w:space="0" w:color="auto"/>
        <w:left w:val="none" w:sz="0" w:space="0" w:color="auto"/>
        <w:bottom w:val="none" w:sz="0" w:space="0" w:color="auto"/>
        <w:right w:val="none" w:sz="0" w:space="0" w:color="auto"/>
      </w:divBdr>
    </w:div>
    <w:div w:id="787773644">
      <w:bodyDiv w:val="1"/>
      <w:marLeft w:val="0"/>
      <w:marRight w:val="0"/>
      <w:marTop w:val="0"/>
      <w:marBottom w:val="0"/>
      <w:divBdr>
        <w:top w:val="none" w:sz="0" w:space="0" w:color="auto"/>
        <w:left w:val="none" w:sz="0" w:space="0" w:color="auto"/>
        <w:bottom w:val="none" w:sz="0" w:space="0" w:color="auto"/>
        <w:right w:val="none" w:sz="0" w:space="0" w:color="auto"/>
      </w:divBdr>
    </w:div>
    <w:div w:id="789201118">
      <w:bodyDiv w:val="1"/>
      <w:marLeft w:val="0"/>
      <w:marRight w:val="0"/>
      <w:marTop w:val="0"/>
      <w:marBottom w:val="0"/>
      <w:divBdr>
        <w:top w:val="none" w:sz="0" w:space="0" w:color="auto"/>
        <w:left w:val="none" w:sz="0" w:space="0" w:color="auto"/>
        <w:bottom w:val="none" w:sz="0" w:space="0" w:color="auto"/>
        <w:right w:val="none" w:sz="0" w:space="0" w:color="auto"/>
      </w:divBdr>
    </w:div>
    <w:div w:id="791172949">
      <w:bodyDiv w:val="1"/>
      <w:marLeft w:val="0"/>
      <w:marRight w:val="0"/>
      <w:marTop w:val="0"/>
      <w:marBottom w:val="0"/>
      <w:divBdr>
        <w:top w:val="none" w:sz="0" w:space="0" w:color="auto"/>
        <w:left w:val="none" w:sz="0" w:space="0" w:color="auto"/>
        <w:bottom w:val="none" w:sz="0" w:space="0" w:color="auto"/>
        <w:right w:val="none" w:sz="0" w:space="0" w:color="auto"/>
      </w:divBdr>
    </w:div>
    <w:div w:id="794132378">
      <w:bodyDiv w:val="1"/>
      <w:marLeft w:val="0"/>
      <w:marRight w:val="0"/>
      <w:marTop w:val="0"/>
      <w:marBottom w:val="0"/>
      <w:divBdr>
        <w:top w:val="none" w:sz="0" w:space="0" w:color="auto"/>
        <w:left w:val="none" w:sz="0" w:space="0" w:color="auto"/>
        <w:bottom w:val="none" w:sz="0" w:space="0" w:color="auto"/>
        <w:right w:val="none" w:sz="0" w:space="0" w:color="auto"/>
      </w:divBdr>
    </w:div>
    <w:div w:id="797916539">
      <w:bodyDiv w:val="1"/>
      <w:marLeft w:val="0"/>
      <w:marRight w:val="0"/>
      <w:marTop w:val="0"/>
      <w:marBottom w:val="0"/>
      <w:divBdr>
        <w:top w:val="none" w:sz="0" w:space="0" w:color="auto"/>
        <w:left w:val="none" w:sz="0" w:space="0" w:color="auto"/>
        <w:bottom w:val="none" w:sz="0" w:space="0" w:color="auto"/>
        <w:right w:val="none" w:sz="0" w:space="0" w:color="auto"/>
      </w:divBdr>
    </w:div>
    <w:div w:id="799880292">
      <w:bodyDiv w:val="1"/>
      <w:marLeft w:val="0"/>
      <w:marRight w:val="0"/>
      <w:marTop w:val="0"/>
      <w:marBottom w:val="0"/>
      <w:divBdr>
        <w:top w:val="none" w:sz="0" w:space="0" w:color="auto"/>
        <w:left w:val="none" w:sz="0" w:space="0" w:color="auto"/>
        <w:bottom w:val="none" w:sz="0" w:space="0" w:color="auto"/>
        <w:right w:val="none" w:sz="0" w:space="0" w:color="auto"/>
      </w:divBdr>
    </w:div>
    <w:div w:id="800341858">
      <w:bodyDiv w:val="1"/>
      <w:marLeft w:val="0"/>
      <w:marRight w:val="0"/>
      <w:marTop w:val="0"/>
      <w:marBottom w:val="0"/>
      <w:divBdr>
        <w:top w:val="none" w:sz="0" w:space="0" w:color="auto"/>
        <w:left w:val="none" w:sz="0" w:space="0" w:color="auto"/>
        <w:bottom w:val="none" w:sz="0" w:space="0" w:color="auto"/>
        <w:right w:val="none" w:sz="0" w:space="0" w:color="auto"/>
      </w:divBdr>
    </w:div>
    <w:div w:id="801268597">
      <w:bodyDiv w:val="1"/>
      <w:marLeft w:val="0"/>
      <w:marRight w:val="0"/>
      <w:marTop w:val="0"/>
      <w:marBottom w:val="0"/>
      <w:divBdr>
        <w:top w:val="none" w:sz="0" w:space="0" w:color="auto"/>
        <w:left w:val="none" w:sz="0" w:space="0" w:color="auto"/>
        <w:bottom w:val="none" w:sz="0" w:space="0" w:color="auto"/>
        <w:right w:val="none" w:sz="0" w:space="0" w:color="auto"/>
      </w:divBdr>
    </w:div>
    <w:div w:id="805708094">
      <w:bodyDiv w:val="1"/>
      <w:marLeft w:val="0"/>
      <w:marRight w:val="0"/>
      <w:marTop w:val="0"/>
      <w:marBottom w:val="0"/>
      <w:divBdr>
        <w:top w:val="none" w:sz="0" w:space="0" w:color="auto"/>
        <w:left w:val="none" w:sz="0" w:space="0" w:color="auto"/>
        <w:bottom w:val="none" w:sz="0" w:space="0" w:color="auto"/>
        <w:right w:val="none" w:sz="0" w:space="0" w:color="auto"/>
      </w:divBdr>
    </w:div>
    <w:div w:id="807477899">
      <w:bodyDiv w:val="1"/>
      <w:marLeft w:val="0"/>
      <w:marRight w:val="0"/>
      <w:marTop w:val="0"/>
      <w:marBottom w:val="0"/>
      <w:divBdr>
        <w:top w:val="none" w:sz="0" w:space="0" w:color="auto"/>
        <w:left w:val="none" w:sz="0" w:space="0" w:color="auto"/>
        <w:bottom w:val="none" w:sz="0" w:space="0" w:color="auto"/>
        <w:right w:val="none" w:sz="0" w:space="0" w:color="auto"/>
      </w:divBdr>
    </w:div>
    <w:div w:id="809324940">
      <w:bodyDiv w:val="1"/>
      <w:marLeft w:val="0"/>
      <w:marRight w:val="0"/>
      <w:marTop w:val="0"/>
      <w:marBottom w:val="0"/>
      <w:divBdr>
        <w:top w:val="none" w:sz="0" w:space="0" w:color="auto"/>
        <w:left w:val="none" w:sz="0" w:space="0" w:color="auto"/>
        <w:bottom w:val="none" w:sz="0" w:space="0" w:color="auto"/>
        <w:right w:val="none" w:sz="0" w:space="0" w:color="auto"/>
      </w:divBdr>
    </w:div>
    <w:div w:id="810174654">
      <w:bodyDiv w:val="1"/>
      <w:marLeft w:val="0"/>
      <w:marRight w:val="0"/>
      <w:marTop w:val="0"/>
      <w:marBottom w:val="0"/>
      <w:divBdr>
        <w:top w:val="none" w:sz="0" w:space="0" w:color="auto"/>
        <w:left w:val="none" w:sz="0" w:space="0" w:color="auto"/>
        <w:bottom w:val="none" w:sz="0" w:space="0" w:color="auto"/>
        <w:right w:val="none" w:sz="0" w:space="0" w:color="auto"/>
      </w:divBdr>
    </w:div>
    <w:div w:id="810904282">
      <w:bodyDiv w:val="1"/>
      <w:marLeft w:val="0"/>
      <w:marRight w:val="0"/>
      <w:marTop w:val="0"/>
      <w:marBottom w:val="0"/>
      <w:divBdr>
        <w:top w:val="none" w:sz="0" w:space="0" w:color="auto"/>
        <w:left w:val="none" w:sz="0" w:space="0" w:color="auto"/>
        <w:bottom w:val="none" w:sz="0" w:space="0" w:color="auto"/>
        <w:right w:val="none" w:sz="0" w:space="0" w:color="auto"/>
      </w:divBdr>
    </w:div>
    <w:div w:id="812060326">
      <w:bodyDiv w:val="1"/>
      <w:marLeft w:val="0"/>
      <w:marRight w:val="0"/>
      <w:marTop w:val="0"/>
      <w:marBottom w:val="0"/>
      <w:divBdr>
        <w:top w:val="none" w:sz="0" w:space="0" w:color="auto"/>
        <w:left w:val="none" w:sz="0" w:space="0" w:color="auto"/>
        <w:bottom w:val="none" w:sz="0" w:space="0" w:color="auto"/>
        <w:right w:val="none" w:sz="0" w:space="0" w:color="auto"/>
      </w:divBdr>
    </w:div>
    <w:div w:id="812411909">
      <w:bodyDiv w:val="1"/>
      <w:marLeft w:val="0"/>
      <w:marRight w:val="0"/>
      <w:marTop w:val="0"/>
      <w:marBottom w:val="0"/>
      <w:divBdr>
        <w:top w:val="none" w:sz="0" w:space="0" w:color="auto"/>
        <w:left w:val="none" w:sz="0" w:space="0" w:color="auto"/>
        <w:bottom w:val="none" w:sz="0" w:space="0" w:color="auto"/>
        <w:right w:val="none" w:sz="0" w:space="0" w:color="auto"/>
      </w:divBdr>
    </w:div>
    <w:div w:id="814026260">
      <w:bodyDiv w:val="1"/>
      <w:marLeft w:val="0"/>
      <w:marRight w:val="0"/>
      <w:marTop w:val="0"/>
      <w:marBottom w:val="0"/>
      <w:divBdr>
        <w:top w:val="none" w:sz="0" w:space="0" w:color="auto"/>
        <w:left w:val="none" w:sz="0" w:space="0" w:color="auto"/>
        <w:bottom w:val="none" w:sz="0" w:space="0" w:color="auto"/>
        <w:right w:val="none" w:sz="0" w:space="0" w:color="auto"/>
      </w:divBdr>
    </w:div>
    <w:div w:id="821315497">
      <w:bodyDiv w:val="1"/>
      <w:marLeft w:val="0"/>
      <w:marRight w:val="0"/>
      <w:marTop w:val="0"/>
      <w:marBottom w:val="0"/>
      <w:divBdr>
        <w:top w:val="none" w:sz="0" w:space="0" w:color="auto"/>
        <w:left w:val="none" w:sz="0" w:space="0" w:color="auto"/>
        <w:bottom w:val="none" w:sz="0" w:space="0" w:color="auto"/>
        <w:right w:val="none" w:sz="0" w:space="0" w:color="auto"/>
      </w:divBdr>
    </w:div>
    <w:div w:id="822425778">
      <w:bodyDiv w:val="1"/>
      <w:marLeft w:val="0"/>
      <w:marRight w:val="0"/>
      <w:marTop w:val="0"/>
      <w:marBottom w:val="0"/>
      <w:divBdr>
        <w:top w:val="none" w:sz="0" w:space="0" w:color="auto"/>
        <w:left w:val="none" w:sz="0" w:space="0" w:color="auto"/>
        <w:bottom w:val="none" w:sz="0" w:space="0" w:color="auto"/>
        <w:right w:val="none" w:sz="0" w:space="0" w:color="auto"/>
      </w:divBdr>
    </w:div>
    <w:div w:id="823815588">
      <w:bodyDiv w:val="1"/>
      <w:marLeft w:val="0"/>
      <w:marRight w:val="0"/>
      <w:marTop w:val="0"/>
      <w:marBottom w:val="0"/>
      <w:divBdr>
        <w:top w:val="none" w:sz="0" w:space="0" w:color="auto"/>
        <w:left w:val="none" w:sz="0" w:space="0" w:color="auto"/>
        <w:bottom w:val="none" w:sz="0" w:space="0" w:color="auto"/>
        <w:right w:val="none" w:sz="0" w:space="0" w:color="auto"/>
      </w:divBdr>
    </w:div>
    <w:div w:id="825777412">
      <w:bodyDiv w:val="1"/>
      <w:marLeft w:val="0"/>
      <w:marRight w:val="0"/>
      <w:marTop w:val="0"/>
      <w:marBottom w:val="0"/>
      <w:divBdr>
        <w:top w:val="none" w:sz="0" w:space="0" w:color="auto"/>
        <w:left w:val="none" w:sz="0" w:space="0" w:color="auto"/>
        <w:bottom w:val="none" w:sz="0" w:space="0" w:color="auto"/>
        <w:right w:val="none" w:sz="0" w:space="0" w:color="auto"/>
      </w:divBdr>
    </w:div>
    <w:div w:id="825784678">
      <w:bodyDiv w:val="1"/>
      <w:marLeft w:val="0"/>
      <w:marRight w:val="0"/>
      <w:marTop w:val="0"/>
      <w:marBottom w:val="0"/>
      <w:divBdr>
        <w:top w:val="none" w:sz="0" w:space="0" w:color="auto"/>
        <w:left w:val="none" w:sz="0" w:space="0" w:color="auto"/>
        <w:bottom w:val="none" w:sz="0" w:space="0" w:color="auto"/>
        <w:right w:val="none" w:sz="0" w:space="0" w:color="auto"/>
      </w:divBdr>
    </w:div>
    <w:div w:id="828059163">
      <w:bodyDiv w:val="1"/>
      <w:marLeft w:val="0"/>
      <w:marRight w:val="0"/>
      <w:marTop w:val="0"/>
      <w:marBottom w:val="0"/>
      <w:divBdr>
        <w:top w:val="none" w:sz="0" w:space="0" w:color="auto"/>
        <w:left w:val="none" w:sz="0" w:space="0" w:color="auto"/>
        <w:bottom w:val="none" w:sz="0" w:space="0" w:color="auto"/>
        <w:right w:val="none" w:sz="0" w:space="0" w:color="auto"/>
      </w:divBdr>
    </w:div>
    <w:div w:id="834608135">
      <w:bodyDiv w:val="1"/>
      <w:marLeft w:val="0"/>
      <w:marRight w:val="0"/>
      <w:marTop w:val="0"/>
      <w:marBottom w:val="0"/>
      <w:divBdr>
        <w:top w:val="none" w:sz="0" w:space="0" w:color="auto"/>
        <w:left w:val="none" w:sz="0" w:space="0" w:color="auto"/>
        <w:bottom w:val="none" w:sz="0" w:space="0" w:color="auto"/>
        <w:right w:val="none" w:sz="0" w:space="0" w:color="auto"/>
      </w:divBdr>
    </w:div>
    <w:div w:id="840702607">
      <w:bodyDiv w:val="1"/>
      <w:marLeft w:val="0"/>
      <w:marRight w:val="0"/>
      <w:marTop w:val="0"/>
      <w:marBottom w:val="0"/>
      <w:divBdr>
        <w:top w:val="none" w:sz="0" w:space="0" w:color="auto"/>
        <w:left w:val="none" w:sz="0" w:space="0" w:color="auto"/>
        <w:bottom w:val="none" w:sz="0" w:space="0" w:color="auto"/>
        <w:right w:val="none" w:sz="0" w:space="0" w:color="auto"/>
      </w:divBdr>
    </w:div>
    <w:div w:id="841118378">
      <w:bodyDiv w:val="1"/>
      <w:marLeft w:val="0"/>
      <w:marRight w:val="0"/>
      <w:marTop w:val="0"/>
      <w:marBottom w:val="0"/>
      <w:divBdr>
        <w:top w:val="none" w:sz="0" w:space="0" w:color="auto"/>
        <w:left w:val="none" w:sz="0" w:space="0" w:color="auto"/>
        <w:bottom w:val="none" w:sz="0" w:space="0" w:color="auto"/>
        <w:right w:val="none" w:sz="0" w:space="0" w:color="auto"/>
      </w:divBdr>
    </w:div>
    <w:div w:id="843133026">
      <w:bodyDiv w:val="1"/>
      <w:marLeft w:val="0"/>
      <w:marRight w:val="0"/>
      <w:marTop w:val="0"/>
      <w:marBottom w:val="0"/>
      <w:divBdr>
        <w:top w:val="none" w:sz="0" w:space="0" w:color="auto"/>
        <w:left w:val="none" w:sz="0" w:space="0" w:color="auto"/>
        <w:bottom w:val="none" w:sz="0" w:space="0" w:color="auto"/>
        <w:right w:val="none" w:sz="0" w:space="0" w:color="auto"/>
      </w:divBdr>
    </w:div>
    <w:div w:id="843860247">
      <w:bodyDiv w:val="1"/>
      <w:marLeft w:val="0"/>
      <w:marRight w:val="0"/>
      <w:marTop w:val="0"/>
      <w:marBottom w:val="0"/>
      <w:divBdr>
        <w:top w:val="none" w:sz="0" w:space="0" w:color="auto"/>
        <w:left w:val="none" w:sz="0" w:space="0" w:color="auto"/>
        <w:bottom w:val="none" w:sz="0" w:space="0" w:color="auto"/>
        <w:right w:val="none" w:sz="0" w:space="0" w:color="auto"/>
      </w:divBdr>
    </w:div>
    <w:div w:id="847404430">
      <w:bodyDiv w:val="1"/>
      <w:marLeft w:val="0"/>
      <w:marRight w:val="0"/>
      <w:marTop w:val="0"/>
      <w:marBottom w:val="0"/>
      <w:divBdr>
        <w:top w:val="none" w:sz="0" w:space="0" w:color="auto"/>
        <w:left w:val="none" w:sz="0" w:space="0" w:color="auto"/>
        <w:bottom w:val="none" w:sz="0" w:space="0" w:color="auto"/>
        <w:right w:val="none" w:sz="0" w:space="0" w:color="auto"/>
      </w:divBdr>
    </w:div>
    <w:div w:id="850024125">
      <w:bodyDiv w:val="1"/>
      <w:marLeft w:val="0"/>
      <w:marRight w:val="0"/>
      <w:marTop w:val="0"/>
      <w:marBottom w:val="0"/>
      <w:divBdr>
        <w:top w:val="none" w:sz="0" w:space="0" w:color="auto"/>
        <w:left w:val="none" w:sz="0" w:space="0" w:color="auto"/>
        <w:bottom w:val="none" w:sz="0" w:space="0" w:color="auto"/>
        <w:right w:val="none" w:sz="0" w:space="0" w:color="auto"/>
      </w:divBdr>
    </w:div>
    <w:div w:id="851184909">
      <w:bodyDiv w:val="1"/>
      <w:marLeft w:val="0"/>
      <w:marRight w:val="0"/>
      <w:marTop w:val="0"/>
      <w:marBottom w:val="0"/>
      <w:divBdr>
        <w:top w:val="none" w:sz="0" w:space="0" w:color="auto"/>
        <w:left w:val="none" w:sz="0" w:space="0" w:color="auto"/>
        <w:bottom w:val="none" w:sz="0" w:space="0" w:color="auto"/>
        <w:right w:val="none" w:sz="0" w:space="0" w:color="auto"/>
      </w:divBdr>
    </w:div>
    <w:div w:id="854272822">
      <w:bodyDiv w:val="1"/>
      <w:marLeft w:val="0"/>
      <w:marRight w:val="0"/>
      <w:marTop w:val="0"/>
      <w:marBottom w:val="0"/>
      <w:divBdr>
        <w:top w:val="none" w:sz="0" w:space="0" w:color="auto"/>
        <w:left w:val="none" w:sz="0" w:space="0" w:color="auto"/>
        <w:bottom w:val="none" w:sz="0" w:space="0" w:color="auto"/>
        <w:right w:val="none" w:sz="0" w:space="0" w:color="auto"/>
      </w:divBdr>
    </w:div>
    <w:div w:id="858399182">
      <w:bodyDiv w:val="1"/>
      <w:marLeft w:val="0"/>
      <w:marRight w:val="0"/>
      <w:marTop w:val="0"/>
      <w:marBottom w:val="0"/>
      <w:divBdr>
        <w:top w:val="none" w:sz="0" w:space="0" w:color="auto"/>
        <w:left w:val="none" w:sz="0" w:space="0" w:color="auto"/>
        <w:bottom w:val="none" w:sz="0" w:space="0" w:color="auto"/>
        <w:right w:val="none" w:sz="0" w:space="0" w:color="auto"/>
      </w:divBdr>
    </w:div>
    <w:div w:id="859704992">
      <w:bodyDiv w:val="1"/>
      <w:marLeft w:val="0"/>
      <w:marRight w:val="0"/>
      <w:marTop w:val="0"/>
      <w:marBottom w:val="0"/>
      <w:divBdr>
        <w:top w:val="none" w:sz="0" w:space="0" w:color="auto"/>
        <w:left w:val="none" w:sz="0" w:space="0" w:color="auto"/>
        <w:bottom w:val="none" w:sz="0" w:space="0" w:color="auto"/>
        <w:right w:val="none" w:sz="0" w:space="0" w:color="auto"/>
      </w:divBdr>
    </w:div>
    <w:div w:id="865947209">
      <w:bodyDiv w:val="1"/>
      <w:marLeft w:val="0"/>
      <w:marRight w:val="0"/>
      <w:marTop w:val="0"/>
      <w:marBottom w:val="0"/>
      <w:divBdr>
        <w:top w:val="none" w:sz="0" w:space="0" w:color="auto"/>
        <w:left w:val="none" w:sz="0" w:space="0" w:color="auto"/>
        <w:bottom w:val="none" w:sz="0" w:space="0" w:color="auto"/>
        <w:right w:val="none" w:sz="0" w:space="0" w:color="auto"/>
      </w:divBdr>
    </w:div>
    <w:div w:id="867642777">
      <w:bodyDiv w:val="1"/>
      <w:marLeft w:val="0"/>
      <w:marRight w:val="0"/>
      <w:marTop w:val="0"/>
      <w:marBottom w:val="0"/>
      <w:divBdr>
        <w:top w:val="none" w:sz="0" w:space="0" w:color="auto"/>
        <w:left w:val="none" w:sz="0" w:space="0" w:color="auto"/>
        <w:bottom w:val="none" w:sz="0" w:space="0" w:color="auto"/>
        <w:right w:val="none" w:sz="0" w:space="0" w:color="auto"/>
      </w:divBdr>
    </w:div>
    <w:div w:id="870923499">
      <w:bodyDiv w:val="1"/>
      <w:marLeft w:val="0"/>
      <w:marRight w:val="0"/>
      <w:marTop w:val="0"/>
      <w:marBottom w:val="0"/>
      <w:divBdr>
        <w:top w:val="none" w:sz="0" w:space="0" w:color="auto"/>
        <w:left w:val="none" w:sz="0" w:space="0" w:color="auto"/>
        <w:bottom w:val="none" w:sz="0" w:space="0" w:color="auto"/>
        <w:right w:val="none" w:sz="0" w:space="0" w:color="auto"/>
      </w:divBdr>
    </w:div>
    <w:div w:id="873543000">
      <w:bodyDiv w:val="1"/>
      <w:marLeft w:val="0"/>
      <w:marRight w:val="0"/>
      <w:marTop w:val="0"/>
      <w:marBottom w:val="0"/>
      <w:divBdr>
        <w:top w:val="none" w:sz="0" w:space="0" w:color="auto"/>
        <w:left w:val="none" w:sz="0" w:space="0" w:color="auto"/>
        <w:bottom w:val="none" w:sz="0" w:space="0" w:color="auto"/>
        <w:right w:val="none" w:sz="0" w:space="0" w:color="auto"/>
      </w:divBdr>
    </w:div>
    <w:div w:id="876549267">
      <w:bodyDiv w:val="1"/>
      <w:marLeft w:val="0"/>
      <w:marRight w:val="0"/>
      <w:marTop w:val="0"/>
      <w:marBottom w:val="0"/>
      <w:divBdr>
        <w:top w:val="none" w:sz="0" w:space="0" w:color="auto"/>
        <w:left w:val="none" w:sz="0" w:space="0" w:color="auto"/>
        <w:bottom w:val="none" w:sz="0" w:space="0" w:color="auto"/>
        <w:right w:val="none" w:sz="0" w:space="0" w:color="auto"/>
      </w:divBdr>
    </w:div>
    <w:div w:id="879627282">
      <w:bodyDiv w:val="1"/>
      <w:marLeft w:val="0"/>
      <w:marRight w:val="0"/>
      <w:marTop w:val="0"/>
      <w:marBottom w:val="0"/>
      <w:divBdr>
        <w:top w:val="none" w:sz="0" w:space="0" w:color="auto"/>
        <w:left w:val="none" w:sz="0" w:space="0" w:color="auto"/>
        <w:bottom w:val="none" w:sz="0" w:space="0" w:color="auto"/>
        <w:right w:val="none" w:sz="0" w:space="0" w:color="auto"/>
      </w:divBdr>
    </w:div>
    <w:div w:id="879709190">
      <w:bodyDiv w:val="1"/>
      <w:marLeft w:val="0"/>
      <w:marRight w:val="0"/>
      <w:marTop w:val="0"/>
      <w:marBottom w:val="0"/>
      <w:divBdr>
        <w:top w:val="none" w:sz="0" w:space="0" w:color="auto"/>
        <w:left w:val="none" w:sz="0" w:space="0" w:color="auto"/>
        <w:bottom w:val="none" w:sz="0" w:space="0" w:color="auto"/>
        <w:right w:val="none" w:sz="0" w:space="0" w:color="auto"/>
      </w:divBdr>
    </w:div>
    <w:div w:id="880244015">
      <w:bodyDiv w:val="1"/>
      <w:marLeft w:val="0"/>
      <w:marRight w:val="0"/>
      <w:marTop w:val="0"/>
      <w:marBottom w:val="0"/>
      <w:divBdr>
        <w:top w:val="none" w:sz="0" w:space="0" w:color="auto"/>
        <w:left w:val="none" w:sz="0" w:space="0" w:color="auto"/>
        <w:bottom w:val="none" w:sz="0" w:space="0" w:color="auto"/>
        <w:right w:val="none" w:sz="0" w:space="0" w:color="auto"/>
      </w:divBdr>
    </w:div>
    <w:div w:id="881013673">
      <w:bodyDiv w:val="1"/>
      <w:marLeft w:val="0"/>
      <w:marRight w:val="0"/>
      <w:marTop w:val="0"/>
      <w:marBottom w:val="0"/>
      <w:divBdr>
        <w:top w:val="none" w:sz="0" w:space="0" w:color="auto"/>
        <w:left w:val="none" w:sz="0" w:space="0" w:color="auto"/>
        <w:bottom w:val="none" w:sz="0" w:space="0" w:color="auto"/>
        <w:right w:val="none" w:sz="0" w:space="0" w:color="auto"/>
      </w:divBdr>
    </w:div>
    <w:div w:id="881403682">
      <w:bodyDiv w:val="1"/>
      <w:marLeft w:val="0"/>
      <w:marRight w:val="0"/>
      <w:marTop w:val="0"/>
      <w:marBottom w:val="0"/>
      <w:divBdr>
        <w:top w:val="none" w:sz="0" w:space="0" w:color="auto"/>
        <w:left w:val="none" w:sz="0" w:space="0" w:color="auto"/>
        <w:bottom w:val="none" w:sz="0" w:space="0" w:color="auto"/>
        <w:right w:val="none" w:sz="0" w:space="0" w:color="auto"/>
      </w:divBdr>
    </w:div>
    <w:div w:id="884832600">
      <w:bodyDiv w:val="1"/>
      <w:marLeft w:val="0"/>
      <w:marRight w:val="0"/>
      <w:marTop w:val="0"/>
      <w:marBottom w:val="0"/>
      <w:divBdr>
        <w:top w:val="none" w:sz="0" w:space="0" w:color="auto"/>
        <w:left w:val="none" w:sz="0" w:space="0" w:color="auto"/>
        <w:bottom w:val="none" w:sz="0" w:space="0" w:color="auto"/>
        <w:right w:val="none" w:sz="0" w:space="0" w:color="auto"/>
      </w:divBdr>
    </w:div>
    <w:div w:id="886187908">
      <w:bodyDiv w:val="1"/>
      <w:marLeft w:val="0"/>
      <w:marRight w:val="0"/>
      <w:marTop w:val="0"/>
      <w:marBottom w:val="0"/>
      <w:divBdr>
        <w:top w:val="none" w:sz="0" w:space="0" w:color="auto"/>
        <w:left w:val="none" w:sz="0" w:space="0" w:color="auto"/>
        <w:bottom w:val="none" w:sz="0" w:space="0" w:color="auto"/>
        <w:right w:val="none" w:sz="0" w:space="0" w:color="auto"/>
      </w:divBdr>
    </w:div>
    <w:div w:id="886838570">
      <w:bodyDiv w:val="1"/>
      <w:marLeft w:val="0"/>
      <w:marRight w:val="0"/>
      <w:marTop w:val="0"/>
      <w:marBottom w:val="0"/>
      <w:divBdr>
        <w:top w:val="none" w:sz="0" w:space="0" w:color="auto"/>
        <w:left w:val="none" w:sz="0" w:space="0" w:color="auto"/>
        <w:bottom w:val="none" w:sz="0" w:space="0" w:color="auto"/>
        <w:right w:val="none" w:sz="0" w:space="0" w:color="auto"/>
      </w:divBdr>
    </w:div>
    <w:div w:id="889415902">
      <w:bodyDiv w:val="1"/>
      <w:marLeft w:val="0"/>
      <w:marRight w:val="0"/>
      <w:marTop w:val="0"/>
      <w:marBottom w:val="0"/>
      <w:divBdr>
        <w:top w:val="none" w:sz="0" w:space="0" w:color="auto"/>
        <w:left w:val="none" w:sz="0" w:space="0" w:color="auto"/>
        <w:bottom w:val="none" w:sz="0" w:space="0" w:color="auto"/>
        <w:right w:val="none" w:sz="0" w:space="0" w:color="auto"/>
      </w:divBdr>
    </w:div>
    <w:div w:id="890111282">
      <w:bodyDiv w:val="1"/>
      <w:marLeft w:val="0"/>
      <w:marRight w:val="0"/>
      <w:marTop w:val="0"/>
      <w:marBottom w:val="0"/>
      <w:divBdr>
        <w:top w:val="none" w:sz="0" w:space="0" w:color="auto"/>
        <w:left w:val="none" w:sz="0" w:space="0" w:color="auto"/>
        <w:bottom w:val="none" w:sz="0" w:space="0" w:color="auto"/>
        <w:right w:val="none" w:sz="0" w:space="0" w:color="auto"/>
      </w:divBdr>
    </w:div>
    <w:div w:id="894586755">
      <w:bodyDiv w:val="1"/>
      <w:marLeft w:val="0"/>
      <w:marRight w:val="0"/>
      <w:marTop w:val="0"/>
      <w:marBottom w:val="0"/>
      <w:divBdr>
        <w:top w:val="none" w:sz="0" w:space="0" w:color="auto"/>
        <w:left w:val="none" w:sz="0" w:space="0" w:color="auto"/>
        <w:bottom w:val="none" w:sz="0" w:space="0" w:color="auto"/>
        <w:right w:val="none" w:sz="0" w:space="0" w:color="auto"/>
      </w:divBdr>
    </w:div>
    <w:div w:id="895701073">
      <w:bodyDiv w:val="1"/>
      <w:marLeft w:val="0"/>
      <w:marRight w:val="0"/>
      <w:marTop w:val="0"/>
      <w:marBottom w:val="0"/>
      <w:divBdr>
        <w:top w:val="none" w:sz="0" w:space="0" w:color="auto"/>
        <w:left w:val="none" w:sz="0" w:space="0" w:color="auto"/>
        <w:bottom w:val="none" w:sz="0" w:space="0" w:color="auto"/>
        <w:right w:val="none" w:sz="0" w:space="0" w:color="auto"/>
      </w:divBdr>
    </w:div>
    <w:div w:id="895967028">
      <w:bodyDiv w:val="1"/>
      <w:marLeft w:val="0"/>
      <w:marRight w:val="0"/>
      <w:marTop w:val="0"/>
      <w:marBottom w:val="0"/>
      <w:divBdr>
        <w:top w:val="none" w:sz="0" w:space="0" w:color="auto"/>
        <w:left w:val="none" w:sz="0" w:space="0" w:color="auto"/>
        <w:bottom w:val="none" w:sz="0" w:space="0" w:color="auto"/>
        <w:right w:val="none" w:sz="0" w:space="0" w:color="auto"/>
      </w:divBdr>
    </w:div>
    <w:div w:id="900793192">
      <w:bodyDiv w:val="1"/>
      <w:marLeft w:val="0"/>
      <w:marRight w:val="0"/>
      <w:marTop w:val="0"/>
      <w:marBottom w:val="0"/>
      <w:divBdr>
        <w:top w:val="none" w:sz="0" w:space="0" w:color="auto"/>
        <w:left w:val="none" w:sz="0" w:space="0" w:color="auto"/>
        <w:bottom w:val="none" w:sz="0" w:space="0" w:color="auto"/>
        <w:right w:val="none" w:sz="0" w:space="0" w:color="auto"/>
      </w:divBdr>
    </w:div>
    <w:div w:id="901529216">
      <w:bodyDiv w:val="1"/>
      <w:marLeft w:val="0"/>
      <w:marRight w:val="0"/>
      <w:marTop w:val="0"/>
      <w:marBottom w:val="0"/>
      <w:divBdr>
        <w:top w:val="none" w:sz="0" w:space="0" w:color="auto"/>
        <w:left w:val="none" w:sz="0" w:space="0" w:color="auto"/>
        <w:bottom w:val="none" w:sz="0" w:space="0" w:color="auto"/>
        <w:right w:val="none" w:sz="0" w:space="0" w:color="auto"/>
      </w:divBdr>
    </w:div>
    <w:div w:id="911694247">
      <w:bodyDiv w:val="1"/>
      <w:marLeft w:val="0"/>
      <w:marRight w:val="0"/>
      <w:marTop w:val="0"/>
      <w:marBottom w:val="0"/>
      <w:divBdr>
        <w:top w:val="none" w:sz="0" w:space="0" w:color="auto"/>
        <w:left w:val="none" w:sz="0" w:space="0" w:color="auto"/>
        <w:bottom w:val="none" w:sz="0" w:space="0" w:color="auto"/>
        <w:right w:val="none" w:sz="0" w:space="0" w:color="auto"/>
      </w:divBdr>
    </w:div>
    <w:div w:id="913315197">
      <w:bodyDiv w:val="1"/>
      <w:marLeft w:val="0"/>
      <w:marRight w:val="0"/>
      <w:marTop w:val="0"/>
      <w:marBottom w:val="0"/>
      <w:divBdr>
        <w:top w:val="none" w:sz="0" w:space="0" w:color="auto"/>
        <w:left w:val="none" w:sz="0" w:space="0" w:color="auto"/>
        <w:bottom w:val="none" w:sz="0" w:space="0" w:color="auto"/>
        <w:right w:val="none" w:sz="0" w:space="0" w:color="auto"/>
      </w:divBdr>
    </w:div>
    <w:div w:id="916324752">
      <w:bodyDiv w:val="1"/>
      <w:marLeft w:val="0"/>
      <w:marRight w:val="0"/>
      <w:marTop w:val="0"/>
      <w:marBottom w:val="0"/>
      <w:divBdr>
        <w:top w:val="none" w:sz="0" w:space="0" w:color="auto"/>
        <w:left w:val="none" w:sz="0" w:space="0" w:color="auto"/>
        <w:bottom w:val="none" w:sz="0" w:space="0" w:color="auto"/>
        <w:right w:val="none" w:sz="0" w:space="0" w:color="auto"/>
      </w:divBdr>
    </w:div>
    <w:div w:id="922639451">
      <w:bodyDiv w:val="1"/>
      <w:marLeft w:val="0"/>
      <w:marRight w:val="0"/>
      <w:marTop w:val="0"/>
      <w:marBottom w:val="0"/>
      <w:divBdr>
        <w:top w:val="none" w:sz="0" w:space="0" w:color="auto"/>
        <w:left w:val="none" w:sz="0" w:space="0" w:color="auto"/>
        <w:bottom w:val="none" w:sz="0" w:space="0" w:color="auto"/>
        <w:right w:val="none" w:sz="0" w:space="0" w:color="auto"/>
      </w:divBdr>
    </w:div>
    <w:div w:id="924194002">
      <w:bodyDiv w:val="1"/>
      <w:marLeft w:val="0"/>
      <w:marRight w:val="0"/>
      <w:marTop w:val="0"/>
      <w:marBottom w:val="0"/>
      <w:divBdr>
        <w:top w:val="none" w:sz="0" w:space="0" w:color="auto"/>
        <w:left w:val="none" w:sz="0" w:space="0" w:color="auto"/>
        <w:bottom w:val="none" w:sz="0" w:space="0" w:color="auto"/>
        <w:right w:val="none" w:sz="0" w:space="0" w:color="auto"/>
      </w:divBdr>
    </w:div>
    <w:div w:id="928581108">
      <w:bodyDiv w:val="1"/>
      <w:marLeft w:val="0"/>
      <w:marRight w:val="0"/>
      <w:marTop w:val="0"/>
      <w:marBottom w:val="0"/>
      <w:divBdr>
        <w:top w:val="none" w:sz="0" w:space="0" w:color="auto"/>
        <w:left w:val="none" w:sz="0" w:space="0" w:color="auto"/>
        <w:bottom w:val="none" w:sz="0" w:space="0" w:color="auto"/>
        <w:right w:val="none" w:sz="0" w:space="0" w:color="auto"/>
      </w:divBdr>
    </w:div>
    <w:div w:id="929048030">
      <w:bodyDiv w:val="1"/>
      <w:marLeft w:val="0"/>
      <w:marRight w:val="0"/>
      <w:marTop w:val="0"/>
      <w:marBottom w:val="0"/>
      <w:divBdr>
        <w:top w:val="none" w:sz="0" w:space="0" w:color="auto"/>
        <w:left w:val="none" w:sz="0" w:space="0" w:color="auto"/>
        <w:bottom w:val="none" w:sz="0" w:space="0" w:color="auto"/>
        <w:right w:val="none" w:sz="0" w:space="0" w:color="auto"/>
      </w:divBdr>
    </w:div>
    <w:div w:id="932009665">
      <w:bodyDiv w:val="1"/>
      <w:marLeft w:val="0"/>
      <w:marRight w:val="0"/>
      <w:marTop w:val="0"/>
      <w:marBottom w:val="0"/>
      <w:divBdr>
        <w:top w:val="none" w:sz="0" w:space="0" w:color="auto"/>
        <w:left w:val="none" w:sz="0" w:space="0" w:color="auto"/>
        <w:bottom w:val="none" w:sz="0" w:space="0" w:color="auto"/>
        <w:right w:val="none" w:sz="0" w:space="0" w:color="auto"/>
      </w:divBdr>
    </w:div>
    <w:div w:id="934090226">
      <w:bodyDiv w:val="1"/>
      <w:marLeft w:val="0"/>
      <w:marRight w:val="0"/>
      <w:marTop w:val="0"/>
      <w:marBottom w:val="0"/>
      <w:divBdr>
        <w:top w:val="none" w:sz="0" w:space="0" w:color="auto"/>
        <w:left w:val="none" w:sz="0" w:space="0" w:color="auto"/>
        <w:bottom w:val="none" w:sz="0" w:space="0" w:color="auto"/>
        <w:right w:val="none" w:sz="0" w:space="0" w:color="auto"/>
      </w:divBdr>
    </w:div>
    <w:div w:id="941456968">
      <w:bodyDiv w:val="1"/>
      <w:marLeft w:val="0"/>
      <w:marRight w:val="0"/>
      <w:marTop w:val="0"/>
      <w:marBottom w:val="0"/>
      <w:divBdr>
        <w:top w:val="none" w:sz="0" w:space="0" w:color="auto"/>
        <w:left w:val="none" w:sz="0" w:space="0" w:color="auto"/>
        <w:bottom w:val="none" w:sz="0" w:space="0" w:color="auto"/>
        <w:right w:val="none" w:sz="0" w:space="0" w:color="auto"/>
      </w:divBdr>
    </w:div>
    <w:div w:id="942608715">
      <w:bodyDiv w:val="1"/>
      <w:marLeft w:val="0"/>
      <w:marRight w:val="0"/>
      <w:marTop w:val="0"/>
      <w:marBottom w:val="0"/>
      <w:divBdr>
        <w:top w:val="none" w:sz="0" w:space="0" w:color="auto"/>
        <w:left w:val="none" w:sz="0" w:space="0" w:color="auto"/>
        <w:bottom w:val="none" w:sz="0" w:space="0" w:color="auto"/>
        <w:right w:val="none" w:sz="0" w:space="0" w:color="auto"/>
      </w:divBdr>
    </w:div>
    <w:div w:id="944968731">
      <w:bodyDiv w:val="1"/>
      <w:marLeft w:val="0"/>
      <w:marRight w:val="0"/>
      <w:marTop w:val="0"/>
      <w:marBottom w:val="0"/>
      <w:divBdr>
        <w:top w:val="none" w:sz="0" w:space="0" w:color="auto"/>
        <w:left w:val="none" w:sz="0" w:space="0" w:color="auto"/>
        <w:bottom w:val="none" w:sz="0" w:space="0" w:color="auto"/>
        <w:right w:val="none" w:sz="0" w:space="0" w:color="auto"/>
      </w:divBdr>
    </w:div>
    <w:div w:id="946042816">
      <w:bodyDiv w:val="1"/>
      <w:marLeft w:val="0"/>
      <w:marRight w:val="0"/>
      <w:marTop w:val="0"/>
      <w:marBottom w:val="0"/>
      <w:divBdr>
        <w:top w:val="none" w:sz="0" w:space="0" w:color="auto"/>
        <w:left w:val="none" w:sz="0" w:space="0" w:color="auto"/>
        <w:bottom w:val="none" w:sz="0" w:space="0" w:color="auto"/>
        <w:right w:val="none" w:sz="0" w:space="0" w:color="auto"/>
      </w:divBdr>
    </w:div>
    <w:div w:id="949512824">
      <w:bodyDiv w:val="1"/>
      <w:marLeft w:val="0"/>
      <w:marRight w:val="0"/>
      <w:marTop w:val="0"/>
      <w:marBottom w:val="0"/>
      <w:divBdr>
        <w:top w:val="none" w:sz="0" w:space="0" w:color="auto"/>
        <w:left w:val="none" w:sz="0" w:space="0" w:color="auto"/>
        <w:bottom w:val="none" w:sz="0" w:space="0" w:color="auto"/>
        <w:right w:val="none" w:sz="0" w:space="0" w:color="auto"/>
      </w:divBdr>
    </w:div>
    <w:div w:id="950815704">
      <w:bodyDiv w:val="1"/>
      <w:marLeft w:val="0"/>
      <w:marRight w:val="0"/>
      <w:marTop w:val="0"/>
      <w:marBottom w:val="0"/>
      <w:divBdr>
        <w:top w:val="none" w:sz="0" w:space="0" w:color="auto"/>
        <w:left w:val="none" w:sz="0" w:space="0" w:color="auto"/>
        <w:bottom w:val="none" w:sz="0" w:space="0" w:color="auto"/>
        <w:right w:val="none" w:sz="0" w:space="0" w:color="auto"/>
      </w:divBdr>
    </w:div>
    <w:div w:id="952321829">
      <w:bodyDiv w:val="1"/>
      <w:marLeft w:val="0"/>
      <w:marRight w:val="0"/>
      <w:marTop w:val="0"/>
      <w:marBottom w:val="0"/>
      <w:divBdr>
        <w:top w:val="none" w:sz="0" w:space="0" w:color="auto"/>
        <w:left w:val="none" w:sz="0" w:space="0" w:color="auto"/>
        <w:bottom w:val="none" w:sz="0" w:space="0" w:color="auto"/>
        <w:right w:val="none" w:sz="0" w:space="0" w:color="auto"/>
      </w:divBdr>
    </w:div>
    <w:div w:id="956906115">
      <w:bodyDiv w:val="1"/>
      <w:marLeft w:val="0"/>
      <w:marRight w:val="0"/>
      <w:marTop w:val="0"/>
      <w:marBottom w:val="0"/>
      <w:divBdr>
        <w:top w:val="none" w:sz="0" w:space="0" w:color="auto"/>
        <w:left w:val="none" w:sz="0" w:space="0" w:color="auto"/>
        <w:bottom w:val="none" w:sz="0" w:space="0" w:color="auto"/>
        <w:right w:val="none" w:sz="0" w:space="0" w:color="auto"/>
      </w:divBdr>
    </w:div>
    <w:div w:id="958142068">
      <w:bodyDiv w:val="1"/>
      <w:marLeft w:val="0"/>
      <w:marRight w:val="0"/>
      <w:marTop w:val="0"/>
      <w:marBottom w:val="0"/>
      <w:divBdr>
        <w:top w:val="none" w:sz="0" w:space="0" w:color="auto"/>
        <w:left w:val="none" w:sz="0" w:space="0" w:color="auto"/>
        <w:bottom w:val="none" w:sz="0" w:space="0" w:color="auto"/>
        <w:right w:val="none" w:sz="0" w:space="0" w:color="auto"/>
      </w:divBdr>
    </w:div>
    <w:div w:id="960261234">
      <w:bodyDiv w:val="1"/>
      <w:marLeft w:val="0"/>
      <w:marRight w:val="0"/>
      <w:marTop w:val="0"/>
      <w:marBottom w:val="0"/>
      <w:divBdr>
        <w:top w:val="none" w:sz="0" w:space="0" w:color="auto"/>
        <w:left w:val="none" w:sz="0" w:space="0" w:color="auto"/>
        <w:bottom w:val="none" w:sz="0" w:space="0" w:color="auto"/>
        <w:right w:val="none" w:sz="0" w:space="0" w:color="auto"/>
      </w:divBdr>
    </w:div>
    <w:div w:id="967055309">
      <w:bodyDiv w:val="1"/>
      <w:marLeft w:val="0"/>
      <w:marRight w:val="0"/>
      <w:marTop w:val="0"/>
      <w:marBottom w:val="0"/>
      <w:divBdr>
        <w:top w:val="none" w:sz="0" w:space="0" w:color="auto"/>
        <w:left w:val="none" w:sz="0" w:space="0" w:color="auto"/>
        <w:bottom w:val="none" w:sz="0" w:space="0" w:color="auto"/>
        <w:right w:val="none" w:sz="0" w:space="0" w:color="auto"/>
      </w:divBdr>
    </w:div>
    <w:div w:id="967395121">
      <w:bodyDiv w:val="1"/>
      <w:marLeft w:val="0"/>
      <w:marRight w:val="0"/>
      <w:marTop w:val="0"/>
      <w:marBottom w:val="0"/>
      <w:divBdr>
        <w:top w:val="none" w:sz="0" w:space="0" w:color="auto"/>
        <w:left w:val="none" w:sz="0" w:space="0" w:color="auto"/>
        <w:bottom w:val="none" w:sz="0" w:space="0" w:color="auto"/>
        <w:right w:val="none" w:sz="0" w:space="0" w:color="auto"/>
      </w:divBdr>
    </w:div>
    <w:div w:id="968435084">
      <w:bodyDiv w:val="1"/>
      <w:marLeft w:val="0"/>
      <w:marRight w:val="0"/>
      <w:marTop w:val="0"/>
      <w:marBottom w:val="0"/>
      <w:divBdr>
        <w:top w:val="none" w:sz="0" w:space="0" w:color="auto"/>
        <w:left w:val="none" w:sz="0" w:space="0" w:color="auto"/>
        <w:bottom w:val="none" w:sz="0" w:space="0" w:color="auto"/>
        <w:right w:val="none" w:sz="0" w:space="0" w:color="auto"/>
      </w:divBdr>
    </w:div>
    <w:div w:id="972520807">
      <w:bodyDiv w:val="1"/>
      <w:marLeft w:val="0"/>
      <w:marRight w:val="0"/>
      <w:marTop w:val="0"/>
      <w:marBottom w:val="0"/>
      <w:divBdr>
        <w:top w:val="none" w:sz="0" w:space="0" w:color="auto"/>
        <w:left w:val="none" w:sz="0" w:space="0" w:color="auto"/>
        <w:bottom w:val="none" w:sz="0" w:space="0" w:color="auto"/>
        <w:right w:val="none" w:sz="0" w:space="0" w:color="auto"/>
      </w:divBdr>
    </w:div>
    <w:div w:id="974020704">
      <w:bodyDiv w:val="1"/>
      <w:marLeft w:val="0"/>
      <w:marRight w:val="0"/>
      <w:marTop w:val="0"/>
      <w:marBottom w:val="0"/>
      <w:divBdr>
        <w:top w:val="none" w:sz="0" w:space="0" w:color="auto"/>
        <w:left w:val="none" w:sz="0" w:space="0" w:color="auto"/>
        <w:bottom w:val="none" w:sz="0" w:space="0" w:color="auto"/>
        <w:right w:val="none" w:sz="0" w:space="0" w:color="auto"/>
      </w:divBdr>
    </w:div>
    <w:div w:id="974484351">
      <w:bodyDiv w:val="1"/>
      <w:marLeft w:val="0"/>
      <w:marRight w:val="0"/>
      <w:marTop w:val="0"/>
      <w:marBottom w:val="0"/>
      <w:divBdr>
        <w:top w:val="none" w:sz="0" w:space="0" w:color="auto"/>
        <w:left w:val="none" w:sz="0" w:space="0" w:color="auto"/>
        <w:bottom w:val="none" w:sz="0" w:space="0" w:color="auto"/>
        <w:right w:val="none" w:sz="0" w:space="0" w:color="auto"/>
      </w:divBdr>
    </w:div>
    <w:div w:id="974528740">
      <w:bodyDiv w:val="1"/>
      <w:marLeft w:val="0"/>
      <w:marRight w:val="0"/>
      <w:marTop w:val="0"/>
      <w:marBottom w:val="0"/>
      <w:divBdr>
        <w:top w:val="none" w:sz="0" w:space="0" w:color="auto"/>
        <w:left w:val="none" w:sz="0" w:space="0" w:color="auto"/>
        <w:bottom w:val="none" w:sz="0" w:space="0" w:color="auto"/>
        <w:right w:val="none" w:sz="0" w:space="0" w:color="auto"/>
      </w:divBdr>
    </w:div>
    <w:div w:id="977536997">
      <w:bodyDiv w:val="1"/>
      <w:marLeft w:val="0"/>
      <w:marRight w:val="0"/>
      <w:marTop w:val="0"/>
      <w:marBottom w:val="0"/>
      <w:divBdr>
        <w:top w:val="none" w:sz="0" w:space="0" w:color="auto"/>
        <w:left w:val="none" w:sz="0" w:space="0" w:color="auto"/>
        <w:bottom w:val="none" w:sz="0" w:space="0" w:color="auto"/>
        <w:right w:val="none" w:sz="0" w:space="0" w:color="auto"/>
      </w:divBdr>
    </w:div>
    <w:div w:id="977996036">
      <w:bodyDiv w:val="1"/>
      <w:marLeft w:val="0"/>
      <w:marRight w:val="0"/>
      <w:marTop w:val="0"/>
      <w:marBottom w:val="0"/>
      <w:divBdr>
        <w:top w:val="none" w:sz="0" w:space="0" w:color="auto"/>
        <w:left w:val="none" w:sz="0" w:space="0" w:color="auto"/>
        <w:bottom w:val="none" w:sz="0" w:space="0" w:color="auto"/>
        <w:right w:val="none" w:sz="0" w:space="0" w:color="auto"/>
      </w:divBdr>
    </w:div>
    <w:div w:id="978264166">
      <w:bodyDiv w:val="1"/>
      <w:marLeft w:val="0"/>
      <w:marRight w:val="0"/>
      <w:marTop w:val="0"/>
      <w:marBottom w:val="0"/>
      <w:divBdr>
        <w:top w:val="none" w:sz="0" w:space="0" w:color="auto"/>
        <w:left w:val="none" w:sz="0" w:space="0" w:color="auto"/>
        <w:bottom w:val="none" w:sz="0" w:space="0" w:color="auto"/>
        <w:right w:val="none" w:sz="0" w:space="0" w:color="auto"/>
      </w:divBdr>
    </w:div>
    <w:div w:id="986975367">
      <w:bodyDiv w:val="1"/>
      <w:marLeft w:val="0"/>
      <w:marRight w:val="0"/>
      <w:marTop w:val="0"/>
      <w:marBottom w:val="0"/>
      <w:divBdr>
        <w:top w:val="none" w:sz="0" w:space="0" w:color="auto"/>
        <w:left w:val="none" w:sz="0" w:space="0" w:color="auto"/>
        <w:bottom w:val="none" w:sz="0" w:space="0" w:color="auto"/>
        <w:right w:val="none" w:sz="0" w:space="0" w:color="auto"/>
      </w:divBdr>
    </w:div>
    <w:div w:id="989946622">
      <w:bodyDiv w:val="1"/>
      <w:marLeft w:val="0"/>
      <w:marRight w:val="0"/>
      <w:marTop w:val="0"/>
      <w:marBottom w:val="0"/>
      <w:divBdr>
        <w:top w:val="none" w:sz="0" w:space="0" w:color="auto"/>
        <w:left w:val="none" w:sz="0" w:space="0" w:color="auto"/>
        <w:bottom w:val="none" w:sz="0" w:space="0" w:color="auto"/>
        <w:right w:val="none" w:sz="0" w:space="0" w:color="auto"/>
      </w:divBdr>
    </w:div>
    <w:div w:id="995955780">
      <w:bodyDiv w:val="1"/>
      <w:marLeft w:val="0"/>
      <w:marRight w:val="0"/>
      <w:marTop w:val="0"/>
      <w:marBottom w:val="0"/>
      <w:divBdr>
        <w:top w:val="none" w:sz="0" w:space="0" w:color="auto"/>
        <w:left w:val="none" w:sz="0" w:space="0" w:color="auto"/>
        <w:bottom w:val="none" w:sz="0" w:space="0" w:color="auto"/>
        <w:right w:val="none" w:sz="0" w:space="0" w:color="auto"/>
      </w:divBdr>
    </w:div>
    <w:div w:id="997541616">
      <w:bodyDiv w:val="1"/>
      <w:marLeft w:val="0"/>
      <w:marRight w:val="0"/>
      <w:marTop w:val="0"/>
      <w:marBottom w:val="0"/>
      <w:divBdr>
        <w:top w:val="none" w:sz="0" w:space="0" w:color="auto"/>
        <w:left w:val="none" w:sz="0" w:space="0" w:color="auto"/>
        <w:bottom w:val="none" w:sz="0" w:space="0" w:color="auto"/>
        <w:right w:val="none" w:sz="0" w:space="0" w:color="auto"/>
      </w:divBdr>
    </w:div>
    <w:div w:id="999239362">
      <w:bodyDiv w:val="1"/>
      <w:marLeft w:val="0"/>
      <w:marRight w:val="0"/>
      <w:marTop w:val="0"/>
      <w:marBottom w:val="0"/>
      <w:divBdr>
        <w:top w:val="none" w:sz="0" w:space="0" w:color="auto"/>
        <w:left w:val="none" w:sz="0" w:space="0" w:color="auto"/>
        <w:bottom w:val="none" w:sz="0" w:space="0" w:color="auto"/>
        <w:right w:val="none" w:sz="0" w:space="0" w:color="auto"/>
      </w:divBdr>
    </w:div>
    <w:div w:id="999388527">
      <w:bodyDiv w:val="1"/>
      <w:marLeft w:val="0"/>
      <w:marRight w:val="0"/>
      <w:marTop w:val="0"/>
      <w:marBottom w:val="0"/>
      <w:divBdr>
        <w:top w:val="none" w:sz="0" w:space="0" w:color="auto"/>
        <w:left w:val="none" w:sz="0" w:space="0" w:color="auto"/>
        <w:bottom w:val="none" w:sz="0" w:space="0" w:color="auto"/>
        <w:right w:val="none" w:sz="0" w:space="0" w:color="auto"/>
      </w:divBdr>
    </w:div>
    <w:div w:id="1006639824">
      <w:bodyDiv w:val="1"/>
      <w:marLeft w:val="0"/>
      <w:marRight w:val="0"/>
      <w:marTop w:val="0"/>
      <w:marBottom w:val="0"/>
      <w:divBdr>
        <w:top w:val="none" w:sz="0" w:space="0" w:color="auto"/>
        <w:left w:val="none" w:sz="0" w:space="0" w:color="auto"/>
        <w:bottom w:val="none" w:sz="0" w:space="0" w:color="auto"/>
        <w:right w:val="none" w:sz="0" w:space="0" w:color="auto"/>
      </w:divBdr>
    </w:div>
    <w:div w:id="1006830254">
      <w:bodyDiv w:val="1"/>
      <w:marLeft w:val="0"/>
      <w:marRight w:val="0"/>
      <w:marTop w:val="0"/>
      <w:marBottom w:val="0"/>
      <w:divBdr>
        <w:top w:val="none" w:sz="0" w:space="0" w:color="auto"/>
        <w:left w:val="none" w:sz="0" w:space="0" w:color="auto"/>
        <w:bottom w:val="none" w:sz="0" w:space="0" w:color="auto"/>
        <w:right w:val="none" w:sz="0" w:space="0" w:color="auto"/>
      </w:divBdr>
    </w:div>
    <w:div w:id="1007289412">
      <w:bodyDiv w:val="1"/>
      <w:marLeft w:val="0"/>
      <w:marRight w:val="0"/>
      <w:marTop w:val="0"/>
      <w:marBottom w:val="0"/>
      <w:divBdr>
        <w:top w:val="none" w:sz="0" w:space="0" w:color="auto"/>
        <w:left w:val="none" w:sz="0" w:space="0" w:color="auto"/>
        <w:bottom w:val="none" w:sz="0" w:space="0" w:color="auto"/>
        <w:right w:val="none" w:sz="0" w:space="0" w:color="auto"/>
      </w:divBdr>
    </w:div>
    <w:div w:id="1008756733">
      <w:bodyDiv w:val="1"/>
      <w:marLeft w:val="0"/>
      <w:marRight w:val="0"/>
      <w:marTop w:val="0"/>
      <w:marBottom w:val="0"/>
      <w:divBdr>
        <w:top w:val="none" w:sz="0" w:space="0" w:color="auto"/>
        <w:left w:val="none" w:sz="0" w:space="0" w:color="auto"/>
        <w:bottom w:val="none" w:sz="0" w:space="0" w:color="auto"/>
        <w:right w:val="none" w:sz="0" w:space="0" w:color="auto"/>
      </w:divBdr>
    </w:div>
    <w:div w:id="1010254137">
      <w:bodyDiv w:val="1"/>
      <w:marLeft w:val="0"/>
      <w:marRight w:val="0"/>
      <w:marTop w:val="0"/>
      <w:marBottom w:val="0"/>
      <w:divBdr>
        <w:top w:val="none" w:sz="0" w:space="0" w:color="auto"/>
        <w:left w:val="none" w:sz="0" w:space="0" w:color="auto"/>
        <w:bottom w:val="none" w:sz="0" w:space="0" w:color="auto"/>
        <w:right w:val="none" w:sz="0" w:space="0" w:color="auto"/>
      </w:divBdr>
    </w:div>
    <w:div w:id="1013799121">
      <w:bodyDiv w:val="1"/>
      <w:marLeft w:val="0"/>
      <w:marRight w:val="0"/>
      <w:marTop w:val="0"/>
      <w:marBottom w:val="0"/>
      <w:divBdr>
        <w:top w:val="none" w:sz="0" w:space="0" w:color="auto"/>
        <w:left w:val="none" w:sz="0" w:space="0" w:color="auto"/>
        <w:bottom w:val="none" w:sz="0" w:space="0" w:color="auto"/>
        <w:right w:val="none" w:sz="0" w:space="0" w:color="auto"/>
      </w:divBdr>
    </w:div>
    <w:div w:id="1013997165">
      <w:bodyDiv w:val="1"/>
      <w:marLeft w:val="0"/>
      <w:marRight w:val="0"/>
      <w:marTop w:val="0"/>
      <w:marBottom w:val="0"/>
      <w:divBdr>
        <w:top w:val="none" w:sz="0" w:space="0" w:color="auto"/>
        <w:left w:val="none" w:sz="0" w:space="0" w:color="auto"/>
        <w:bottom w:val="none" w:sz="0" w:space="0" w:color="auto"/>
        <w:right w:val="none" w:sz="0" w:space="0" w:color="auto"/>
      </w:divBdr>
    </w:div>
    <w:div w:id="1014502073">
      <w:bodyDiv w:val="1"/>
      <w:marLeft w:val="0"/>
      <w:marRight w:val="0"/>
      <w:marTop w:val="0"/>
      <w:marBottom w:val="0"/>
      <w:divBdr>
        <w:top w:val="none" w:sz="0" w:space="0" w:color="auto"/>
        <w:left w:val="none" w:sz="0" w:space="0" w:color="auto"/>
        <w:bottom w:val="none" w:sz="0" w:space="0" w:color="auto"/>
        <w:right w:val="none" w:sz="0" w:space="0" w:color="auto"/>
      </w:divBdr>
    </w:div>
    <w:div w:id="1017464654">
      <w:bodyDiv w:val="1"/>
      <w:marLeft w:val="0"/>
      <w:marRight w:val="0"/>
      <w:marTop w:val="0"/>
      <w:marBottom w:val="0"/>
      <w:divBdr>
        <w:top w:val="none" w:sz="0" w:space="0" w:color="auto"/>
        <w:left w:val="none" w:sz="0" w:space="0" w:color="auto"/>
        <w:bottom w:val="none" w:sz="0" w:space="0" w:color="auto"/>
        <w:right w:val="none" w:sz="0" w:space="0" w:color="auto"/>
      </w:divBdr>
    </w:div>
    <w:div w:id="1021055767">
      <w:bodyDiv w:val="1"/>
      <w:marLeft w:val="0"/>
      <w:marRight w:val="0"/>
      <w:marTop w:val="0"/>
      <w:marBottom w:val="0"/>
      <w:divBdr>
        <w:top w:val="none" w:sz="0" w:space="0" w:color="auto"/>
        <w:left w:val="none" w:sz="0" w:space="0" w:color="auto"/>
        <w:bottom w:val="none" w:sz="0" w:space="0" w:color="auto"/>
        <w:right w:val="none" w:sz="0" w:space="0" w:color="auto"/>
      </w:divBdr>
    </w:div>
    <w:div w:id="1026829692">
      <w:bodyDiv w:val="1"/>
      <w:marLeft w:val="0"/>
      <w:marRight w:val="0"/>
      <w:marTop w:val="0"/>
      <w:marBottom w:val="0"/>
      <w:divBdr>
        <w:top w:val="none" w:sz="0" w:space="0" w:color="auto"/>
        <w:left w:val="none" w:sz="0" w:space="0" w:color="auto"/>
        <w:bottom w:val="none" w:sz="0" w:space="0" w:color="auto"/>
        <w:right w:val="none" w:sz="0" w:space="0" w:color="auto"/>
      </w:divBdr>
    </w:div>
    <w:div w:id="1030104956">
      <w:bodyDiv w:val="1"/>
      <w:marLeft w:val="0"/>
      <w:marRight w:val="0"/>
      <w:marTop w:val="0"/>
      <w:marBottom w:val="0"/>
      <w:divBdr>
        <w:top w:val="none" w:sz="0" w:space="0" w:color="auto"/>
        <w:left w:val="none" w:sz="0" w:space="0" w:color="auto"/>
        <w:bottom w:val="none" w:sz="0" w:space="0" w:color="auto"/>
        <w:right w:val="none" w:sz="0" w:space="0" w:color="auto"/>
      </w:divBdr>
    </w:div>
    <w:div w:id="1030181812">
      <w:bodyDiv w:val="1"/>
      <w:marLeft w:val="0"/>
      <w:marRight w:val="0"/>
      <w:marTop w:val="0"/>
      <w:marBottom w:val="0"/>
      <w:divBdr>
        <w:top w:val="none" w:sz="0" w:space="0" w:color="auto"/>
        <w:left w:val="none" w:sz="0" w:space="0" w:color="auto"/>
        <w:bottom w:val="none" w:sz="0" w:space="0" w:color="auto"/>
        <w:right w:val="none" w:sz="0" w:space="0" w:color="auto"/>
      </w:divBdr>
    </w:div>
    <w:div w:id="1034308201">
      <w:bodyDiv w:val="1"/>
      <w:marLeft w:val="0"/>
      <w:marRight w:val="0"/>
      <w:marTop w:val="0"/>
      <w:marBottom w:val="0"/>
      <w:divBdr>
        <w:top w:val="none" w:sz="0" w:space="0" w:color="auto"/>
        <w:left w:val="none" w:sz="0" w:space="0" w:color="auto"/>
        <w:bottom w:val="none" w:sz="0" w:space="0" w:color="auto"/>
        <w:right w:val="none" w:sz="0" w:space="0" w:color="auto"/>
      </w:divBdr>
    </w:div>
    <w:div w:id="1034581410">
      <w:bodyDiv w:val="1"/>
      <w:marLeft w:val="0"/>
      <w:marRight w:val="0"/>
      <w:marTop w:val="0"/>
      <w:marBottom w:val="0"/>
      <w:divBdr>
        <w:top w:val="none" w:sz="0" w:space="0" w:color="auto"/>
        <w:left w:val="none" w:sz="0" w:space="0" w:color="auto"/>
        <w:bottom w:val="none" w:sz="0" w:space="0" w:color="auto"/>
        <w:right w:val="none" w:sz="0" w:space="0" w:color="auto"/>
      </w:divBdr>
    </w:div>
    <w:div w:id="1035278716">
      <w:bodyDiv w:val="1"/>
      <w:marLeft w:val="0"/>
      <w:marRight w:val="0"/>
      <w:marTop w:val="0"/>
      <w:marBottom w:val="0"/>
      <w:divBdr>
        <w:top w:val="none" w:sz="0" w:space="0" w:color="auto"/>
        <w:left w:val="none" w:sz="0" w:space="0" w:color="auto"/>
        <w:bottom w:val="none" w:sz="0" w:space="0" w:color="auto"/>
        <w:right w:val="none" w:sz="0" w:space="0" w:color="auto"/>
      </w:divBdr>
    </w:div>
    <w:div w:id="1040202562">
      <w:bodyDiv w:val="1"/>
      <w:marLeft w:val="0"/>
      <w:marRight w:val="0"/>
      <w:marTop w:val="0"/>
      <w:marBottom w:val="0"/>
      <w:divBdr>
        <w:top w:val="none" w:sz="0" w:space="0" w:color="auto"/>
        <w:left w:val="none" w:sz="0" w:space="0" w:color="auto"/>
        <w:bottom w:val="none" w:sz="0" w:space="0" w:color="auto"/>
        <w:right w:val="none" w:sz="0" w:space="0" w:color="auto"/>
      </w:divBdr>
    </w:div>
    <w:div w:id="1041595483">
      <w:bodyDiv w:val="1"/>
      <w:marLeft w:val="0"/>
      <w:marRight w:val="0"/>
      <w:marTop w:val="0"/>
      <w:marBottom w:val="0"/>
      <w:divBdr>
        <w:top w:val="none" w:sz="0" w:space="0" w:color="auto"/>
        <w:left w:val="none" w:sz="0" w:space="0" w:color="auto"/>
        <w:bottom w:val="none" w:sz="0" w:space="0" w:color="auto"/>
        <w:right w:val="none" w:sz="0" w:space="0" w:color="auto"/>
      </w:divBdr>
    </w:div>
    <w:div w:id="1042167846">
      <w:bodyDiv w:val="1"/>
      <w:marLeft w:val="0"/>
      <w:marRight w:val="0"/>
      <w:marTop w:val="0"/>
      <w:marBottom w:val="0"/>
      <w:divBdr>
        <w:top w:val="none" w:sz="0" w:space="0" w:color="auto"/>
        <w:left w:val="none" w:sz="0" w:space="0" w:color="auto"/>
        <w:bottom w:val="none" w:sz="0" w:space="0" w:color="auto"/>
        <w:right w:val="none" w:sz="0" w:space="0" w:color="auto"/>
      </w:divBdr>
    </w:div>
    <w:div w:id="1049525508">
      <w:bodyDiv w:val="1"/>
      <w:marLeft w:val="0"/>
      <w:marRight w:val="0"/>
      <w:marTop w:val="0"/>
      <w:marBottom w:val="0"/>
      <w:divBdr>
        <w:top w:val="none" w:sz="0" w:space="0" w:color="auto"/>
        <w:left w:val="none" w:sz="0" w:space="0" w:color="auto"/>
        <w:bottom w:val="none" w:sz="0" w:space="0" w:color="auto"/>
        <w:right w:val="none" w:sz="0" w:space="0" w:color="auto"/>
      </w:divBdr>
    </w:div>
    <w:div w:id="1052312562">
      <w:bodyDiv w:val="1"/>
      <w:marLeft w:val="0"/>
      <w:marRight w:val="0"/>
      <w:marTop w:val="0"/>
      <w:marBottom w:val="0"/>
      <w:divBdr>
        <w:top w:val="none" w:sz="0" w:space="0" w:color="auto"/>
        <w:left w:val="none" w:sz="0" w:space="0" w:color="auto"/>
        <w:bottom w:val="none" w:sz="0" w:space="0" w:color="auto"/>
        <w:right w:val="none" w:sz="0" w:space="0" w:color="auto"/>
      </w:divBdr>
    </w:div>
    <w:div w:id="1055394484">
      <w:bodyDiv w:val="1"/>
      <w:marLeft w:val="0"/>
      <w:marRight w:val="0"/>
      <w:marTop w:val="0"/>
      <w:marBottom w:val="0"/>
      <w:divBdr>
        <w:top w:val="none" w:sz="0" w:space="0" w:color="auto"/>
        <w:left w:val="none" w:sz="0" w:space="0" w:color="auto"/>
        <w:bottom w:val="none" w:sz="0" w:space="0" w:color="auto"/>
        <w:right w:val="none" w:sz="0" w:space="0" w:color="auto"/>
      </w:divBdr>
    </w:div>
    <w:div w:id="1056927458">
      <w:bodyDiv w:val="1"/>
      <w:marLeft w:val="0"/>
      <w:marRight w:val="0"/>
      <w:marTop w:val="0"/>
      <w:marBottom w:val="0"/>
      <w:divBdr>
        <w:top w:val="none" w:sz="0" w:space="0" w:color="auto"/>
        <w:left w:val="none" w:sz="0" w:space="0" w:color="auto"/>
        <w:bottom w:val="none" w:sz="0" w:space="0" w:color="auto"/>
        <w:right w:val="none" w:sz="0" w:space="0" w:color="auto"/>
      </w:divBdr>
    </w:div>
    <w:div w:id="1058165854">
      <w:bodyDiv w:val="1"/>
      <w:marLeft w:val="0"/>
      <w:marRight w:val="0"/>
      <w:marTop w:val="0"/>
      <w:marBottom w:val="0"/>
      <w:divBdr>
        <w:top w:val="none" w:sz="0" w:space="0" w:color="auto"/>
        <w:left w:val="none" w:sz="0" w:space="0" w:color="auto"/>
        <w:bottom w:val="none" w:sz="0" w:space="0" w:color="auto"/>
        <w:right w:val="none" w:sz="0" w:space="0" w:color="auto"/>
      </w:divBdr>
    </w:div>
    <w:div w:id="1062171408">
      <w:bodyDiv w:val="1"/>
      <w:marLeft w:val="0"/>
      <w:marRight w:val="0"/>
      <w:marTop w:val="0"/>
      <w:marBottom w:val="0"/>
      <w:divBdr>
        <w:top w:val="none" w:sz="0" w:space="0" w:color="auto"/>
        <w:left w:val="none" w:sz="0" w:space="0" w:color="auto"/>
        <w:bottom w:val="none" w:sz="0" w:space="0" w:color="auto"/>
        <w:right w:val="none" w:sz="0" w:space="0" w:color="auto"/>
      </w:divBdr>
    </w:div>
    <w:div w:id="1066882211">
      <w:bodyDiv w:val="1"/>
      <w:marLeft w:val="0"/>
      <w:marRight w:val="0"/>
      <w:marTop w:val="0"/>
      <w:marBottom w:val="0"/>
      <w:divBdr>
        <w:top w:val="none" w:sz="0" w:space="0" w:color="auto"/>
        <w:left w:val="none" w:sz="0" w:space="0" w:color="auto"/>
        <w:bottom w:val="none" w:sz="0" w:space="0" w:color="auto"/>
        <w:right w:val="none" w:sz="0" w:space="0" w:color="auto"/>
      </w:divBdr>
    </w:div>
    <w:div w:id="1071777466">
      <w:bodyDiv w:val="1"/>
      <w:marLeft w:val="0"/>
      <w:marRight w:val="0"/>
      <w:marTop w:val="0"/>
      <w:marBottom w:val="0"/>
      <w:divBdr>
        <w:top w:val="none" w:sz="0" w:space="0" w:color="auto"/>
        <w:left w:val="none" w:sz="0" w:space="0" w:color="auto"/>
        <w:bottom w:val="none" w:sz="0" w:space="0" w:color="auto"/>
        <w:right w:val="none" w:sz="0" w:space="0" w:color="auto"/>
      </w:divBdr>
    </w:div>
    <w:div w:id="1081490308">
      <w:bodyDiv w:val="1"/>
      <w:marLeft w:val="0"/>
      <w:marRight w:val="0"/>
      <w:marTop w:val="0"/>
      <w:marBottom w:val="0"/>
      <w:divBdr>
        <w:top w:val="none" w:sz="0" w:space="0" w:color="auto"/>
        <w:left w:val="none" w:sz="0" w:space="0" w:color="auto"/>
        <w:bottom w:val="none" w:sz="0" w:space="0" w:color="auto"/>
        <w:right w:val="none" w:sz="0" w:space="0" w:color="auto"/>
      </w:divBdr>
    </w:div>
    <w:div w:id="1082677490">
      <w:bodyDiv w:val="1"/>
      <w:marLeft w:val="0"/>
      <w:marRight w:val="0"/>
      <w:marTop w:val="0"/>
      <w:marBottom w:val="0"/>
      <w:divBdr>
        <w:top w:val="none" w:sz="0" w:space="0" w:color="auto"/>
        <w:left w:val="none" w:sz="0" w:space="0" w:color="auto"/>
        <w:bottom w:val="none" w:sz="0" w:space="0" w:color="auto"/>
        <w:right w:val="none" w:sz="0" w:space="0" w:color="auto"/>
      </w:divBdr>
    </w:div>
    <w:div w:id="1083725448">
      <w:bodyDiv w:val="1"/>
      <w:marLeft w:val="0"/>
      <w:marRight w:val="0"/>
      <w:marTop w:val="0"/>
      <w:marBottom w:val="0"/>
      <w:divBdr>
        <w:top w:val="none" w:sz="0" w:space="0" w:color="auto"/>
        <w:left w:val="none" w:sz="0" w:space="0" w:color="auto"/>
        <w:bottom w:val="none" w:sz="0" w:space="0" w:color="auto"/>
        <w:right w:val="none" w:sz="0" w:space="0" w:color="auto"/>
      </w:divBdr>
    </w:div>
    <w:div w:id="1090739272">
      <w:bodyDiv w:val="1"/>
      <w:marLeft w:val="0"/>
      <w:marRight w:val="0"/>
      <w:marTop w:val="0"/>
      <w:marBottom w:val="0"/>
      <w:divBdr>
        <w:top w:val="none" w:sz="0" w:space="0" w:color="auto"/>
        <w:left w:val="none" w:sz="0" w:space="0" w:color="auto"/>
        <w:bottom w:val="none" w:sz="0" w:space="0" w:color="auto"/>
        <w:right w:val="none" w:sz="0" w:space="0" w:color="auto"/>
      </w:divBdr>
    </w:div>
    <w:div w:id="1092816849">
      <w:bodyDiv w:val="1"/>
      <w:marLeft w:val="0"/>
      <w:marRight w:val="0"/>
      <w:marTop w:val="0"/>
      <w:marBottom w:val="0"/>
      <w:divBdr>
        <w:top w:val="none" w:sz="0" w:space="0" w:color="auto"/>
        <w:left w:val="none" w:sz="0" w:space="0" w:color="auto"/>
        <w:bottom w:val="none" w:sz="0" w:space="0" w:color="auto"/>
        <w:right w:val="none" w:sz="0" w:space="0" w:color="auto"/>
      </w:divBdr>
    </w:div>
    <w:div w:id="1093013370">
      <w:bodyDiv w:val="1"/>
      <w:marLeft w:val="0"/>
      <w:marRight w:val="0"/>
      <w:marTop w:val="0"/>
      <w:marBottom w:val="0"/>
      <w:divBdr>
        <w:top w:val="none" w:sz="0" w:space="0" w:color="auto"/>
        <w:left w:val="none" w:sz="0" w:space="0" w:color="auto"/>
        <w:bottom w:val="none" w:sz="0" w:space="0" w:color="auto"/>
        <w:right w:val="none" w:sz="0" w:space="0" w:color="auto"/>
      </w:divBdr>
    </w:div>
    <w:div w:id="1094667495">
      <w:bodyDiv w:val="1"/>
      <w:marLeft w:val="0"/>
      <w:marRight w:val="0"/>
      <w:marTop w:val="0"/>
      <w:marBottom w:val="0"/>
      <w:divBdr>
        <w:top w:val="none" w:sz="0" w:space="0" w:color="auto"/>
        <w:left w:val="none" w:sz="0" w:space="0" w:color="auto"/>
        <w:bottom w:val="none" w:sz="0" w:space="0" w:color="auto"/>
        <w:right w:val="none" w:sz="0" w:space="0" w:color="auto"/>
      </w:divBdr>
    </w:div>
    <w:div w:id="1096515426">
      <w:bodyDiv w:val="1"/>
      <w:marLeft w:val="0"/>
      <w:marRight w:val="0"/>
      <w:marTop w:val="0"/>
      <w:marBottom w:val="0"/>
      <w:divBdr>
        <w:top w:val="none" w:sz="0" w:space="0" w:color="auto"/>
        <w:left w:val="none" w:sz="0" w:space="0" w:color="auto"/>
        <w:bottom w:val="none" w:sz="0" w:space="0" w:color="auto"/>
        <w:right w:val="none" w:sz="0" w:space="0" w:color="auto"/>
      </w:divBdr>
    </w:div>
    <w:div w:id="1097017702">
      <w:bodyDiv w:val="1"/>
      <w:marLeft w:val="0"/>
      <w:marRight w:val="0"/>
      <w:marTop w:val="0"/>
      <w:marBottom w:val="0"/>
      <w:divBdr>
        <w:top w:val="none" w:sz="0" w:space="0" w:color="auto"/>
        <w:left w:val="none" w:sz="0" w:space="0" w:color="auto"/>
        <w:bottom w:val="none" w:sz="0" w:space="0" w:color="auto"/>
        <w:right w:val="none" w:sz="0" w:space="0" w:color="auto"/>
      </w:divBdr>
    </w:div>
    <w:div w:id="1103960633">
      <w:bodyDiv w:val="1"/>
      <w:marLeft w:val="0"/>
      <w:marRight w:val="0"/>
      <w:marTop w:val="0"/>
      <w:marBottom w:val="0"/>
      <w:divBdr>
        <w:top w:val="none" w:sz="0" w:space="0" w:color="auto"/>
        <w:left w:val="none" w:sz="0" w:space="0" w:color="auto"/>
        <w:bottom w:val="none" w:sz="0" w:space="0" w:color="auto"/>
        <w:right w:val="none" w:sz="0" w:space="0" w:color="auto"/>
      </w:divBdr>
    </w:div>
    <w:div w:id="1103964438">
      <w:bodyDiv w:val="1"/>
      <w:marLeft w:val="0"/>
      <w:marRight w:val="0"/>
      <w:marTop w:val="0"/>
      <w:marBottom w:val="0"/>
      <w:divBdr>
        <w:top w:val="none" w:sz="0" w:space="0" w:color="auto"/>
        <w:left w:val="none" w:sz="0" w:space="0" w:color="auto"/>
        <w:bottom w:val="none" w:sz="0" w:space="0" w:color="auto"/>
        <w:right w:val="none" w:sz="0" w:space="0" w:color="auto"/>
      </w:divBdr>
    </w:div>
    <w:div w:id="1105272396">
      <w:bodyDiv w:val="1"/>
      <w:marLeft w:val="0"/>
      <w:marRight w:val="0"/>
      <w:marTop w:val="0"/>
      <w:marBottom w:val="0"/>
      <w:divBdr>
        <w:top w:val="none" w:sz="0" w:space="0" w:color="auto"/>
        <w:left w:val="none" w:sz="0" w:space="0" w:color="auto"/>
        <w:bottom w:val="none" w:sz="0" w:space="0" w:color="auto"/>
        <w:right w:val="none" w:sz="0" w:space="0" w:color="auto"/>
      </w:divBdr>
    </w:div>
    <w:div w:id="1106341785">
      <w:bodyDiv w:val="1"/>
      <w:marLeft w:val="0"/>
      <w:marRight w:val="0"/>
      <w:marTop w:val="0"/>
      <w:marBottom w:val="0"/>
      <w:divBdr>
        <w:top w:val="none" w:sz="0" w:space="0" w:color="auto"/>
        <w:left w:val="none" w:sz="0" w:space="0" w:color="auto"/>
        <w:bottom w:val="none" w:sz="0" w:space="0" w:color="auto"/>
        <w:right w:val="none" w:sz="0" w:space="0" w:color="auto"/>
      </w:divBdr>
    </w:div>
    <w:div w:id="1107234144">
      <w:bodyDiv w:val="1"/>
      <w:marLeft w:val="0"/>
      <w:marRight w:val="0"/>
      <w:marTop w:val="0"/>
      <w:marBottom w:val="0"/>
      <w:divBdr>
        <w:top w:val="none" w:sz="0" w:space="0" w:color="auto"/>
        <w:left w:val="none" w:sz="0" w:space="0" w:color="auto"/>
        <w:bottom w:val="none" w:sz="0" w:space="0" w:color="auto"/>
        <w:right w:val="none" w:sz="0" w:space="0" w:color="auto"/>
      </w:divBdr>
    </w:div>
    <w:div w:id="1112165529">
      <w:bodyDiv w:val="1"/>
      <w:marLeft w:val="0"/>
      <w:marRight w:val="0"/>
      <w:marTop w:val="0"/>
      <w:marBottom w:val="0"/>
      <w:divBdr>
        <w:top w:val="none" w:sz="0" w:space="0" w:color="auto"/>
        <w:left w:val="none" w:sz="0" w:space="0" w:color="auto"/>
        <w:bottom w:val="none" w:sz="0" w:space="0" w:color="auto"/>
        <w:right w:val="none" w:sz="0" w:space="0" w:color="auto"/>
      </w:divBdr>
    </w:div>
    <w:div w:id="1113666627">
      <w:bodyDiv w:val="1"/>
      <w:marLeft w:val="0"/>
      <w:marRight w:val="0"/>
      <w:marTop w:val="0"/>
      <w:marBottom w:val="0"/>
      <w:divBdr>
        <w:top w:val="none" w:sz="0" w:space="0" w:color="auto"/>
        <w:left w:val="none" w:sz="0" w:space="0" w:color="auto"/>
        <w:bottom w:val="none" w:sz="0" w:space="0" w:color="auto"/>
        <w:right w:val="none" w:sz="0" w:space="0" w:color="auto"/>
      </w:divBdr>
    </w:div>
    <w:div w:id="1120882027">
      <w:bodyDiv w:val="1"/>
      <w:marLeft w:val="0"/>
      <w:marRight w:val="0"/>
      <w:marTop w:val="0"/>
      <w:marBottom w:val="0"/>
      <w:divBdr>
        <w:top w:val="none" w:sz="0" w:space="0" w:color="auto"/>
        <w:left w:val="none" w:sz="0" w:space="0" w:color="auto"/>
        <w:bottom w:val="none" w:sz="0" w:space="0" w:color="auto"/>
        <w:right w:val="none" w:sz="0" w:space="0" w:color="auto"/>
      </w:divBdr>
    </w:div>
    <w:div w:id="1121922576">
      <w:bodyDiv w:val="1"/>
      <w:marLeft w:val="0"/>
      <w:marRight w:val="0"/>
      <w:marTop w:val="0"/>
      <w:marBottom w:val="0"/>
      <w:divBdr>
        <w:top w:val="none" w:sz="0" w:space="0" w:color="auto"/>
        <w:left w:val="none" w:sz="0" w:space="0" w:color="auto"/>
        <w:bottom w:val="none" w:sz="0" w:space="0" w:color="auto"/>
        <w:right w:val="none" w:sz="0" w:space="0" w:color="auto"/>
      </w:divBdr>
    </w:div>
    <w:div w:id="1125351311">
      <w:bodyDiv w:val="1"/>
      <w:marLeft w:val="0"/>
      <w:marRight w:val="0"/>
      <w:marTop w:val="0"/>
      <w:marBottom w:val="0"/>
      <w:divBdr>
        <w:top w:val="none" w:sz="0" w:space="0" w:color="auto"/>
        <w:left w:val="none" w:sz="0" w:space="0" w:color="auto"/>
        <w:bottom w:val="none" w:sz="0" w:space="0" w:color="auto"/>
        <w:right w:val="none" w:sz="0" w:space="0" w:color="auto"/>
      </w:divBdr>
    </w:div>
    <w:div w:id="1125394322">
      <w:bodyDiv w:val="1"/>
      <w:marLeft w:val="0"/>
      <w:marRight w:val="0"/>
      <w:marTop w:val="0"/>
      <w:marBottom w:val="0"/>
      <w:divBdr>
        <w:top w:val="none" w:sz="0" w:space="0" w:color="auto"/>
        <w:left w:val="none" w:sz="0" w:space="0" w:color="auto"/>
        <w:bottom w:val="none" w:sz="0" w:space="0" w:color="auto"/>
        <w:right w:val="none" w:sz="0" w:space="0" w:color="auto"/>
      </w:divBdr>
    </w:div>
    <w:div w:id="1128938995">
      <w:bodyDiv w:val="1"/>
      <w:marLeft w:val="0"/>
      <w:marRight w:val="0"/>
      <w:marTop w:val="0"/>
      <w:marBottom w:val="0"/>
      <w:divBdr>
        <w:top w:val="none" w:sz="0" w:space="0" w:color="auto"/>
        <w:left w:val="none" w:sz="0" w:space="0" w:color="auto"/>
        <w:bottom w:val="none" w:sz="0" w:space="0" w:color="auto"/>
        <w:right w:val="none" w:sz="0" w:space="0" w:color="auto"/>
      </w:divBdr>
    </w:div>
    <w:div w:id="1129713249">
      <w:bodyDiv w:val="1"/>
      <w:marLeft w:val="0"/>
      <w:marRight w:val="0"/>
      <w:marTop w:val="0"/>
      <w:marBottom w:val="0"/>
      <w:divBdr>
        <w:top w:val="none" w:sz="0" w:space="0" w:color="auto"/>
        <w:left w:val="none" w:sz="0" w:space="0" w:color="auto"/>
        <w:bottom w:val="none" w:sz="0" w:space="0" w:color="auto"/>
        <w:right w:val="none" w:sz="0" w:space="0" w:color="auto"/>
      </w:divBdr>
    </w:div>
    <w:div w:id="1130635150">
      <w:bodyDiv w:val="1"/>
      <w:marLeft w:val="0"/>
      <w:marRight w:val="0"/>
      <w:marTop w:val="0"/>
      <w:marBottom w:val="0"/>
      <w:divBdr>
        <w:top w:val="none" w:sz="0" w:space="0" w:color="auto"/>
        <w:left w:val="none" w:sz="0" w:space="0" w:color="auto"/>
        <w:bottom w:val="none" w:sz="0" w:space="0" w:color="auto"/>
        <w:right w:val="none" w:sz="0" w:space="0" w:color="auto"/>
      </w:divBdr>
    </w:div>
    <w:div w:id="1132286082">
      <w:bodyDiv w:val="1"/>
      <w:marLeft w:val="0"/>
      <w:marRight w:val="0"/>
      <w:marTop w:val="0"/>
      <w:marBottom w:val="0"/>
      <w:divBdr>
        <w:top w:val="none" w:sz="0" w:space="0" w:color="auto"/>
        <w:left w:val="none" w:sz="0" w:space="0" w:color="auto"/>
        <w:bottom w:val="none" w:sz="0" w:space="0" w:color="auto"/>
        <w:right w:val="none" w:sz="0" w:space="0" w:color="auto"/>
      </w:divBdr>
    </w:div>
    <w:div w:id="1134833195">
      <w:bodyDiv w:val="1"/>
      <w:marLeft w:val="0"/>
      <w:marRight w:val="0"/>
      <w:marTop w:val="0"/>
      <w:marBottom w:val="0"/>
      <w:divBdr>
        <w:top w:val="none" w:sz="0" w:space="0" w:color="auto"/>
        <w:left w:val="none" w:sz="0" w:space="0" w:color="auto"/>
        <w:bottom w:val="none" w:sz="0" w:space="0" w:color="auto"/>
        <w:right w:val="none" w:sz="0" w:space="0" w:color="auto"/>
      </w:divBdr>
    </w:div>
    <w:div w:id="1137842257">
      <w:bodyDiv w:val="1"/>
      <w:marLeft w:val="0"/>
      <w:marRight w:val="0"/>
      <w:marTop w:val="0"/>
      <w:marBottom w:val="0"/>
      <w:divBdr>
        <w:top w:val="none" w:sz="0" w:space="0" w:color="auto"/>
        <w:left w:val="none" w:sz="0" w:space="0" w:color="auto"/>
        <w:bottom w:val="none" w:sz="0" w:space="0" w:color="auto"/>
        <w:right w:val="none" w:sz="0" w:space="0" w:color="auto"/>
      </w:divBdr>
    </w:div>
    <w:div w:id="1138453266">
      <w:bodyDiv w:val="1"/>
      <w:marLeft w:val="0"/>
      <w:marRight w:val="0"/>
      <w:marTop w:val="0"/>
      <w:marBottom w:val="0"/>
      <w:divBdr>
        <w:top w:val="none" w:sz="0" w:space="0" w:color="auto"/>
        <w:left w:val="none" w:sz="0" w:space="0" w:color="auto"/>
        <w:bottom w:val="none" w:sz="0" w:space="0" w:color="auto"/>
        <w:right w:val="none" w:sz="0" w:space="0" w:color="auto"/>
      </w:divBdr>
    </w:div>
    <w:div w:id="1138644148">
      <w:bodyDiv w:val="1"/>
      <w:marLeft w:val="0"/>
      <w:marRight w:val="0"/>
      <w:marTop w:val="0"/>
      <w:marBottom w:val="0"/>
      <w:divBdr>
        <w:top w:val="none" w:sz="0" w:space="0" w:color="auto"/>
        <w:left w:val="none" w:sz="0" w:space="0" w:color="auto"/>
        <w:bottom w:val="none" w:sz="0" w:space="0" w:color="auto"/>
        <w:right w:val="none" w:sz="0" w:space="0" w:color="auto"/>
      </w:divBdr>
    </w:div>
    <w:div w:id="1141078921">
      <w:bodyDiv w:val="1"/>
      <w:marLeft w:val="0"/>
      <w:marRight w:val="0"/>
      <w:marTop w:val="0"/>
      <w:marBottom w:val="0"/>
      <w:divBdr>
        <w:top w:val="none" w:sz="0" w:space="0" w:color="auto"/>
        <w:left w:val="none" w:sz="0" w:space="0" w:color="auto"/>
        <w:bottom w:val="none" w:sz="0" w:space="0" w:color="auto"/>
        <w:right w:val="none" w:sz="0" w:space="0" w:color="auto"/>
      </w:divBdr>
    </w:div>
    <w:div w:id="1143424539">
      <w:bodyDiv w:val="1"/>
      <w:marLeft w:val="0"/>
      <w:marRight w:val="0"/>
      <w:marTop w:val="0"/>
      <w:marBottom w:val="0"/>
      <w:divBdr>
        <w:top w:val="none" w:sz="0" w:space="0" w:color="auto"/>
        <w:left w:val="none" w:sz="0" w:space="0" w:color="auto"/>
        <w:bottom w:val="none" w:sz="0" w:space="0" w:color="auto"/>
        <w:right w:val="none" w:sz="0" w:space="0" w:color="auto"/>
      </w:divBdr>
    </w:div>
    <w:div w:id="1143618146">
      <w:bodyDiv w:val="1"/>
      <w:marLeft w:val="0"/>
      <w:marRight w:val="0"/>
      <w:marTop w:val="0"/>
      <w:marBottom w:val="0"/>
      <w:divBdr>
        <w:top w:val="none" w:sz="0" w:space="0" w:color="auto"/>
        <w:left w:val="none" w:sz="0" w:space="0" w:color="auto"/>
        <w:bottom w:val="none" w:sz="0" w:space="0" w:color="auto"/>
        <w:right w:val="none" w:sz="0" w:space="0" w:color="auto"/>
      </w:divBdr>
    </w:div>
    <w:div w:id="1145858506">
      <w:bodyDiv w:val="1"/>
      <w:marLeft w:val="0"/>
      <w:marRight w:val="0"/>
      <w:marTop w:val="0"/>
      <w:marBottom w:val="0"/>
      <w:divBdr>
        <w:top w:val="none" w:sz="0" w:space="0" w:color="auto"/>
        <w:left w:val="none" w:sz="0" w:space="0" w:color="auto"/>
        <w:bottom w:val="none" w:sz="0" w:space="0" w:color="auto"/>
        <w:right w:val="none" w:sz="0" w:space="0" w:color="auto"/>
      </w:divBdr>
    </w:div>
    <w:div w:id="1149327802">
      <w:bodyDiv w:val="1"/>
      <w:marLeft w:val="0"/>
      <w:marRight w:val="0"/>
      <w:marTop w:val="0"/>
      <w:marBottom w:val="0"/>
      <w:divBdr>
        <w:top w:val="none" w:sz="0" w:space="0" w:color="auto"/>
        <w:left w:val="none" w:sz="0" w:space="0" w:color="auto"/>
        <w:bottom w:val="none" w:sz="0" w:space="0" w:color="auto"/>
        <w:right w:val="none" w:sz="0" w:space="0" w:color="auto"/>
      </w:divBdr>
    </w:div>
    <w:div w:id="1149975204">
      <w:bodyDiv w:val="1"/>
      <w:marLeft w:val="0"/>
      <w:marRight w:val="0"/>
      <w:marTop w:val="0"/>
      <w:marBottom w:val="0"/>
      <w:divBdr>
        <w:top w:val="none" w:sz="0" w:space="0" w:color="auto"/>
        <w:left w:val="none" w:sz="0" w:space="0" w:color="auto"/>
        <w:bottom w:val="none" w:sz="0" w:space="0" w:color="auto"/>
        <w:right w:val="none" w:sz="0" w:space="0" w:color="auto"/>
      </w:divBdr>
    </w:div>
    <w:div w:id="1150901137">
      <w:bodyDiv w:val="1"/>
      <w:marLeft w:val="0"/>
      <w:marRight w:val="0"/>
      <w:marTop w:val="0"/>
      <w:marBottom w:val="0"/>
      <w:divBdr>
        <w:top w:val="none" w:sz="0" w:space="0" w:color="auto"/>
        <w:left w:val="none" w:sz="0" w:space="0" w:color="auto"/>
        <w:bottom w:val="none" w:sz="0" w:space="0" w:color="auto"/>
        <w:right w:val="none" w:sz="0" w:space="0" w:color="auto"/>
      </w:divBdr>
    </w:div>
    <w:div w:id="1158496796">
      <w:bodyDiv w:val="1"/>
      <w:marLeft w:val="0"/>
      <w:marRight w:val="0"/>
      <w:marTop w:val="0"/>
      <w:marBottom w:val="0"/>
      <w:divBdr>
        <w:top w:val="none" w:sz="0" w:space="0" w:color="auto"/>
        <w:left w:val="none" w:sz="0" w:space="0" w:color="auto"/>
        <w:bottom w:val="none" w:sz="0" w:space="0" w:color="auto"/>
        <w:right w:val="none" w:sz="0" w:space="0" w:color="auto"/>
      </w:divBdr>
    </w:div>
    <w:div w:id="1158572706">
      <w:bodyDiv w:val="1"/>
      <w:marLeft w:val="0"/>
      <w:marRight w:val="0"/>
      <w:marTop w:val="0"/>
      <w:marBottom w:val="0"/>
      <w:divBdr>
        <w:top w:val="none" w:sz="0" w:space="0" w:color="auto"/>
        <w:left w:val="none" w:sz="0" w:space="0" w:color="auto"/>
        <w:bottom w:val="none" w:sz="0" w:space="0" w:color="auto"/>
        <w:right w:val="none" w:sz="0" w:space="0" w:color="auto"/>
      </w:divBdr>
    </w:div>
    <w:div w:id="1160972052">
      <w:bodyDiv w:val="1"/>
      <w:marLeft w:val="0"/>
      <w:marRight w:val="0"/>
      <w:marTop w:val="0"/>
      <w:marBottom w:val="0"/>
      <w:divBdr>
        <w:top w:val="none" w:sz="0" w:space="0" w:color="auto"/>
        <w:left w:val="none" w:sz="0" w:space="0" w:color="auto"/>
        <w:bottom w:val="none" w:sz="0" w:space="0" w:color="auto"/>
        <w:right w:val="none" w:sz="0" w:space="0" w:color="auto"/>
      </w:divBdr>
    </w:div>
    <w:div w:id="1161384101">
      <w:bodyDiv w:val="1"/>
      <w:marLeft w:val="0"/>
      <w:marRight w:val="0"/>
      <w:marTop w:val="0"/>
      <w:marBottom w:val="0"/>
      <w:divBdr>
        <w:top w:val="none" w:sz="0" w:space="0" w:color="auto"/>
        <w:left w:val="none" w:sz="0" w:space="0" w:color="auto"/>
        <w:bottom w:val="none" w:sz="0" w:space="0" w:color="auto"/>
        <w:right w:val="none" w:sz="0" w:space="0" w:color="auto"/>
      </w:divBdr>
    </w:div>
    <w:div w:id="1165590454">
      <w:bodyDiv w:val="1"/>
      <w:marLeft w:val="0"/>
      <w:marRight w:val="0"/>
      <w:marTop w:val="0"/>
      <w:marBottom w:val="0"/>
      <w:divBdr>
        <w:top w:val="none" w:sz="0" w:space="0" w:color="auto"/>
        <w:left w:val="none" w:sz="0" w:space="0" w:color="auto"/>
        <w:bottom w:val="none" w:sz="0" w:space="0" w:color="auto"/>
        <w:right w:val="none" w:sz="0" w:space="0" w:color="auto"/>
      </w:divBdr>
    </w:div>
    <w:div w:id="1166241327">
      <w:bodyDiv w:val="1"/>
      <w:marLeft w:val="0"/>
      <w:marRight w:val="0"/>
      <w:marTop w:val="0"/>
      <w:marBottom w:val="0"/>
      <w:divBdr>
        <w:top w:val="none" w:sz="0" w:space="0" w:color="auto"/>
        <w:left w:val="none" w:sz="0" w:space="0" w:color="auto"/>
        <w:bottom w:val="none" w:sz="0" w:space="0" w:color="auto"/>
        <w:right w:val="none" w:sz="0" w:space="0" w:color="auto"/>
      </w:divBdr>
    </w:div>
    <w:div w:id="1167551340">
      <w:bodyDiv w:val="1"/>
      <w:marLeft w:val="0"/>
      <w:marRight w:val="0"/>
      <w:marTop w:val="0"/>
      <w:marBottom w:val="0"/>
      <w:divBdr>
        <w:top w:val="none" w:sz="0" w:space="0" w:color="auto"/>
        <w:left w:val="none" w:sz="0" w:space="0" w:color="auto"/>
        <w:bottom w:val="none" w:sz="0" w:space="0" w:color="auto"/>
        <w:right w:val="none" w:sz="0" w:space="0" w:color="auto"/>
      </w:divBdr>
    </w:div>
    <w:div w:id="1169558775">
      <w:bodyDiv w:val="1"/>
      <w:marLeft w:val="0"/>
      <w:marRight w:val="0"/>
      <w:marTop w:val="0"/>
      <w:marBottom w:val="0"/>
      <w:divBdr>
        <w:top w:val="none" w:sz="0" w:space="0" w:color="auto"/>
        <w:left w:val="none" w:sz="0" w:space="0" w:color="auto"/>
        <w:bottom w:val="none" w:sz="0" w:space="0" w:color="auto"/>
        <w:right w:val="none" w:sz="0" w:space="0" w:color="auto"/>
      </w:divBdr>
    </w:div>
    <w:div w:id="1174876997">
      <w:bodyDiv w:val="1"/>
      <w:marLeft w:val="0"/>
      <w:marRight w:val="0"/>
      <w:marTop w:val="0"/>
      <w:marBottom w:val="0"/>
      <w:divBdr>
        <w:top w:val="none" w:sz="0" w:space="0" w:color="auto"/>
        <w:left w:val="none" w:sz="0" w:space="0" w:color="auto"/>
        <w:bottom w:val="none" w:sz="0" w:space="0" w:color="auto"/>
        <w:right w:val="none" w:sz="0" w:space="0" w:color="auto"/>
      </w:divBdr>
    </w:div>
    <w:div w:id="1174882154">
      <w:bodyDiv w:val="1"/>
      <w:marLeft w:val="0"/>
      <w:marRight w:val="0"/>
      <w:marTop w:val="0"/>
      <w:marBottom w:val="0"/>
      <w:divBdr>
        <w:top w:val="none" w:sz="0" w:space="0" w:color="auto"/>
        <w:left w:val="none" w:sz="0" w:space="0" w:color="auto"/>
        <w:bottom w:val="none" w:sz="0" w:space="0" w:color="auto"/>
        <w:right w:val="none" w:sz="0" w:space="0" w:color="auto"/>
      </w:divBdr>
    </w:div>
    <w:div w:id="1177041242">
      <w:bodyDiv w:val="1"/>
      <w:marLeft w:val="0"/>
      <w:marRight w:val="0"/>
      <w:marTop w:val="0"/>
      <w:marBottom w:val="0"/>
      <w:divBdr>
        <w:top w:val="none" w:sz="0" w:space="0" w:color="auto"/>
        <w:left w:val="none" w:sz="0" w:space="0" w:color="auto"/>
        <w:bottom w:val="none" w:sz="0" w:space="0" w:color="auto"/>
        <w:right w:val="none" w:sz="0" w:space="0" w:color="auto"/>
      </w:divBdr>
    </w:div>
    <w:div w:id="1180392824">
      <w:bodyDiv w:val="1"/>
      <w:marLeft w:val="0"/>
      <w:marRight w:val="0"/>
      <w:marTop w:val="0"/>
      <w:marBottom w:val="0"/>
      <w:divBdr>
        <w:top w:val="none" w:sz="0" w:space="0" w:color="auto"/>
        <w:left w:val="none" w:sz="0" w:space="0" w:color="auto"/>
        <w:bottom w:val="none" w:sz="0" w:space="0" w:color="auto"/>
        <w:right w:val="none" w:sz="0" w:space="0" w:color="auto"/>
      </w:divBdr>
    </w:div>
    <w:div w:id="1187643713">
      <w:bodyDiv w:val="1"/>
      <w:marLeft w:val="0"/>
      <w:marRight w:val="0"/>
      <w:marTop w:val="0"/>
      <w:marBottom w:val="0"/>
      <w:divBdr>
        <w:top w:val="none" w:sz="0" w:space="0" w:color="auto"/>
        <w:left w:val="none" w:sz="0" w:space="0" w:color="auto"/>
        <w:bottom w:val="none" w:sz="0" w:space="0" w:color="auto"/>
        <w:right w:val="none" w:sz="0" w:space="0" w:color="auto"/>
      </w:divBdr>
    </w:div>
    <w:div w:id="1201822105">
      <w:bodyDiv w:val="1"/>
      <w:marLeft w:val="0"/>
      <w:marRight w:val="0"/>
      <w:marTop w:val="0"/>
      <w:marBottom w:val="0"/>
      <w:divBdr>
        <w:top w:val="none" w:sz="0" w:space="0" w:color="auto"/>
        <w:left w:val="none" w:sz="0" w:space="0" w:color="auto"/>
        <w:bottom w:val="none" w:sz="0" w:space="0" w:color="auto"/>
        <w:right w:val="none" w:sz="0" w:space="0" w:color="auto"/>
      </w:divBdr>
    </w:div>
    <w:div w:id="1209074422">
      <w:bodyDiv w:val="1"/>
      <w:marLeft w:val="0"/>
      <w:marRight w:val="0"/>
      <w:marTop w:val="0"/>
      <w:marBottom w:val="0"/>
      <w:divBdr>
        <w:top w:val="none" w:sz="0" w:space="0" w:color="auto"/>
        <w:left w:val="none" w:sz="0" w:space="0" w:color="auto"/>
        <w:bottom w:val="none" w:sz="0" w:space="0" w:color="auto"/>
        <w:right w:val="none" w:sz="0" w:space="0" w:color="auto"/>
      </w:divBdr>
    </w:div>
    <w:div w:id="1211113471">
      <w:bodyDiv w:val="1"/>
      <w:marLeft w:val="0"/>
      <w:marRight w:val="0"/>
      <w:marTop w:val="0"/>
      <w:marBottom w:val="0"/>
      <w:divBdr>
        <w:top w:val="none" w:sz="0" w:space="0" w:color="auto"/>
        <w:left w:val="none" w:sz="0" w:space="0" w:color="auto"/>
        <w:bottom w:val="none" w:sz="0" w:space="0" w:color="auto"/>
        <w:right w:val="none" w:sz="0" w:space="0" w:color="auto"/>
      </w:divBdr>
    </w:div>
    <w:div w:id="1223753946">
      <w:bodyDiv w:val="1"/>
      <w:marLeft w:val="0"/>
      <w:marRight w:val="0"/>
      <w:marTop w:val="0"/>
      <w:marBottom w:val="0"/>
      <w:divBdr>
        <w:top w:val="none" w:sz="0" w:space="0" w:color="auto"/>
        <w:left w:val="none" w:sz="0" w:space="0" w:color="auto"/>
        <w:bottom w:val="none" w:sz="0" w:space="0" w:color="auto"/>
        <w:right w:val="none" w:sz="0" w:space="0" w:color="auto"/>
      </w:divBdr>
    </w:div>
    <w:div w:id="1229150107">
      <w:bodyDiv w:val="1"/>
      <w:marLeft w:val="0"/>
      <w:marRight w:val="0"/>
      <w:marTop w:val="0"/>
      <w:marBottom w:val="0"/>
      <w:divBdr>
        <w:top w:val="none" w:sz="0" w:space="0" w:color="auto"/>
        <w:left w:val="none" w:sz="0" w:space="0" w:color="auto"/>
        <w:bottom w:val="none" w:sz="0" w:space="0" w:color="auto"/>
        <w:right w:val="none" w:sz="0" w:space="0" w:color="auto"/>
      </w:divBdr>
    </w:div>
    <w:div w:id="1229461690">
      <w:bodyDiv w:val="1"/>
      <w:marLeft w:val="0"/>
      <w:marRight w:val="0"/>
      <w:marTop w:val="0"/>
      <w:marBottom w:val="0"/>
      <w:divBdr>
        <w:top w:val="none" w:sz="0" w:space="0" w:color="auto"/>
        <w:left w:val="none" w:sz="0" w:space="0" w:color="auto"/>
        <w:bottom w:val="none" w:sz="0" w:space="0" w:color="auto"/>
        <w:right w:val="none" w:sz="0" w:space="0" w:color="auto"/>
      </w:divBdr>
    </w:div>
    <w:div w:id="1230310024">
      <w:bodyDiv w:val="1"/>
      <w:marLeft w:val="0"/>
      <w:marRight w:val="0"/>
      <w:marTop w:val="0"/>
      <w:marBottom w:val="0"/>
      <w:divBdr>
        <w:top w:val="none" w:sz="0" w:space="0" w:color="auto"/>
        <w:left w:val="none" w:sz="0" w:space="0" w:color="auto"/>
        <w:bottom w:val="none" w:sz="0" w:space="0" w:color="auto"/>
        <w:right w:val="none" w:sz="0" w:space="0" w:color="auto"/>
      </w:divBdr>
    </w:div>
    <w:div w:id="1239095745">
      <w:bodyDiv w:val="1"/>
      <w:marLeft w:val="0"/>
      <w:marRight w:val="0"/>
      <w:marTop w:val="0"/>
      <w:marBottom w:val="0"/>
      <w:divBdr>
        <w:top w:val="none" w:sz="0" w:space="0" w:color="auto"/>
        <w:left w:val="none" w:sz="0" w:space="0" w:color="auto"/>
        <w:bottom w:val="none" w:sz="0" w:space="0" w:color="auto"/>
        <w:right w:val="none" w:sz="0" w:space="0" w:color="auto"/>
      </w:divBdr>
    </w:div>
    <w:div w:id="1241330829">
      <w:bodyDiv w:val="1"/>
      <w:marLeft w:val="0"/>
      <w:marRight w:val="0"/>
      <w:marTop w:val="0"/>
      <w:marBottom w:val="0"/>
      <w:divBdr>
        <w:top w:val="none" w:sz="0" w:space="0" w:color="auto"/>
        <w:left w:val="none" w:sz="0" w:space="0" w:color="auto"/>
        <w:bottom w:val="none" w:sz="0" w:space="0" w:color="auto"/>
        <w:right w:val="none" w:sz="0" w:space="0" w:color="auto"/>
      </w:divBdr>
    </w:div>
    <w:div w:id="1245408729">
      <w:bodyDiv w:val="1"/>
      <w:marLeft w:val="0"/>
      <w:marRight w:val="0"/>
      <w:marTop w:val="0"/>
      <w:marBottom w:val="0"/>
      <w:divBdr>
        <w:top w:val="none" w:sz="0" w:space="0" w:color="auto"/>
        <w:left w:val="none" w:sz="0" w:space="0" w:color="auto"/>
        <w:bottom w:val="none" w:sz="0" w:space="0" w:color="auto"/>
        <w:right w:val="none" w:sz="0" w:space="0" w:color="auto"/>
      </w:divBdr>
    </w:div>
    <w:div w:id="1251352913">
      <w:bodyDiv w:val="1"/>
      <w:marLeft w:val="0"/>
      <w:marRight w:val="0"/>
      <w:marTop w:val="0"/>
      <w:marBottom w:val="0"/>
      <w:divBdr>
        <w:top w:val="none" w:sz="0" w:space="0" w:color="auto"/>
        <w:left w:val="none" w:sz="0" w:space="0" w:color="auto"/>
        <w:bottom w:val="none" w:sz="0" w:space="0" w:color="auto"/>
        <w:right w:val="none" w:sz="0" w:space="0" w:color="auto"/>
      </w:divBdr>
    </w:div>
    <w:div w:id="1253582852">
      <w:bodyDiv w:val="1"/>
      <w:marLeft w:val="0"/>
      <w:marRight w:val="0"/>
      <w:marTop w:val="0"/>
      <w:marBottom w:val="0"/>
      <w:divBdr>
        <w:top w:val="none" w:sz="0" w:space="0" w:color="auto"/>
        <w:left w:val="none" w:sz="0" w:space="0" w:color="auto"/>
        <w:bottom w:val="none" w:sz="0" w:space="0" w:color="auto"/>
        <w:right w:val="none" w:sz="0" w:space="0" w:color="auto"/>
      </w:divBdr>
    </w:div>
    <w:div w:id="1256860994">
      <w:bodyDiv w:val="1"/>
      <w:marLeft w:val="0"/>
      <w:marRight w:val="0"/>
      <w:marTop w:val="0"/>
      <w:marBottom w:val="0"/>
      <w:divBdr>
        <w:top w:val="none" w:sz="0" w:space="0" w:color="auto"/>
        <w:left w:val="none" w:sz="0" w:space="0" w:color="auto"/>
        <w:bottom w:val="none" w:sz="0" w:space="0" w:color="auto"/>
        <w:right w:val="none" w:sz="0" w:space="0" w:color="auto"/>
      </w:divBdr>
    </w:div>
    <w:div w:id="1258517680">
      <w:bodyDiv w:val="1"/>
      <w:marLeft w:val="0"/>
      <w:marRight w:val="0"/>
      <w:marTop w:val="0"/>
      <w:marBottom w:val="0"/>
      <w:divBdr>
        <w:top w:val="none" w:sz="0" w:space="0" w:color="auto"/>
        <w:left w:val="none" w:sz="0" w:space="0" w:color="auto"/>
        <w:bottom w:val="none" w:sz="0" w:space="0" w:color="auto"/>
        <w:right w:val="none" w:sz="0" w:space="0" w:color="auto"/>
      </w:divBdr>
    </w:div>
    <w:div w:id="1259481922">
      <w:bodyDiv w:val="1"/>
      <w:marLeft w:val="0"/>
      <w:marRight w:val="0"/>
      <w:marTop w:val="0"/>
      <w:marBottom w:val="0"/>
      <w:divBdr>
        <w:top w:val="none" w:sz="0" w:space="0" w:color="auto"/>
        <w:left w:val="none" w:sz="0" w:space="0" w:color="auto"/>
        <w:bottom w:val="none" w:sz="0" w:space="0" w:color="auto"/>
        <w:right w:val="none" w:sz="0" w:space="0" w:color="auto"/>
      </w:divBdr>
    </w:div>
    <w:div w:id="1260215042">
      <w:bodyDiv w:val="1"/>
      <w:marLeft w:val="0"/>
      <w:marRight w:val="0"/>
      <w:marTop w:val="0"/>
      <w:marBottom w:val="0"/>
      <w:divBdr>
        <w:top w:val="none" w:sz="0" w:space="0" w:color="auto"/>
        <w:left w:val="none" w:sz="0" w:space="0" w:color="auto"/>
        <w:bottom w:val="none" w:sz="0" w:space="0" w:color="auto"/>
        <w:right w:val="none" w:sz="0" w:space="0" w:color="auto"/>
      </w:divBdr>
    </w:div>
    <w:div w:id="1261724095">
      <w:bodyDiv w:val="1"/>
      <w:marLeft w:val="0"/>
      <w:marRight w:val="0"/>
      <w:marTop w:val="0"/>
      <w:marBottom w:val="0"/>
      <w:divBdr>
        <w:top w:val="none" w:sz="0" w:space="0" w:color="auto"/>
        <w:left w:val="none" w:sz="0" w:space="0" w:color="auto"/>
        <w:bottom w:val="none" w:sz="0" w:space="0" w:color="auto"/>
        <w:right w:val="none" w:sz="0" w:space="0" w:color="auto"/>
      </w:divBdr>
    </w:div>
    <w:div w:id="1266496689">
      <w:bodyDiv w:val="1"/>
      <w:marLeft w:val="0"/>
      <w:marRight w:val="0"/>
      <w:marTop w:val="0"/>
      <w:marBottom w:val="0"/>
      <w:divBdr>
        <w:top w:val="none" w:sz="0" w:space="0" w:color="auto"/>
        <w:left w:val="none" w:sz="0" w:space="0" w:color="auto"/>
        <w:bottom w:val="none" w:sz="0" w:space="0" w:color="auto"/>
        <w:right w:val="none" w:sz="0" w:space="0" w:color="auto"/>
      </w:divBdr>
    </w:div>
    <w:div w:id="1269852482">
      <w:bodyDiv w:val="1"/>
      <w:marLeft w:val="0"/>
      <w:marRight w:val="0"/>
      <w:marTop w:val="0"/>
      <w:marBottom w:val="0"/>
      <w:divBdr>
        <w:top w:val="none" w:sz="0" w:space="0" w:color="auto"/>
        <w:left w:val="none" w:sz="0" w:space="0" w:color="auto"/>
        <w:bottom w:val="none" w:sz="0" w:space="0" w:color="auto"/>
        <w:right w:val="none" w:sz="0" w:space="0" w:color="auto"/>
      </w:divBdr>
    </w:div>
    <w:div w:id="1276643412">
      <w:bodyDiv w:val="1"/>
      <w:marLeft w:val="0"/>
      <w:marRight w:val="0"/>
      <w:marTop w:val="0"/>
      <w:marBottom w:val="0"/>
      <w:divBdr>
        <w:top w:val="none" w:sz="0" w:space="0" w:color="auto"/>
        <w:left w:val="none" w:sz="0" w:space="0" w:color="auto"/>
        <w:bottom w:val="none" w:sz="0" w:space="0" w:color="auto"/>
        <w:right w:val="none" w:sz="0" w:space="0" w:color="auto"/>
      </w:divBdr>
    </w:div>
    <w:div w:id="1277981445">
      <w:bodyDiv w:val="1"/>
      <w:marLeft w:val="0"/>
      <w:marRight w:val="0"/>
      <w:marTop w:val="0"/>
      <w:marBottom w:val="0"/>
      <w:divBdr>
        <w:top w:val="none" w:sz="0" w:space="0" w:color="auto"/>
        <w:left w:val="none" w:sz="0" w:space="0" w:color="auto"/>
        <w:bottom w:val="none" w:sz="0" w:space="0" w:color="auto"/>
        <w:right w:val="none" w:sz="0" w:space="0" w:color="auto"/>
      </w:divBdr>
    </w:div>
    <w:div w:id="1281884974">
      <w:bodyDiv w:val="1"/>
      <w:marLeft w:val="0"/>
      <w:marRight w:val="0"/>
      <w:marTop w:val="0"/>
      <w:marBottom w:val="0"/>
      <w:divBdr>
        <w:top w:val="none" w:sz="0" w:space="0" w:color="auto"/>
        <w:left w:val="none" w:sz="0" w:space="0" w:color="auto"/>
        <w:bottom w:val="none" w:sz="0" w:space="0" w:color="auto"/>
        <w:right w:val="none" w:sz="0" w:space="0" w:color="auto"/>
      </w:divBdr>
    </w:div>
    <w:div w:id="1285503930">
      <w:bodyDiv w:val="1"/>
      <w:marLeft w:val="0"/>
      <w:marRight w:val="0"/>
      <w:marTop w:val="0"/>
      <w:marBottom w:val="0"/>
      <w:divBdr>
        <w:top w:val="none" w:sz="0" w:space="0" w:color="auto"/>
        <w:left w:val="none" w:sz="0" w:space="0" w:color="auto"/>
        <w:bottom w:val="none" w:sz="0" w:space="0" w:color="auto"/>
        <w:right w:val="none" w:sz="0" w:space="0" w:color="auto"/>
      </w:divBdr>
    </w:div>
    <w:div w:id="1286959419">
      <w:bodyDiv w:val="1"/>
      <w:marLeft w:val="0"/>
      <w:marRight w:val="0"/>
      <w:marTop w:val="0"/>
      <w:marBottom w:val="0"/>
      <w:divBdr>
        <w:top w:val="none" w:sz="0" w:space="0" w:color="auto"/>
        <w:left w:val="none" w:sz="0" w:space="0" w:color="auto"/>
        <w:bottom w:val="none" w:sz="0" w:space="0" w:color="auto"/>
        <w:right w:val="none" w:sz="0" w:space="0" w:color="auto"/>
      </w:divBdr>
    </w:div>
    <w:div w:id="1287002709">
      <w:bodyDiv w:val="1"/>
      <w:marLeft w:val="0"/>
      <w:marRight w:val="0"/>
      <w:marTop w:val="0"/>
      <w:marBottom w:val="0"/>
      <w:divBdr>
        <w:top w:val="none" w:sz="0" w:space="0" w:color="auto"/>
        <w:left w:val="none" w:sz="0" w:space="0" w:color="auto"/>
        <w:bottom w:val="none" w:sz="0" w:space="0" w:color="auto"/>
        <w:right w:val="none" w:sz="0" w:space="0" w:color="auto"/>
      </w:divBdr>
    </w:div>
    <w:div w:id="1289047651">
      <w:bodyDiv w:val="1"/>
      <w:marLeft w:val="0"/>
      <w:marRight w:val="0"/>
      <w:marTop w:val="0"/>
      <w:marBottom w:val="0"/>
      <w:divBdr>
        <w:top w:val="none" w:sz="0" w:space="0" w:color="auto"/>
        <w:left w:val="none" w:sz="0" w:space="0" w:color="auto"/>
        <w:bottom w:val="none" w:sz="0" w:space="0" w:color="auto"/>
        <w:right w:val="none" w:sz="0" w:space="0" w:color="auto"/>
      </w:divBdr>
    </w:div>
    <w:div w:id="1296057273">
      <w:bodyDiv w:val="1"/>
      <w:marLeft w:val="0"/>
      <w:marRight w:val="0"/>
      <w:marTop w:val="0"/>
      <w:marBottom w:val="0"/>
      <w:divBdr>
        <w:top w:val="none" w:sz="0" w:space="0" w:color="auto"/>
        <w:left w:val="none" w:sz="0" w:space="0" w:color="auto"/>
        <w:bottom w:val="none" w:sz="0" w:space="0" w:color="auto"/>
        <w:right w:val="none" w:sz="0" w:space="0" w:color="auto"/>
      </w:divBdr>
    </w:div>
    <w:div w:id="1306230052">
      <w:bodyDiv w:val="1"/>
      <w:marLeft w:val="0"/>
      <w:marRight w:val="0"/>
      <w:marTop w:val="0"/>
      <w:marBottom w:val="0"/>
      <w:divBdr>
        <w:top w:val="none" w:sz="0" w:space="0" w:color="auto"/>
        <w:left w:val="none" w:sz="0" w:space="0" w:color="auto"/>
        <w:bottom w:val="none" w:sz="0" w:space="0" w:color="auto"/>
        <w:right w:val="none" w:sz="0" w:space="0" w:color="auto"/>
      </w:divBdr>
    </w:div>
    <w:div w:id="1310280389">
      <w:bodyDiv w:val="1"/>
      <w:marLeft w:val="0"/>
      <w:marRight w:val="0"/>
      <w:marTop w:val="0"/>
      <w:marBottom w:val="0"/>
      <w:divBdr>
        <w:top w:val="none" w:sz="0" w:space="0" w:color="auto"/>
        <w:left w:val="none" w:sz="0" w:space="0" w:color="auto"/>
        <w:bottom w:val="none" w:sz="0" w:space="0" w:color="auto"/>
        <w:right w:val="none" w:sz="0" w:space="0" w:color="auto"/>
      </w:divBdr>
    </w:div>
    <w:div w:id="1325469149">
      <w:bodyDiv w:val="1"/>
      <w:marLeft w:val="0"/>
      <w:marRight w:val="0"/>
      <w:marTop w:val="0"/>
      <w:marBottom w:val="0"/>
      <w:divBdr>
        <w:top w:val="none" w:sz="0" w:space="0" w:color="auto"/>
        <w:left w:val="none" w:sz="0" w:space="0" w:color="auto"/>
        <w:bottom w:val="none" w:sz="0" w:space="0" w:color="auto"/>
        <w:right w:val="none" w:sz="0" w:space="0" w:color="auto"/>
      </w:divBdr>
    </w:div>
    <w:div w:id="1326009702">
      <w:bodyDiv w:val="1"/>
      <w:marLeft w:val="0"/>
      <w:marRight w:val="0"/>
      <w:marTop w:val="0"/>
      <w:marBottom w:val="0"/>
      <w:divBdr>
        <w:top w:val="none" w:sz="0" w:space="0" w:color="auto"/>
        <w:left w:val="none" w:sz="0" w:space="0" w:color="auto"/>
        <w:bottom w:val="none" w:sz="0" w:space="0" w:color="auto"/>
        <w:right w:val="none" w:sz="0" w:space="0" w:color="auto"/>
      </w:divBdr>
    </w:div>
    <w:div w:id="1328483900">
      <w:bodyDiv w:val="1"/>
      <w:marLeft w:val="0"/>
      <w:marRight w:val="0"/>
      <w:marTop w:val="0"/>
      <w:marBottom w:val="0"/>
      <w:divBdr>
        <w:top w:val="none" w:sz="0" w:space="0" w:color="auto"/>
        <w:left w:val="none" w:sz="0" w:space="0" w:color="auto"/>
        <w:bottom w:val="none" w:sz="0" w:space="0" w:color="auto"/>
        <w:right w:val="none" w:sz="0" w:space="0" w:color="auto"/>
      </w:divBdr>
    </w:div>
    <w:div w:id="1331375876">
      <w:bodyDiv w:val="1"/>
      <w:marLeft w:val="0"/>
      <w:marRight w:val="0"/>
      <w:marTop w:val="0"/>
      <w:marBottom w:val="0"/>
      <w:divBdr>
        <w:top w:val="none" w:sz="0" w:space="0" w:color="auto"/>
        <w:left w:val="none" w:sz="0" w:space="0" w:color="auto"/>
        <w:bottom w:val="none" w:sz="0" w:space="0" w:color="auto"/>
        <w:right w:val="none" w:sz="0" w:space="0" w:color="auto"/>
      </w:divBdr>
    </w:div>
    <w:div w:id="1335262126">
      <w:bodyDiv w:val="1"/>
      <w:marLeft w:val="0"/>
      <w:marRight w:val="0"/>
      <w:marTop w:val="0"/>
      <w:marBottom w:val="0"/>
      <w:divBdr>
        <w:top w:val="none" w:sz="0" w:space="0" w:color="auto"/>
        <w:left w:val="none" w:sz="0" w:space="0" w:color="auto"/>
        <w:bottom w:val="none" w:sz="0" w:space="0" w:color="auto"/>
        <w:right w:val="none" w:sz="0" w:space="0" w:color="auto"/>
      </w:divBdr>
    </w:div>
    <w:div w:id="1336033734">
      <w:bodyDiv w:val="1"/>
      <w:marLeft w:val="0"/>
      <w:marRight w:val="0"/>
      <w:marTop w:val="0"/>
      <w:marBottom w:val="0"/>
      <w:divBdr>
        <w:top w:val="none" w:sz="0" w:space="0" w:color="auto"/>
        <w:left w:val="none" w:sz="0" w:space="0" w:color="auto"/>
        <w:bottom w:val="none" w:sz="0" w:space="0" w:color="auto"/>
        <w:right w:val="none" w:sz="0" w:space="0" w:color="auto"/>
      </w:divBdr>
    </w:div>
    <w:div w:id="1338850665">
      <w:bodyDiv w:val="1"/>
      <w:marLeft w:val="0"/>
      <w:marRight w:val="0"/>
      <w:marTop w:val="0"/>
      <w:marBottom w:val="0"/>
      <w:divBdr>
        <w:top w:val="none" w:sz="0" w:space="0" w:color="auto"/>
        <w:left w:val="none" w:sz="0" w:space="0" w:color="auto"/>
        <w:bottom w:val="none" w:sz="0" w:space="0" w:color="auto"/>
        <w:right w:val="none" w:sz="0" w:space="0" w:color="auto"/>
      </w:divBdr>
    </w:div>
    <w:div w:id="1340697614">
      <w:bodyDiv w:val="1"/>
      <w:marLeft w:val="0"/>
      <w:marRight w:val="0"/>
      <w:marTop w:val="0"/>
      <w:marBottom w:val="0"/>
      <w:divBdr>
        <w:top w:val="none" w:sz="0" w:space="0" w:color="auto"/>
        <w:left w:val="none" w:sz="0" w:space="0" w:color="auto"/>
        <w:bottom w:val="none" w:sz="0" w:space="0" w:color="auto"/>
        <w:right w:val="none" w:sz="0" w:space="0" w:color="auto"/>
      </w:divBdr>
    </w:div>
    <w:div w:id="1343388430">
      <w:bodyDiv w:val="1"/>
      <w:marLeft w:val="0"/>
      <w:marRight w:val="0"/>
      <w:marTop w:val="0"/>
      <w:marBottom w:val="0"/>
      <w:divBdr>
        <w:top w:val="none" w:sz="0" w:space="0" w:color="auto"/>
        <w:left w:val="none" w:sz="0" w:space="0" w:color="auto"/>
        <w:bottom w:val="none" w:sz="0" w:space="0" w:color="auto"/>
        <w:right w:val="none" w:sz="0" w:space="0" w:color="auto"/>
      </w:divBdr>
    </w:div>
    <w:div w:id="1343750342">
      <w:bodyDiv w:val="1"/>
      <w:marLeft w:val="0"/>
      <w:marRight w:val="0"/>
      <w:marTop w:val="0"/>
      <w:marBottom w:val="0"/>
      <w:divBdr>
        <w:top w:val="none" w:sz="0" w:space="0" w:color="auto"/>
        <w:left w:val="none" w:sz="0" w:space="0" w:color="auto"/>
        <w:bottom w:val="none" w:sz="0" w:space="0" w:color="auto"/>
        <w:right w:val="none" w:sz="0" w:space="0" w:color="auto"/>
      </w:divBdr>
    </w:div>
    <w:div w:id="1348681516">
      <w:bodyDiv w:val="1"/>
      <w:marLeft w:val="0"/>
      <w:marRight w:val="0"/>
      <w:marTop w:val="0"/>
      <w:marBottom w:val="0"/>
      <w:divBdr>
        <w:top w:val="none" w:sz="0" w:space="0" w:color="auto"/>
        <w:left w:val="none" w:sz="0" w:space="0" w:color="auto"/>
        <w:bottom w:val="none" w:sz="0" w:space="0" w:color="auto"/>
        <w:right w:val="none" w:sz="0" w:space="0" w:color="auto"/>
      </w:divBdr>
    </w:div>
    <w:div w:id="1352800226">
      <w:bodyDiv w:val="1"/>
      <w:marLeft w:val="0"/>
      <w:marRight w:val="0"/>
      <w:marTop w:val="0"/>
      <w:marBottom w:val="0"/>
      <w:divBdr>
        <w:top w:val="none" w:sz="0" w:space="0" w:color="auto"/>
        <w:left w:val="none" w:sz="0" w:space="0" w:color="auto"/>
        <w:bottom w:val="none" w:sz="0" w:space="0" w:color="auto"/>
        <w:right w:val="none" w:sz="0" w:space="0" w:color="auto"/>
      </w:divBdr>
    </w:div>
    <w:div w:id="1357652965">
      <w:bodyDiv w:val="1"/>
      <w:marLeft w:val="0"/>
      <w:marRight w:val="0"/>
      <w:marTop w:val="0"/>
      <w:marBottom w:val="0"/>
      <w:divBdr>
        <w:top w:val="none" w:sz="0" w:space="0" w:color="auto"/>
        <w:left w:val="none" w:sz="0" w:space="0" w:color="auto"/>
        <w:bottom w:val="none" w:sz="0" w:space="0" w:color="auto"/>
        <w:right w:val="none" w:sz="0" w:space="0" w:color="auto"/>
      </w:divBdr>
    </w:div>
    <w:div w:id="1361587042">
      <w:bodyDiv w:val="1"/>
      <w:marLeft w:val="0"/>
      <w:marRight w:val="0"/>
      <w:marTop w:val="0"/>
      <w:marBottom w:val="0"/>
      <w:divBdr>
        <w:top w:val="none" w:sz="0" w:space="0" w:color="auto"/>
        <w:left w:val="none" w:sz="0" w:space="0" w:color="auto"/>
        <w:bottom w:val="none" w:sz="0" w:space="0" w:color="auto"/>
        <w:right w:val="none" w:sz="0" w:space="0" w:color="auto"/>
      </w:divBdr>
    </w:div>
    <w:div w:id="1362319278">
      <w:bodyDiv w:val="1"/>
      <w:marLeft w:val="0"/>
      <w:marRight w:val="0"/>
      <w:marTop w:val="0"/>
      <w:marBottom w:val="0"/>
      <w:divBdr>
        <w:top w:val="none" w:sz="0" w:space="0" w:color="auto"/>
        <w:left w:val="none" w:sz="0" w:space="0" w:color="auto"/>
        <w:bottom w:val="none" w:sz="0" w:space="0" w:color="auto"/>
        <w:right w:val="none" w:sz="0" w:space="0" w:color="auto"/>
      </w:divBdr>
    </w:div>
    <w:div w:id="1362441064">
      <w:bodyDiv w:val="1"/>
      <w:marLeft w:val="0"/>
      <w:marRight w:val="0"/>
      <w:marTop w:val="0"/>
      <w:marBottom w:val="0"/>
      <w:divBdr>
        <w:top w:val="none" w:sz="0" w:space="0" w:color="auto"/>
        <w:left w:val="none" w:sz="0" w:space="0" w:color="auto"/>
        <w:bottom w:val="none" w:sz="0" w:space="0" w:color="auto"/>
        <w:right w:val="none" w:sz="0" w:space="0" w:color="auto"/>
      </w:divBdr>
    </w:div>
    <w:div w:id="1362897064">
      <w:bodyDiv w:val="1"/>
      <w:marLeft w:val="0"/>
      <w:marRight w:val="0"/>
      <w:marTop w:val="0"/>
      <w:marBottom w:val="0"/>
      <w:divBdr>
        <w:top w:val="none" w:sz="0" w:space="0" w:color="auto"/>
        <w:left w:val="none" w:sz="0" w:space="0" w:color="auto"/>
        <w:bottom w:val="none" w:sz="0" w:space="0" w:color="auto"/>
        <w:right w:val="none" w:sz="0" w:space="0" w:color="auto"/>
      </w:divBdr>
    </w:div>
    <w:div w:id="1363241326">
      <w:bodyDiv w:val="1"/>
      <w:marLeft w:val="0"/>
      <w:marRight w:val="0"/>
      <w:marTop w:val="0"/>
      <w:marBottom w:val="0"/>
      <w:divBdr>
        <w:top w:val="none" w:sz="0" w:space="0" w:color="auto"/>
        <w:left w:val="none" w:sz="0" w:space="0" w:color="auto"/>
        <w:bottom w:val="none" w:sz="0" w:space="0" w:color="auto"/>
        <w:right w:val="none" w:sz="0" w:space="0" w:color="auto"/>
      </w:divBdr>
    </w:div>
    <w:div w:id="1366758994">
      <w:bodyDiv w:val="1"/>
      <w:marLeft w:val="0"/>
      <w:marRight w:val="0"/>
      <w:marTop w:val="0"/>
      <w:marBottom w:val="0"/>
      <w:divBdr>
        <w:top w:val="none" w:sz="0" w:space="0" w:color="auto"/>
        <w:left w:val="none" w:sz="0" w:space="0" w:color="auto"/>
        <w:bottom w:val="none" w:sz="0" w:space="0" w:color="auto"/>
        <w:right w:val="none" w:sz="0" w:space="0" w:color="auto"/>
      </w:divBdr>
    </w:div>
    <w:div w:id="1368096671">
      <w:bodyDiv w:val="1"/>
      <w:marLeft w:val="0"/>
      <w:marRight w:val="0"/>
      <w:marTop w:val="0"/>
      <w:marBottom w:val="0"/>
      <w:divBdr>
        <w:top w:val="none" w:sz="0" w:space="0" w:color="auto"/>
        <w:left w:val="none" w:sz="0" w:space="0" w:color="auto"/>
        <w:bottom w:val="none" w:sz="0" w:space="0" w:color="auto"/>
        <w:right w:val="none" w:sz="0" w:space="0" w:color="auto"/>
      </w:divBdr>
    </w:div>
    <w:div w:id="1372000770">
      <w:bodyDiv w:val="1"/>
      <w:marLeft w:val="0"/>
      <w:marRight w:val="0"/>
      <w:marTop w:val="0"/>
      <w:marBottom w:val="0"/>
      <w:divBdr>
        <w:top w:val="none" w:sz="0" w:space="0" w:color="auto"/>
        <w:left w:val="none" w:sz="0" w:space="0" w:color="auto"/>
        <w:bottom w:val="none" w:sz="0" w:space="0" w:color="auto"/>
        <w:right w:val="none" w:sz="0" w:space="0" w:color="auto"/>
      </w:divBdr>
    </w:div>
    <w:div w:id="1373963739">
      <w:bodyDiv w:val="1"/>
      <w:marLeft w:val="0"/>
      <w:marRight w:val="0"/>
      <w:marTop w:val="0"/>
      <w:marBottom w:val="0"/>
      <w:divBdr>
        <w:top w:val="none" w:sz="0" w:space="0" w:color="auto"/>
        <w:left w:val="none" w:sz="0" w:space="0" w:color="auto"/>
        <w:bottom w:val="none" w:sz="0" w:space="0" w:color="auto"/>
        <w:right w:val="none" w:sz="0" w:space="0" w:color="auto"/>
      </w:divBdr>
    </w:div>
    <w:div w:id="1373994735">
      <w:bodyDiv w:val="1"/>
      <w:marLeft w:val="0"/>
      <w:marRight w:val="0"/>
      <w:marTop w:val="0"/>
      <w:marBottom w:val="0"/>
      <w:divBdr>
        <w:top w:val="none" w:sz="0" w:space="0" w:color="auto"/>
        <w:left w:val="none" w:sz="0" w:space="0" w:color="auto"/>
        <w:bottom w:val="none" w:sz="0" w:space="0" w:color="auto"/>
        <w:right w:val="none" w:sz="0" w:space="0" w:color="auto"/>
      </w:divBdr>
    </w:div>
    <w:div w:id="1374622072">
      <w:bodyDiv w:val="1"/>
      <w:marLeft w:val="0"/>
      <w:marRight w:val="0"/>
      <w:marTop w:val="0"/>
      <w:marBottom w:val="0"/>
      <w:divBdr>
        <w:top w:val="none" w:sz="0" w:space="0" w:color="auto"/>
        <w:left w:val="none" w:sz="0" w:space="0" w:color="auto"/>
        <w:bottom w:val="none" w:sz="0" w:space="0" w:color="auto"/>
        <w:right w:val="none" w:sz="0" w:space="0" w:color="auto"/>
      </w:divBdr>
    </w:div>
    <w:div w:id="1375350881">
      <w:bodyDiv w:val="1"/>
      <w:marLeft w:val="0"/>
      <w:marRight w:val="0"/>
      <w:marTop w:val="0"/>
      <w:marBottom w:val="0"/>
      <w:divBdr>
        <w:top w:val="none" w:sz="0" w:space="0" w:color="auto"/>
        <w:left w:val="none" w:sz="0" w:space="0" w:color="auto"/>
        <w:bottom w:val="none" w:sz="0" w:space="0" w:color="auto"/>
        <w:right w:val="none" w:sz="0" w:space="0" w:color="auto"/>
      </w:divBdr>
    </w:div>
    <w:div w:id="1376587249">
      <w:bodyDiv w:val="1"/>
      <w:marLeft w:val="0"/>
      <w:marRight w:val="0"/>
      <w:marTop w:val="0"/>
      <w:marBottom w:val="0"/>
      <w:divBdr>
        <w:top w:val="none" w:sz="0" w:space="0" w:color="auto"/>
        <w:left w:val="none" w:sz="0" w:space="0" w:color="auto"/>
        <w:bottom w:val="none" w:sz="0" w:space="0" w:color="auto"/>
        <w:right w:val="none" w:sz="0" w:space="0" w:color="auto"/>
      </w:divBdr>
    </w:div>
    <w:div w:id="1377659193">
      <w:bodyDiv w:val="1"/>
      <w:marLeft w:val="0"/>
      <w:marRight w:val="0"/>
      <w:marTop w:val="0"/>
      <w:marBottom w:val="0"/>
      <w:divBdr>
        <w:top w:val="none" w:sz="0" w:space="0" w:color="auto"/>
        <w:left w:val="none" w:sz="0" w:space="0" w:color="auto"/>
        <w:bottom w:val="none" w:sz="0" w:space="0" w:color="auto"/>
        <w:right w:val="none" w:sz="0" w:space="0" w:color="auto"/>
      </w:divBdr>
    </w:div>
    <w:div w:id="1378355685">
      <w:bodyDiv w:val="1"/>
      <w:marLeft w:val="0"/>
      <w:marRight w:val="0"/>
      <w:marTop w:val="0"/>
      <w:marBottom w:val="0"/>
      <w:divBdr>
        <w:top w:val="none" w:sz="0" w:space="0" w:color="auto"/>
        <w:left w:val="none" w:sz="0" w:space="0" w:color="auto"/>
        <w:bottom w:val="none" w:sz="0" w:space="0" w:color="auto"/>
        <w:right w:val="none" w:sz="0" w:space="0" w:color="auto"/>
      </w:divBdr>
    </w:div>
    <w:div w:id="1381592546">
      <w:bodyDiv w:val="1"/>
      <w:marLeft w:val="0"/>
      <w:marRight w:val="0"/>
      <w:marTop w:val="0"/>
      <w:marBottom w:val="0"/>
      <w:divBdr>
        <w:top w:val="none" w:sz="0" w:space="0" w:color="auto"/>
        <w:left w:val="none" w:sz="0" w:space="0" w:color="auto"/>
        <w:bottom w:val="none" w:sz="0" w:space="0" w:color="auto"/>
        <w:right w:val="none" w:sz="0" w:space="0" w:color="auto"/>
      </w:divBdr>
    </w:div>
    <w:div w:id="1382632050">
      <w:bodyDiv w:val="1"/>
      <w:marLeft w:val="0"/>
      <w:marRight w:val="0"/>
      <w:marTop w:val="0"/>
      <w:marBottom w:val="0"/>
      <w:divBdr>
        <w:top w:val="none" w:sz="0" w:space="0" w:color="auto"/>
        <w:left w:val="none" w:sz="0" w:space="0" w:color="auto"/>
        <w:bottom w:val="none" w:sz="0" w:space="0" w:color="auto"/>
        <w:right w:val="none" w:sz="0" w:space="0" w:color="auto"/>
      </w:divBdr>
    </w:div>
    <w:div w:id="1387531844">
      <w:bodyDiv w:val="1"/>
      <w:marLeft w:val="0"/>
      <w:marRight w:val="0"/>
      <w:marTop w:val="0"/>
      <w:marBottom w:val="0"/>
      <w:divBdr>
        <w:top w:val="none" w:sz="0" w:space="0" w:color="auto"/>
        <w:left w:val="none" w:sz="0" w:space="0" w:color="auto"/>
        <w:bottom w:val="none" w:sz="0" w:space="0" w:color="auto"/>
        <w:right w:val="none" w:sz="0" w:space="0" w:color="auto"/>
      </w:divBdr>
    </w:div>
    <w:div w:id="1389887643">
      <w:bodyDiv w:val="1"/>
      <w:marLeft w:val="0"/>
      <w:marRight w:val="0"/>
      <w:marTop w:val="0"/>
      <w:marBottom w:val="0"/>
      <w:divBdr>
        <w:top w:val="none" w:sz="0" w:space="0" w:color="auto"/>
        <w:left w:val="none" w:sz="0" w:space="0" w:color="auto"/>
        <w:bottom w:val="none" w:sz="0" w:space="0" w:color="auto"/>
        <w:right w:val="none" w:sz="0" w:space="0" w:color="auto"/>
      </w:divBdr>
    </w:div>
    <w:div w:id="1390835565">
      <w:bodyDiv w:val="1"/>
      <w:marLeft w:val="0"/>
      <w:marRight w:val="0"/>
      <w:marTop w:val="0"/>
      <w:marBottom w:val="0"/>
      <w:divBdr>
        <w:top w:val="none" w:sz="0" w:space="0" w:color="auto"/>
        <w:left w:val="none" w:sz="0" w:space="0" w:color="auto"/>
        <w:bottom w:val="none" w:sz="0" w:space="0" w:color="auto"/>
        <w:right w:val="none" w:sz="0" w:space="0" w:color="auto"/>
      </w:divBdr>
    </w:div>
    <w:div w:id="1393894931">
      <w:bodyDiv w:val="1"/>
      <w:marLeft w:val="0"/>
      <w:marRight w:val="0"/>
      <w:marTop w:val="0"/>
      <w:marBottom w:val="0"/>
      <w:divBdr>
        <w:top w:val="none" w:sz="0" w:space="0" w:color="auto"/>
        <w:left w:val="none" w:sz="0" w:space="0" w:color="auto"/>
        <w:bottom w:val="none" w:sz="0" w:space="0" w:color="auto"/>
        <w:right w:val="none" w:sz="0" w:space="0" w:color="auto"/>
      </w:divBdr>
    </w:div>
    <w:div w:id="1395348525">
      <w:bodyDiv w:val="1"/>
      <w:marLeft w:val="0"/>
      <w:marRight w:val="0"/>
      <w:marTop w:val="0"/>
      <w:marBottom w:val="0"/>
      <w:divBdr>
        <w:top w:val="none" w:sz="0" w:space="0" w:color="auto"/>
        <w:left w:val="none" w:sz="0" w:space="0" w:color="auto"/>
        <w:bottom w:val="none" w:sz="0" w:space="0" w:color="auto"/>
        <w:right w:val="none" w:sz="0" w:space="0" w:color="auto"/>
      </w:divBdr>
    </w:div>
    <w:div w:id="1395736500">
      <w:bodyDiv w:val="1"/>
      <w:marLeft w:val="0"/>
      <w:marRight w:val="0"/>
      <w:marTop w:val="0"/>
      <w:marBottom w:val="0"/>
      <w:divBdr>
        <w:top w:val="none" w:sz="0" w:space="0" w:color="auto"/>
        <w:left w:val="none" w:sz="0" w:space="0" w:color="auto"/>
        <w:bottom w:val="none" w:sz="0" w:space="0" w:color="auto"/>
        <w:right w:val="none" w:sz="0" w:space="0" w:color="auto"/>
      </w:divBdr>
    </w:div>
    <w:div w:id="1396204323">
      <w:bodyDiv w:val="1"/>
      <w:marLeft w:val="0"/>
      <w:marRight w:val="0"/>
      <w:marTop w:val="0"/>
      <w:marBottom w:val="0"/>
      <w:divBdr>
        <w:top w:val="none" w:sz="0" w:space="0" w:color="auto"/>
        <w:left w:val="none" w:sz="0" w:space="0" w:color="auto"/>
        <w:bottom w:val="none" w:sz="0" w:space="0" w:color="auto"/>
        <w:right w:val="none" w:sz="0" w:space="0" w:color="auto"/>
      </w:divBdr>
    </w:div>
    <w:div w:id="1398086215">
      <w:bodyDiv w:val="1"/>
      <w:marLeft w:val="0"/>
      <w:marRight w:val="0"/>
      <w:marTop w:val="0"/>
      <w:marBottom w:val="0"/>
      <w:divBdr>
        <w:top w:val="none" w:sz="0" w:space="0" w:color="auto"/>
        <w:left w:val="none" w:sz="0" w:space="0" w:color="auto"/>
        <w:bottom w:val="none" w:sz="0" w:space="0" w:color="auto"/>
        <w:right w:val="none" w:sz="0" w:space="0" w:color="auto"/>
      </w:divBdr>
    </w:div>
    <w:div w:id="1402633310">
      <w:bodyDiv w:val="1"/>
      <w:marLeft w:val="0"/>
      <w:marRight w:val="0"/>
      <w:marTop w:val="0"/>
      <w:marBottom w:val="0"/>
      <w:divBdr>
        <w:top w:val="none" w:sz="0" w:space="0" w:color="auto"/>
        <w:left w:val="none" w:sz="0" w:space="0" w:color="auto"/>
        <w:bottom w:val="none" w:sz="0" w:space="0" w:color="auto"/>
        <w:right w:val="none" w:sz="0" w:space="0" w:color="auto"/>
      </w:divBdr>
    </w:div>
    <w:div w:id="1404714238">
      <w:bodyDiv w:val="1"/>
      <w:marLeft w:val="0"/>
      <w:marRight w:val="0"/>
      <w:marTop w:val="0"/>
      <w:marBottom w:val="0"/>
      <w:divBdr>
        <w:top w:val="none" w:sz="0" w:space="0" w:color="auto"/>
        <w:left w:val="none" w:sz="0" w:space="0" w:color="auto"/>
        <w:bottom w:val="none" w:sz="0" w:space="0" w:color="auto"/>
        <w:right w:val="none" w:sz="0" w:space="0" w:color="auto"/>
      </w:divBdr>
    </w:div>
    <w:div w:id="1414738199">
      <w:bodyDiv w:val="1"/>
      <w:marLeft w:val="0"/>
      <w:marRight w:val="0"/>
      <w:marTop w:val="0"/>
      <w:marBottom w:val="0"/>
      <w:divBdr>
        <w:top w:val="none" w:sz="0" w:space="0" w:color="auto"/>
        <w:left w:val="none" w:sz="0" w:space="0" w:color="auto"/>
        <w:bottom w:val="none" w:sz="0" w:space="0" w:color="auto"/>
        <w:right w:val="none" w:sz="0" w:space="0" w:color="auto"/>
      </w:divBdr>
    </w:div>
    <w:div w:id="1416168754">
      <w:bodyDiv w:val="1"/>
      <w:marLeft w:val="0"/>
      <w:marRight w:val="0"/>
      <w:marTop w:val="0"/>
      <w:marBottom w:val="0"/>
      <w:divBdr>
        <w:top w:val="none" w:sz="0" w:space="0" w:color="auto"/>
        <w:left w:val="none" w:sz="0" w:space="0" w:color="auto"/>
        <w:bottom w:val="none" w:sz="0" w:space="0" w:color="auto"/>
        <w:right w:val="none" w:sz="0" w:space="0" w:color="auto"/>
      </w:divBdr>
    </w:div>
    <w:div w:id="1417290527">
      <w:bodyDiv w:val="1"/>
      <w:marLeft w:val="0"/>
      <w:marRight w:val="0"/>
      <w:marTop w:val="0"/>
      <w:marBottom w:val="0"/>
      <w:divBdr>
        <w:top w:val="none" w:sz="0" w:space="0" w:color="auto"/>
        <w:left w:val="none" w:sz="0" w:space="0" w:color="auto"/>
        <w:bottom w:val="none" w:sz="0" w:space="0" w:color="auto"/>
        <w:right w:val="none" w:sz="0" w:space="0" w:color="auto"/>
      </w:divBdr>
    </w:div>
    <w:div w:id="1417291180">
      <w:bodyDiv w:val="1"/>
      <w:marLeft w:val="0"/>
      <w:marRight w:val="0"/>
      <w:marTop w:val="0"/>
      <w:marBottom w:val="0"/>
      <w:divBdr>
        <w:top w:val="none" w:sz="0" w:space="0" w:color="auto"/>
        <w:left w:val="none" w:sz="0" w:space="0" w:color="auto"/>
        <w:bottom w:val="none" w:sz="0" w:space="0" w:color="auto"/>
        <w:right w:val="none" w:sz="0" w:space="0" w:color="auto"/>
      </w:divBdr>
    </w:div>
    <w:div w:id="1422682285">
      <w:bodyDiv w:val="1"/>
      <w:marLeft w:val="0"/>
      <w:marRight w:val="0"/>
      <w:marTop w:val="0"/>
      <w:marBottom w:val="0"/>
      <w:divBdr>
        <w:top w:val="none" w:sz="0" w:space="0" w:color="auto"/>
        <w:left w:val="none" w:sz="0" w:space="0" w:color="auto"/>
        <w:bottom w:val="none" w:sz="0" w:space="0" w:color="auto"/>
        <w:right w:val="none" w:sz="0" w:space="0" w:color="auto"/>
      </w:divBdr>
    </w:div>
    <w:div w:id="1423650792">
      <w:bodyDiv w:val="1"/>
      <w:marLeft w:val="0"/>
      <w:marRight w:val="0"/>
      <w:marTop w:val="0"/>
      <w:marBottom w:val="0"/>
      <w:divBdr>
        <w:top w:val="none" w:sz="0" w:space="0" w:color="auto"/>
        <w:left w:val="none" w:sz="0" w:space="0" w:color="auto"/>
        <w:bottom w:val="none" w:sz="0" w:space="0" w:color="auto"/>
        <w:right w:val="none" w:sz="0" w:space="0" w:color="auto"/>
      </w:divBdr>
    </w:div>
    <w:div w:id="1432510668">
      <w:bodyDiv w:val="1"/>
      <w:marLeft w:val="0"/>
      <w:marRight w:val="0"/>
      <w:marTop w:val="0"/>
      <w:marBottom w:val="0"/>
      <w:divBdr>
        <w:top w:val="none" w:sz="0" w:space="0" w:color="auto"/>
        <w:left w:val="none" w:sz="0" w:space="0" w:color="auto"/>
        <w:bottom w:val="none" w:sz="0" w:space="0" w:color="auto"/>
        <w:right w:val="none" w:sz="0" w:space="0" w:color="auto"/>
      </w:divBdr>
    </w:div>
    <w:div w:id="1432972944">
      <w:bodyDiv w:val="1"/>
      <w:marLeft w:val="0"/>
      <w:marRight w:val="0"/>
      <w:marTop w:val="0"/>
      <w:marBottom w:val="0"/>
      <w:divBdr>
        <w:top w:val="none" w:sz="0" w:space="0" w:color="auto"/>
        <w:left w:val="none" w:sz="0" w:space="0" w:color="auto"/>
        <w:bottom w:val="none" w:sz="0" w:space="0" w:color="auto"/>
        <w:right w:val="none" w:sz="0" w:space="0" w:color="auto"/>
      </w:divBdr>
    </w:div>
    <w:div w:id="1433354791">
      <w:bodyDiv w:val="1"/>
      <w:marLeft w:val="0"/>
      <w:marRight w:val="0"/>
      <w:marTop w:val="0"/>
      <w:marBottom w:val="0"/>
      <w:divBdr>
        <w:top w:val="none" w:sz="0" w:space="0" w:color="auto"/>
        <w:left w:val="none" w:sz="0" w:space="0" w:color="auto"/>
        <w:bottom w:val="none" w:sz="0" w:space="0" w:color="auto"/>
        <w:right w:val="none" w:sz="0" w:space="0" w:color="auto"/>
      </w:divBdr>
    </w:div>
    <w:div w:id="1435399771">
      <w:bodyDiv w:val="1"/>
      <w:marLeft w:val="0"/>
      <w:marRight w:val="0"/>
      <w:marTop w:val="0"/>
      <w:marBottom w:val="0"/>
      <w:divBdr>
        <w:top w:val="none" w:sz="0" w:space="0" w:color="auto"/>
        <w:left w:val="none" w:sz="0" w:space="0" w:color="auto"/>
        <w:bottom w:val="none" w:sz="0" w:space="0" w:color="auto"/>
        <w:right w:val="none" w:sz="0" w:space="0" w:color="auto"/>
      </w:divBdr>
    </w:div>
    <w:div w:id="1440179865">
      <w:bodyDiv w:val="1"/>
      <w:marLeft w:val="0"/>
      <w:marRight w:val="0"/>
      <w:marTop w:val="0"/>
      <w:marBottom w:val="0"/>
      <w:divBdr>
        <w:top w:val="none" w:sz="0" w:space="0" w:color="auto"/>
        <w:left w:val="none" w:sz="0" w:space="0" w:color="auto"/>
        <w:bottom w:val="none" w:sz="0" w:space="0" w:color="auto"/>
        <w:right w:val="none" w:sz="0" w:space="0" w:color="auto"/>
      </w:divBdr>
    </w:div>
    <w:div w:id="1441531922">
      <w:bodyDiv w:val="1"/>
      <w:marLeft w:val="0"/>
      <w:marRight w:val="0"/>
      <w:marTop w:val="0"/>
      <w:marBottom w:val="0"/>
      <w:divBdr>
        <w:top w:val="none" w:sz="0" w:space="0" w:color="auto"/>
        <w:left w:val="none" w:sz="0" w:space="0" w:color="auto"/>
        <w:bottom w:val="none" w:sz="0" w:space="0" w:color="auto"/>
        <w:right w:val="none" w:sz="0" w:space="0" w:color="auto"/>
      </w:divBdr>
    </w:div>
    <w:div w:id="1444837875">
      <w:bodyDiv w:val="1"/>
      <w:marLeft w:val="0"/>
      <w:marRight w:val="0"/>
      <w:marTop w:val="0"/>
      <w:marBottom w:val="0"/>
      <w:divBdr>
        <w:top w:val="none" w:sz="0" w:space="0" w:color="auto"/>
        <w:left w:val="none" w:sz="0" w:space="0" w:color="auto"/>
        <w:bottom w:val="none" w:sz="0" w:space="0" w:color="auto"/>
        <w:right w:val="none" w:sz="0" w:space="0" w:color="auto"/>
      </w:divBdr>
    </w:div>
    <w:div w:id="1444838157">
      <w:bodyDiv w:val="1"/>
      <w:marLeft w:val="0"/>
      <w:marRight w:val="0"/>
      <w:marTop w:val="0"/>
      <w:marBottom w:val="0"/>
      <w:divBdr>
        <w:top w:val="none" w:sz="0" w:space="0" w:color="auto"/>
        <w:left w:val="none" w:sz="0" w:space="0" w:color="auto"/>
        <w:bottom w:val="none" w:sz="0" w:space="0" w:color="auto"/>
        <w:right w:val="none" w:sz="0" w:space="0" w:color="auto"/>
      </w:divBdr>
    </w:div>
    <w:div w:id="1446995362">
      <w:bodyDiv w:val="1"/>
      <w:marLeft w:val="0"/>
      <w:marRight w:val="0"/>
      <w:marTop w:val="0"/>
      <w:marBottom w:val="0"/>
      <w:divBdr>
        <w:top w:val="none" w:sz="0" w:space="0" w:color="auto"/>
        <w:left w:val="none" w:sz="0" w:space="0" w:color="auto"/>
        <w:bottom w:val="none" w:sz="0" w:space="0" w:color="auto"/>
        <w:right w:val="none" w:sz="0" w:space="0" w:color="auto"/>
      </w:divBdr>
    </w:div>
    <w:div w:id="1448819757">
      <w:bodyDiv w:val="1"/>
      <w:marLeft w:val="0"/>
      <w:marRight w:val="0"/>
      <w:marTop w:val="0"/>
      <w:marBottom w:val="0"/>
      <w:divBdr>
        <w:top w:val="none" w:sz="0" w:space="0" w:color="auto"/>
        <w:left w:val="none" w:sz="0" w:space="0" w:color="auto"/>
        <w:bottom w:val="none" w:sz="0" w:space="0" w:color="auto"/>
        <w:right w:val="none" w:sz="0" w:space="0" w:color="auto"/>
      </w:divBdr>
    </w:div>
    <w:div w:id="1450470368">
      <w:bodyDiv w:val="1"/>
      <w:marLeft w:val="0"/>
      <w:marRight w:val="0"/>
      <w:marTop w:val="0"/>
      <w:marBottom w:val="0"/>
      <w:divBdr>
        <w:top w:val="none" w:sz="0" w:space="0" w:color="auto"/>
        <w:left w:val="none" w:sz="0" w:space="0" w:color="auto"/>
        <w:bottom w:val="none" w:sz="0" w:space="0" w:color="auto"/>
        <w:right w:val="none" w:sz="0" w:space="0" w:color="auto"/>
      </w:divBdr>
    </w:div>
    <w:div w:id="1450857720">
      <w:bodyDiv w:val="1"/>
      <w:marLeft w:val="0"/>
      <w:marRight w:val="0"/>
      <w:marTop w:val="0"/>
      <w:marBottom w:val="0"/>
      <w:divBdr>
        <w:top w:val="none" w:sz="0" w:space="0" w:color="auto"/>
        <w:left w:val="none" w:sz="0" w:space="0" w:color="auto"/>
        <w:bottom w:val="none" w:sz="0" w:space="0" w:color="auto"/>
        <w:right w:val="none" w:sz="0" w:space="0" w:color="auto"/>
      </w:divBdr>
    </w:div>
    <w:div w:id="1452015708">
      <w:bodyDiv w:val="1"/>
      <w:marLeft w:val="0"/>
      <w:marRight w:val="0"/>
      <w:marTop w:val="0"/>
      <w:marBottom w:val="0"/>
      <w:divBdr>
        <w:top w:val="none" w:sz="0" w:space="0" w:color="auto"/>
        <w:left w:val="none" w:sz="0" w:space="0" w:color="auto"/>
        <w:bottom w:val="none" w:sz="0" w:space="0" w:color="auto"/>
        <w:right w:val="none" w:sz="0" w:space="0" w:color="auto"/>
      </w:divBdr>
    </w:div>
    <w:div w:id="1454909061">
      <w:bodyDiv w:val="1"/>
      <w:marLeft w:val="0"/>
      <w:marRight w:val="0"/>
      <w:marTop w:val="0"/>
      <w:marBottom w:val="0"/>
      <w:divBdr>
        <w:top w:val="none" w:sz="0" w:space="0" w:color="auto"/>
        <w:left w:val="none" w:sz="0" w:space="0" w:color="auto"/>
        <w:bottom w:val="none" w:sz="0" w:space="0" w:color="auto"/>
        <w:right w:val="none" w:sz="0" w:space="0" w:color="auto"/>
      </w:divBdr>
    </w:div>
    <w:div w:id="1456018093">
      <w:bodyDiv w:val="1"/>
      <w:marLeft w:val="0"/>
      <w:marRight w:val="0"/>
      <w:marTop w:val="0"/>
      <w:marBottom w:val="0"/>
      <w:divBdr>
        <w:top w:val="none" w:sz="0" w:space="0" w:color="auto"/>
        <w:left w:val="none" w:sz="0" w:space="0" w:color="auto"/>
        <w:bottom w:val="none" w:sz="0" w:space="0" w:color="auto"/>
        <w:right w:val="none" w:sz="0" w:space="0" w:color="auto"/>
      </w:divBdr>
    </w:div>
    <w:div w:id="1456824029">
      <w:bodyDiv w:val="1"/>
      <w:marLeft w:val="0"/>
      <w:marRight w:val="0"/>
      <w:marTop w:val="0"/>
      <w:marBottom w:val="0"/>
      <w:divBdr>
        <w:top w:val="none" w:sz="0" w:space="0" w:color="auto"/>
        <w:left w:val="none" w:sz="0" w:space="0" w:color="auto"/>
        <w:bottom w:val="none" w:sz="0" w:space="0" w:color="auto"/>
        <w:right w:val="none" w:sz="0" w:space="0" w:color="auto"/>
      </w:divBdr>
    </w:div>
    <w:div w:id="1457026591">
      <w:bodyDiv w:val="1"/>
      <w:marLeft w:val="0"/>
      <w:marRight w:val="0"/>
      <w:marTop w:val="0"/>
      <w:marBottom w:val="0"/>
      <w:divBdr>
        <w:top w:val="none" w:sz="0" w:space="0" w:color="auto"/>
        <w:left w:val="none" w:sz="0" w:space="0" w:color="auto"/>
        <w:bottom w:val="none" w:sz="0" w:space="0" w:color="auto"/>
        <w:right w:val="none" w:sz="0" w:space="0" w:color="auto"/>
      </w:divBdr>
    </w:div>
    <w:div w:id="1458648473">
      <w:bodyDiv w:val="1"/>
      <w:marLeft w:val="0"/>
      <w:marRight w:val="0"/>
      <w:marTop w:val="0"/>
      <w:marBottom w:val="0"/>
      <w:divBdr>
        <w:top w:val="none" w:sz="0" w:space="0" w:color="auto"/>
        <w:left w:val="none" w:sz="0" w:space="0" w:color="auto"/>
        <w:bottom w:val="none" w:sz="0" w:space="0" w:color="auto"/>
        <w:right w:val="none" w:sz="0" w:space="0" w:color="auto"/>
      </w:divBdr>
    </w:div>
    <w:div w:id="1462381194">
      <w:bodyDiv w:val="1"/>
      <w:marLeft w:val="0"/>
      <w:marRight w:val="0"/>
      <w:marTop w:val="0"/>
      <w:marBottom w:val="0"/>
      <w:divBdr>
        <w:top w:val="none" w:sz="0" w:space="0" w:color="auto"/>
        <w:left w:val="none" w:sz="0" w:space="0" w:color="auto"/>
        <w:bottom w:val="none" w:sz="0" w:space="0" w:color="auto"/>
        <w:right w:val="none" w:sz="0" w:space="0" w:color="auto"/>
      </w:divBdr>
    </w:div>
    <w:div w:id="1467891875">
      <w:bodyDiv w:val="1"/>
      <w:marLeft w:val="0"/>
      <w:marRight w:val="0"/>
      <w:marTop w:val="0"/>
      <w:marBottom w:val="0"/>
      <w:divBdr>
        <w:top w:val="none" w:sz="0" w:space="0" w:color="auto"/>
        <w:left w:val="none" w:sz="0" w:space="0" w:color="auto"/>
        <w:bottom w:val="none" w:sz="0" w:space="0" w:color="auto"/>
        <w:right w:val="none" w:sz="0" w:space="0" w:color="auto"/>
      </w:divBdr>
    </w:div>
    <w:div w:id="1470785393">
      <w:bodyDiv w:val="1"/>
      <w:marLeft w:val="0"/>
      <w:marRight w:val="0"/>
      <w:marTop w:val="0"/>
      <w:marBottom w:val="0"/>
      <w:divBdr>
        <w:top w:val="none" w:sz="0" w:space="0" w:color="auto"/>
        <w:left w:val="none" w:sz="0" w:space="0" w:color="auto"/>
        <w:bottom w:val="none" w:sz="0" w:space="0" w:color="auto"/>
        <w:right w:val="none" w:sz="0" w:space="0" w:color="auto"/>
      </w:divBdr>
    </w:div>
    <w:div w:id="1471021964">
      <w:bodyDiv w:val="1"/>
      <w:marLeft w:val="0"/>
      <w:marRight w:val="0"/>
      <w:marTop w:val="0"/>
      <w:marBottom w:val="0"/>
      <w:divBdr>
        <w:top w:val="none" w:sz="0" w:space="0" w:color="auto"/>
        <w:left w:val="none" w:sz="0" w:space="0" w:color="auto"/>
        <w:bottom w:val="none" w:sz="0" w:space="0" w:color="auto"/>
        <w:right w:val="none" w:sz="0" w:space="0" w:color="auto"/>
      </w:divBdr>
    </w:div>
    <w:div w:id="1472478174">
      <w:bodyDiv w:val="1"/>
      <w:marLeft w:val="0"/>
      <w:marRight w:val="0"/>
      <w:marTop w:val="0"/>
      <w:marBottom w:val="0"/>
      <w:divBdr>
        <w:top w:val="none" w:sz="0" w:space="0" w:color="auto"/>
        <w:left w:val="none" w:sz="0" w:space="0" w:color="auto"/>
        <w:bottom w:val="none" w:sz="0" w:space="0" w:color="auto"/>
        <w:right w:val="none" w:sz="0" w:space="0" w:color="auto"/>
      </w:divBdr>
    </w:div>
    <w:div w:id="1474365851">
      <w:bodyDiv w:val="1"/>
      <w:marLeft w:val="0"/>
      <w:marRight w:val="0"/>
      <w:marTop w:val="0"/>
      <w:marBottom w:val="0"/>
      <w:divBdr>
        <w:top w:val="none" w:sz="0" w:space="0" w:color="auto"/>
        <w:left w:val="none" w:sz="0" w:space="0" w:color="auto"/>
        <w:bottom w:val="none" w:sz="0" w:space="0" w:color="auto"/>
        <w:right w:val="none" w:sz="0" w:space="0" w:color="auto"/>
      </w:divBdr>
    </w:div>
    <w:div w:id="1476293114">
      <w:bodyDiv w:val="1"/>
      <w:marLeft w:val="0"/>
      <w:marRight w:val="0"/>
      <w:marTop w:val="0"/>
      <w:marBottom w:val="0"/>
      <w:divBdr>
        <w:top w:val="none" w:sz="0" w:space="0" w:color="auto"/>
        <w:left w:val="none" w:sz="0" w:space="0" w:color="auto"/>
        <w:bottom w:val="none" w:sz="0" w:space="0" w:color="auto"/>
        <w:right w:val="none" w:sz="0" w:space="0" w:color="auto"/>
      </w:divBdr>
    </w:div>
    <w:div w:id="1478034576">
      <w:bodyDiv w:val="1"/>
      <w:marLeft w:val="0"/>
      <w:marRight w:val="0"/>
      <w:marTop w:val="0"/>
      <w:marBottom w:val="0"/>
      <w:divBdr>
        <w:top w:val="none" w:sz="0" w:space="0" w:color="auto"/>
        <w:left w:val="none" w:sz="0" w:space="0" w:color="auto"/>
        <w:bottom w:val="none" w:sz="0" w:space="0" w:color="auto"/>
        <w:right w:val="none" w:sz="0" w:space="0" w:color="auto"/>
      </w:divBdr>
    </w:div>
    <w:div w:id="1479222861">
      <w:bodyDiv w:val="1"/>
      <w:marLeft w:val="0"/>
      <w:marRight w:val="0"/>
      <w:marTop w:val="0"/>
      <w:marBottom w:val="0"/>
      <w:divBdr>
        <w:top w:val="none" w:sz="0" w:space="0" w:color="auto"/>
        <w:left w:val="none" w:sz="0" w:space="0" w:color="auto"/>
        <w:bottom w:val="none" w:sz="0" w:space="0" w:color="auto"/>
        <w:right w:val="none" w:sz="0" w:space="0" w:color="auto"/>
      </w:divBdr>
    </w:div>
    <w:div w:id="1490368528">
      <w:bodyDiv w:val="1"/>
      <w:marLeft w:val="0"/>
      <w:marRight w:val="0"/>
      <w:marTop w:val="0"/>
      <w:marBottom w:val="0"/>
      <w:divBdr>
        <w:top w:val="none" w:sz="0" w:space="0" w:color="auto"/>
        <w:left w:val="none" w:sz="0" w:space="0" w:color="auto"/>
        <w:bottom w:val="none" w:sz="0" w:space="0" w:color="auto"/>
        <w:right w:val="none" w:sz="0" w:space="0" w:color="auto"/>
      </w:divBdr>
    </w:div>
    <w:div w:id="1491362455">
      <w:bodyDiv w:val="1"/>
      <w:marLeft w:val="0"/>
      <w:marRight w:val="0"/>
      <w:marTop w:val="0"/>
      <w:marBottom w:val="0"/>
      <w:divBdr>
        <w:top w:val="none" w:sz="0" w:space="0" w:color="auto"/>
        <w:left w:val="none" w:sz="0" w:space="0" w:color="auto"/>
        <w:bottom w:val="none" w:sz="0" w:space="0" w:color="auto"/>
        <w:right w:val="none" w:sz="0" w:space="0" w:color="auto"/>
      </w:divBdr>
    </w:div>
    <w:div w:id="1491826133">
      <w:bodyDiv w:val="1"/>
      <w:marLeft w:val="0"/>
      <w:marRight w:val="0"/>
      <w:marTop w:val="0"/>
      <w:marBottom w:val="0"/>
      <w:divBdr>
        <w:top w:val="none" w:sz="0" w:space="0" w:color="auto"/>
        <w:left w:val="none" w:sz="0" w:space="0" w:color="auto"/>
        <w:bottom w:val="none" w:sz="0" w:space="0" w:color="auto"/>
        <w:right w:val="none" w:sz="0" w:space="0" w:color="auto"/>
      </w:divBdr>
    </w:div>
    <w:div w:id="1496265516">
      <w:bodyDiv w:val="1"/>
      <w:marLeft w:val="0"/>
      <w:marRight w:val="0"/>
      <w:marTop w:val="0"/>
      <w:marBottom w:val="0"/>
      <w:divBdr>
        <w:top w:val="none" w:sz="0" w:space="0" w:color="auto"/>
        <w:left w:val="none" w:sz="0" w:space="0" w:color="auto"/>
        <w:bottom w:val="none" w:sz="0" w:space="0" w:color="auto"/>
        <w:right w:val="none" w:sz="0" w:space="0" w:color="auto"/>
      </w:divBdr>
    </w:div>
    <w:div w:id="1496917991">
      <w:bodyDiv w:val="1"/>
      <w:marLeft w:val="0"/>
      <w:marRight w:val="0"/>
      <w:marTop w:val="0"/>
      <w:marBottom w:val="0"/>
      <w:divBdr>
        <w:top w:val="none" w:sz="0" w:space="0" w:color="auto"/>
        <w:left w:val="none" w:sz="0" w:space="0" w:color="auto"/>
        <w:bottom w:val="none" w:sz="0" w:space="0" w:color="auto"/>
        <w:right w:val="none" w:sz="0" w:space="0" w:color="auto"/>
      </w:divBdr>
    </w:div>
    <w:div w:id="1497528632">
      <w:bodyDiv w:val="1"/>
      <w:marLeft w:val="0"/>
      <w:marRight w:val="0"/>
      <w:marTop w:val="0"/>
      <w:marBottom w:val="0"/>
      <w:divBdr>
        <w:top w:val="none" w:sz="0" w:space="0" w:color="auto"/>
        <w:left w:val="none" w:sz="0" w:space="0" w:color="auto"/>
        <w:bottom w:val="none" w:sz="0" w:space="0" w:color="auto"/>
        <w:right w:val="none" w:sz="0" w:space="0" w:color="auto"/>
      </w:divBdr>
    </w:div>
    <w:div w:id="1498226986">
      <w:bodyDiv w:val="1"/>
      <w:marLeft w:val="0"/>
      <w:marRight w:val="0"/>
      <w:marTop w:val="0"/>
      <w:marBottom w:val="0"/>
      <w:divBdr>
        <w:top w:val="none" w:sz="0" w:space="0" w:color="auto"/>
        <w:left w:val="none" w:sz="0" w:space="0" w:color="auto"/>
        <w:bottom w:val="none" w:sz="0" w:space="0" w:color="auto"/>
        <w:right w:val="none" w:sz="0" w:space="0" w:color="auto"/>
      </w:divBdr>
    </w:div>
    <w:div w:id="1508130253">
      <w:bodyDiv w:val="1"/>
      <w:marLeft w:val="0"/>
      <w:marRight w:val="0"/>
      <w:marTop w:val="0"/>
      <w:marBottom w:val="0"/>
      <w:divBdr>
        <w:top w:val="none" w:sz="0" w:space="0" w:color="auto"/>
        <w:left w:val="none" w:sz="0" w:space="0" w:color="auto"/>
        <w:bottom w:val="none" w:sz="0" w:space="0" w:color="auto"/>
        <w:right w:val="none" w:sz="0" w:space="0" w:color="auto"/>
      </w:divBdr>
    </w:div>
    <w:div w:id="1514566740">
      <w:bodyDiv w:val="1"/>
      <w:marLeft w:val="0"/>
      <w:marRight w:val="0"/>
      <w:marTop w:val="0"/>
      <w:marBottom w:val="0"/>
      <w:divBdr>
        <w:top w:val="none" w:sz="0" w:space="0" w:color="auto"/>
        <w:left w:val="none" w:sz="0" w:space="0" w:color="auto"/>
        <w:bottom w:val="none" w:sz="0" w:space="0" w:color="auto"/>
        <w:right w:val="none" w:sz="0" w:space="0" w:color="auto"/>
      </w:divBdr>
    </w:div>
    <w:div w:id="1514609513">
      <w:bodyDiv w:val="1"/>
      <w:marLeft w:val="0"/>
      <w:marRight w:val="0"/>
      <w:marTop w:val="0"/>
      <w:marBottom w:val="0"/>
      <w:divBdr>
        <w:top w:val="none" w:sz="0" w:space="0" w:color="auto"/>
        <w:left w:val="none" w:sz="0" w:space="0" w:color="auto"/>
        <w:bottom w:val="none" w:sz="0" w:space="0" w:color="auto"/>
        <w:right w:val="none" w:sz="0" w:space="0" w:color="auto"/>
      </w:divBdr>
    </w:div>
    <w:div w:id="1517228634">
      <w:bodyDiv w:val="1"/>
      <w:marLeft w:val="0"/>
      <w:marRight w:val="0"/>
      <w:marTop w:val="0"/>
      <w:marBottom w:val="0"/>
      <w:divBdr>
        <w:top w:val="none" w:sz="0" w:space="0" w:color="auto"/>
        <w:left w:val="none" w:sz="0" w:space="0" w:color="auto"/>
        <w:bottom w:val="none" w:sz="0" w:space="0" w:color="auto"/>
        <w:right w:val="none" w:sz="0" w:space="0" w:color="auto"/>
      </w:divBdr>
    </w:div>
    <w:div w:id="1517698330">
      <w:bodyDiv w:val="1"/>
      <w:marLeft w:val="0"/>
      <w:marRight w:val="0"/>
      <w:marTop w:val="0"/>
      <w:marBottom w:val="0"/>
      <w:divBdr>
        <w:top w:val="none" w:sz="0" w:space="0" w:color="auto"/>
        <w:left w:val="none" w:sz="0" w:space="0" w:color="auto"/>
        <w:bottom w:val="none" w:sz="0" w:space="0" w:color="auto"/>
        <w:right w:val="none" w:sz="0" w:space="0" w:color="auto"/>
      </w:divBdr>
    </w:div>
    <w:div w:id="1518083459">
      <w:bodyDiv w:val="1"/>
      <w:marLeft w:val="0"/>
      <w:marRight w:val="0"/>
      <w:marTop w:val="0"/>
      <w:marBottom w:val="0"/>
      <w:divBdr>
        <w:top w:val="none" w:sz="0" w:space="0" w:color="auto"/>
        <w:left w:val="none" w:sz="0" w:space="0" w:color="auto"/>
        <w:bottom w:val="none" w:sz="0" w:space="0" w:color="auto"/>
        <w:right w:val="none" w:sz="0" w:space="0" w:color="auto"/>
      </w:divBdr>
    </w:div>
    <w:div w:id="1518420235">
      <w:bodyDiv w:val="1"/>
      <w:marLeft w:val="0"/>
      <w:marRight w:val="0"/>
      <w:marTop w:val="0"/>
      <w:marBottom w:val="0"/>
      <w:divBdr>
        <w:top w:val="none" w:sz="0" w:space="0" w:color="auto"/>
        <w:left w:val="none" w:sz="0" w:space="0" w:color="auto"/>
        <w:bottom w:val="none" w:sz="0" w:space="0" w:color="auto"/>
        <w:right w:val="none" w:sz="0" w:space="0" w:color="auto"/>
      </w:divBdr>
    </w:div>
    <w:div w:id="1519730954">
      <w:bodyDiv w:val="1"/>
      <w:marLeft w:val="0"/>
      <w:marRight w:val="0"/>
      <w:marTop w:val="0"/>
      <w:marBottom w:val="0"/>
      <w:divBdr>
        <w:top w:val="none" w:sz="0" w:space="0" w:color="auto"/>
        <w:left w:val="none" w:sz="0" w:space="0" w:color="auto"/>
        <w:bottom w:val="none" w:sz="0" w:space="0" w:color="auto"/>
        <w:right w:val="none" w:sz="0" w:space="0" w:color="auto"/>
      </w:divBdr>
    </w:div>
    <w:div w:id="1525553729">
      <w:bodyDiv w:val="1"/>
      <w:marLeft w:val="0"/>
      <w:marRight w:val="0"/>
      <w:marTop w:val="0"/>
      <w:marBottom w:val="0"/>
      <w:divBdr>
        <w:top w:val="none" w:sz="0" w:space="0" w:color="auto"/>
        <w:left w:val="none" w:sz="0" w:space="0" w:color="auto"/>
        <w:bottom w:val="none" w:sz="0" w:space="0" w:color="auto"/>
        <w:right w:val="none" w:sz="0" w:space="0" w:color="auto"/>
      </w:divBdr>
    </w:div>
    <w:div w:id="1525822566">
      <w:bodyDiv w:val="1"/>
      <w:marLeft w:val="0"/>
      <w:marRight w:val="0"/>
      <w:marTop w:val="0"/>
      <w:marBottom w:val="0"/>
      <w:divBdr>
        <w:top w:val="none" w:sz="0" w:space="0" w:color="auto"/>
        <w:left w:val="none" w:sz="0" w:space="0" w:color="auto"/>
        <w:bottom w:val="none" w:sz="0" w:space="0" w:color="auto"/>
        <w:right w:val="none" w:sz="0" w:space="0" w:color="auto"/>
      </w:divBdr>
    </w:div>
    <w:div w:id="1529102978">
      <w:bodyDiv w:val="1"/>
      <w:marLeft w:val="0"/>
      <w:marRight w:val="0"/>
      <w:marTop w:val="0"/>
      <w:marBottom w:val="0"/>
      <w:divBdr>
        <w:top w:val="none" w:sz="0" w:space="0" w:color="auto"/>
        <w:left w:val="none" w:sz="0" w:space="0" w:color="auto"/>
        <w:bottom w:val="none" w:sz="0" w:space="0" w:color="auto"/>
        <w:right w:val="none" w:sz="0" w:space="0" w:color="auto"/>
      </w:divBdr>
    </w:div>
    <w:div w:id="1543784496">
      <w:bodyDiv w:val="1"/>
      <w:marLeft w:val="0"/>
      <w:marRight w:val="0"/>
      <w:marTop w:val="0"/>
      <w:marBottom w:val="0"/>
      <w:divBdr>
        <w:top w:val="none" w:sz="0" w:space="0" w:color="auto"/>
        <w:left w:val="none" w:sz="0" w:space="0" w:color="auto"/>
        <w:bottom w:val="none" w:sz="0" w:space="0" w:color="auto"/>
        <w:right w:val="none" w:sz="0" w:space="0" w:color="auto"/>
      </w:divBdr>
    </w:div>
    <w:div w:id="1551723248">
      <w:bodyDiv w:val="1"/>
      <w:marLeft w:val="0"/>
      <w:marRight w:val="0"/>
      <w:marTop w:val="0"/>
      <w:marBottom w:val="0"/>
      <w:divBdr>
        <w:top w:val="none" w:sz="0" w:space="0" w:color="auto"/>
        <w:left w:val="none" w:sz="0" w:space="0" w:color="auto"/>
        <w:bottom w:val="none" w:sz="0" w:space="0" w:color="auto"/>
        <w:right w:val="none" w:sz="0" w:space="0" w:color="auto"/>
      </w:divBdr>
    </w:div>
    <w:div w:id="1553541042">
      <w:bodyDiv w:val="1"/>
      <w:marLeft w:val="0"/>
      <w:marRight w:val="0"/>
      <w:marTop w:val="0"/>
      <w:marBottom w:val="0"/>
      <w:divBdr>
        <w:top w:val="none" w:sz="0" w:space="0" w:color="auto"/>
        <w:left w:val="none" w:sz="0" w:space="0" w:color="auto"/>
        <w:bottom w:val="none" w:sz="0" w:space="0" w:color="auto"/>
        <w:right w:val="none" w:sz="0" w:space="0" w:color="auto"/>
      </w:divBdr>
    </w:div>
    <w:div w:id="1558012905">
      <w:bodyDiv w:val="1"/>
      <w:marLeft w:val="0"/>
      <w:marRight w:val="0"/>
      <w:marTop w:val="0"/>
      <w:marBottom w:val="0"/>
      <w:divBdr>
        <w:top w:val="none" w:sz="0" w:space="0" w:color="auto"/>
        <w:left w:val="none" w:sz="0" w:space="0" w:color="auto"/>
        <w:bottom w:val="none" w:sz="0" w:space="0" w:color="auto"/>
        <w:right w:val="none" w:sz="0" w:space="0" w:color="auto"/>
      </w:divBdr>
    </w:div>
    <w:div w:id="1559121816">
      <w:bodyDiv w:val="1"/>
      <w:marLeft w:val="0"/>
      <w:marRight w:val="0"/>
      <w:marTop w:val="0"/>
      <w:marBottom w:val="0"/>
      <w:divBdr>
        <w:top w:val="none" w:sz="0" w:space="0" w:color="auto"/>
        <w:left w:val="none" w:sz="0" w:space="0" w:color="auto"/>
        <w:bottom w:val="none" w:sz="0" w:space="0" w:color="auto"/>
        <w:right w:val="none" w:sz="0" w:space="0" w:color="auto"/>
      </w:divBdr>
    </w:div>
    <w:div w:id="1560167796">
      <w:bodyDiv w:val="1"/>
      <w:marLeft w:val="0"/>
      <w:marRight w:val="0"/>
      <w:marTop w:val="0"/>
      <w:marBottom w:val="0"/>
      <w:divBdr>
        <w:top w:val="none" w:sz="0" w:space="0" w:color="auto"/>
        <w:left w:val="none" w:sz="0" w:space="0" w:color="auto"/>
        <w:bottom w:val="none" w:sz="0" w:space="0" w:color="auto"/>
        <w:right w:val="none" w:sz="0" w:space="0" w:color="auto"/>
      </w:divBdr>
    </w:div>
    <w:div w:id="1560242638">
      <w:bodyDiv w:val="1"/>
      <w:marLeft w:val="0"/>
      <w:marRight w:val="0"/>
      <w:marTop w:val="0"/>
      <w:marBottom w:val="0"/>
      <w:divBdr>
        <w:top w:val="none" w:sz="0" w:space="0" w:color="auto"/>
        <w:left w:val="none" w:sz="0" w:space="0" w:color="auto"/>
        <w:bottom w:val="none" w:sz="0" w:space="0" w:color="auto"/>
        <w:right w:val="none" w:sz="0" w:space="0" w:color="auto"/>
      </w:divBdr>
    </w:div>
    <w:div w:id="1566646993">
      <w:bodyDiv w:val="1"/>
      <w:marLeft w:val="0"/>
      <w:marRight w:val="0"/>
      <w:marTop w:val="0"/>
      <w:marBottom w:val="0"/>
      <w:divBdr>
        <w:top w:val="none" w:sz="0" w:space="0" w:color="auto"/>
        <w:left w:val="none" w:sz="0" w:space="0" w:color="auto"/>
        <w:bottom w:val="none" w:sz="0" w:space="0" w:color="auto"/>
        <w:right w:val="none" w:sz="0" w:space="0" w:color="auto"/>
      </w:divBdr>
    </w:div>
    <w:div w:id="1567380598">
      <w:bodyDiv w:val="1"/>
      <w:marLeft w:val="0"/>
      <w:marRight w:val="0"/>
      <w:marTop w:val="0"/>
      <w:marBottom w:val="0"/>
      <w:divBdr>
        <w:top w:val="none" w:sz="0" w:space="0" w:color="auto"/>
        <w:left w:val="none" w:sz="0" w:space="0" w:color="auto"/>
        <w:bottom w:val="none" w:sz="0" w:space="0" w:color="auto"/>
        <w:right w:val="none" w:sz="0" w:space="0" w:color="auto"/>
      </w:divBdr>
    </w:div>
    <w:div w:id="1572958981">
      <w:bodyDiv w:val="1"/>
      <w:marLeft w:val="0"/>
      <w:marRight w:val="0"/>
      <w:marTop w:val="0"/>
      <w:marBottom w:val="0"/>
      <w:divBdr>
        <w:top w:val="none" w:sz="0" w:space="0" w:color="auto"/>
        <w:left w:val="none" w:sz="0" w:space="0" w:color="auto"/>
        <w:bottom w:val="none" w:sz="0" w:space="0" w:color="auto"/>
        <w:right w:val="none" w:sz="0" w:space="0" w:color="auto"/>
      </w:divBdr>
    </w:div>
    <w:div w:id="1581862818">
      <w:bodyDiv w:val="1"/>
      <w:marLeft w:val="0"/>
      <w:marRight w:val="0"/>
      <w:marTop w:val="0"/>
      <w:marBottom w:val="0"/>
      <w:divBdr>
        <w:top w:val="none" w:sz="0" w:space="0" w:color="auto"/>
        <w:left w:val="none" w:sz="0" w:space="0" w:color="auto"/>
        <w:bottom w:val="none" w:sz="0" w:space="0" w:color="auto"/>
        <w:right w:val="none" w:sz="0" w:space="0" w:color="auto"/>
      </w:divBdr>
    </w:div>
    <w:div w:id="1582789904">
      <w:bodyDiv w:val="1"/>
      <w:marLeft w:val="0"/>
      <w:marRight w:val="0"/>
      <w:marTop w:val="0"/>
      <w:marBottom w:val="0"/>
      <w:divBdr>
        <w:top w:val="none" w:sz="0" w:space="0" w:color="auto"/>
        <w:left w:val="none" w:sz="0" w:space="0" w:color="auto"/>
        <w:bottom w:val="none" w:sz="0" w:space="0" w:color="auto"/>
        <w:right w:val="none" w:sz="0" w:space="0" w:color="auto"/>
      </w:divBdr>
    </w:div>
    <w:div w:id="1584296547">
      <w:bodyDiv w:val="1"/>
      <w:marLeft w:val="0"/>
      <w:marRight w:val="0"/>
      <w:marTop w:val="0"/>
      <w:marBottom w:val="0"/>
      <w:divBdr>
        <w:top w:val="none" w:sz="0" w:space="0" w:color="auto"/>
        <w:left w:val="none" w:sz="0" w:space="0" w:color="auto"/>
        <w:bottom w:val="none" w:sz="0" w:space="0" w:color="auto"/>
        <w:right w:val="none" w:sz="0" w:space="0" w:color="auto"/>
      </w:divBdr>
    </w:div>
    <w:div w:id="1586722142">
      <w:bodyDiv w:val="1"/>
      <w:marLeft w:val="0"/>
      <w:marRight w:val="0"/>
      <w:marTop w:val="0"/>
      <w:marBottom w:val="0"/>
      <w:divBdr>
        <w:top w:val="none" w:sz="0" w:space="0" w:color="auto"/>
        <w:left w:val="none" w:sz="0" w:space="0" w:color="auto"/>
        <w:bottom w:val="none" w:sz="0" w:space="0" w:color="auto"/>
        <w:right w:val="none" w:sz="0" w:space="0" w:color="auto"/>
      </w:divBdr>
    </w:div>
    <w:div w:id="1588079777">
      <w:bodyDiv w:val="1"/>
      <w:marLeft w:val="0"/>
      <w:marRight w:val="0"/>
      <w:marTop w:val="0"/>
      <w:marBottom w:val="0"/>
      <w:divBdr>
        <w:top w:val="none" w:sz="0" w:space="0" w:color="auto"/>
        <w:left w:val="none" w:sz="0" w:space="0" w:color="auto"/>
        <w:bottom w:val="none" w:sz="0" w:space="0" w:color="auto"/>
        <w:right w:val="none" w:sz="0" w:space="0" w:color="auto"/>
      </w:divBdr>
    </w:div>
    <w:div w:id="1588537220">
      <w:bodyDiv w:val="1"/>
      <w:marLeft w:val="0"/>
      <w:marRight w:val="0"/>
      <w:marTop w:val="0"/>
      <w:marBottom w:val="0"/>
      <w:divBdr>
        <w:top w:val="none" w:sz="0" w:space="0" w:color="auto"/>
        <w:left w:val="none" w:sz="0" w:space="0" w:color="auto"/>
        <w:bottom w:val="none" w:sz="0" w:space="0" w:color="auto"/>
        <w:right w:val="none" w:sz="0" w:space="0" w:color="auto"/>
      </w:divBdr>
    </w:div>
    <w:div w:id="1594702222">
      <w:bodyDiv w:val="1"/>
      <w:marLeft w:val="0"/>
      <w:marRight w:val="0"/>
      <w:marTop w:val="0"/>
      <w:marBottom w:val="0"/>
      <w:divBdr>
        <w:top w:val="none" w:sz="0" w:space="0" w:color="auto"/>
        <w:left w:val="none" w:sz="0" w:space="0" w:color="auto"/>
        <w:bottom w:val="none" w:sz="0" w:space="0" w:color="auto"/>
        <w:right w:val="none" w:sz="0" w:space="0" w:color="auto"/>
      </w:divBdr>
    </w:div>
    <w:div w:id="1600335284">
      <w:bodyDiv w:val="1"/>
      <w:marLeft w:val="0"/>
      <w:marRight w:val="0"/>
      <w:marTop w:val="0"/>
      <w:marBottom w:val="0"/>
      <w:divBdr>
        <w:top w:val="none" w:sz="0" w:space="0" w:color="auto"/>
        <w:left w:val="none" w:sz="0" w:space="0" w:color="auto"/>
        <w:bottom w:val="none" w:sz="0" w:space="0" w:color="auto"/>
        <w:right w:val="none" w:sz="0" w:space="0" w:color="auto"/>
      </w:divBdr>
    </w:div>
    <w:div w:id="1603679688">
      <w:bodyDiv w:val="1"/>
      <w:marLeft w:val="0"/>
      <w:marRight w:val="0"/>
      <w:marTop w:val="0"/>
      <w:marBottom w:val="0"/>
      <w:divBdr>
        <w:top w:val="none" w:sz="0" w:space="0" w:color="auto"/>
        <w:left w:val="none" w:sz="0" w:space="0" w:color="auto"/>
        <w:bottom w:val="none" w:sz="0" w:space="0" w:color="auto"/>
        <w:right w:val="none" w:sz="0" w:space="0" w:color="auto"/>
      </w:divBdr>
    </w:div>
    <w:div w:id="1604461369">
      <w:bodyDiv w:val="1"/>
      <w:marLeft w:val="0"/>
      <w:marRight w:val="0"/>
      <w:marTop w:val="0"/>
      <w:marBottom w:val="0"/>
      <w:divBdr>
        <w:top w:val="none" w:sz="0" w:space="0" w:color="auto"/>
        <w:left w:val="none" w:sz="0" w:space="0" w:color="auto"/>
        <w:bottom w:val="none" w:sz="0" w:space="0" w:color="auto"/>
        <w:right w:val="none" w:sz="0" w:space="0" w:color="auto"/>
      </w:divBdr>
    </w:div>
    <w:div w:id="1604610935">
      <w:bodyDiv w:val="1"/>
      <w:marLeft w:val="0"/>
      <w:marRight w:val="0"/>
      <w:marTop w:val="0"/>
      <w:marBottom w:val="0"/>
      <w:divBdr>
        <w:top w:val="none" w:sz="0" w:space="0" w:color="auto"/>
        <w:left w:val="none" w:sz="0" w:space="0" w:color="auto"/>
        <w:bottom w:val="none" w:sz="0" w:space="0" w:color="auto"/>
        <w:right w:val="none" w:sz="0" w:space="0" w:color="auto"/>
      </w:divBdr>
    </w:div>
    <w:div w:id="1607889052">
      <w:bodyDiv w:val="1"/>
      <w:marLeft w:val="0"/>
      <w:marRight w:val="0"/>
      <w:marTop w:val="0"/>
      <w:marBottom w:val="0"/>
      <w:divBdr>
        <w:top w:val="none" w:sz="0" w:space="0" w:color="auto"/>
        <w:left w:val="none" w:sz="0" w:space="0" w:color="auto"/>
        <w:bottom w:val="none" w:sz="0" w:space="0" w:color="auto"/>
        <w:right w:val="none" w:sz="0" w:space="0" w:color="auto"/>
      </w:divBdr>
    </w:div>
    <w:div w:id="1616255890">
      <w:bodyDiv w:val="1"/>
      <w:marLeft w:val="0"/>
      <w:marRight w:val="0"/>
      <w:marTop w:val="0"/>
      <w:marBottom w:val="0"/>
      <w:divBdr>
        <w:top w:val="none" w:sz="0" w:space="0" w:color="auto"/>
        <w:left w:val="none" w:sz="0" w:space="0" w:color="auto"/>
        <w:bottom w:val="none" w:sz="0" w:space="0" w:color="auto"/>
        <w:right w:val="none" w:sz="0" w:space="0" w:color="auto"/>
      </w:divBdr>
    </w:div>
    <w:div w:id="1618246858">
      <w:bodyDiv w:val="1"/>
      <w:marLeft w:val="0"/>
      <w:marRight w:val="0"/>
      <w:marTop w:val="0"/>
      <w:marBottom w:val="0"/>
      <w:divBdr>
        <w:top w:val="none" w:sz="0" w:space="0" w:color="auto"/>
        <w:left w:val="none" w:sz="0" w:space="0" w:color="auto"/>
        <w:bottom w:val="none" w:sz="0" w:space="0" w:color="auto"/>
        <w:right w:val="none" w:sz="0" w:space="0" w:color="auto"/>
      </w:divBdr>
    </w:div>
    <w:div w:id="1632053964">
      <w:bodyDiv w:val="1"/>
      <w:marLeft w:val="0"/>
      <w:marRight w:val="0"/>
      <w:marTop w:val="0"/>
      <w:marBottom w:val="0"/>
      <w:divBdr>
        <w:top w:val="none" w:sz="0" w:space="0" w:color="auto"/>
        <w:left w:val="none" w:sz="0" w:space="0" w:color="auto"/>
        <w:bottom w:val="none" w:sz="0" w:space="0" w:color="auto"/>
        <w:right w:val="none" w:sz="0" w:space="0" w:color="auto"/>
      </w:divBdr>
    </w:div>
    <w:div w:id="1632713030">
      <w:bodyDiv w:val="1"/>
      <w:marLeft w:val="0"/>
      <w:marRight w:val="0"/>
      <w:marTop w:val="0"/>
      <w:marBottom w:val="0"/>
      <w:divBdr>
        <w:top w:val="none" w:sz="0" w:space="0" w:color="auto"/>
        <w:left w:val="none" w:sz="0" w:space="0" w:color="auto"/>
        <w:bottom w:val="none" w:sz="0" w:space="0" w:color="auto"/>
        <w:right w:val="none" w:sz="0" w:space="0" w:color="auto"/>
      </w:divBdr>
    </w:div>
    <w:div w:id="1634366407">
      <w:bodyDiv w:val="1"/>
      <w:marLeft w:val="0"/>
      <w:marRight w:val="0"/>
      <w:marTop w:val="0"/>
      <w:marBottom w:val="0"/>
      <w:divBdr>
        <w:top w:val="none" w:sz="0" w:space="0" w:color="auto"/>
        <w:left w:val="none" w:sz="0" w:space="0" w:color="auto"/>
        <w:bottom w:val="none" w:sz="0" w:space="0" w:color="auto"/>
        <w:right w:val="none" w:sz="0" w:space="0" w:color="auto"/>
      </w:divBdr>
    </w:div>
    <w:div w:id="1635410542">
      <w:bodyDiv w:val="1"/>
      <w:marLeft w:val="0"/>
      <w:marRight w:val="0"/>
      <w:marTop w:val="0"/>
      <w:marBottom w:val="0"/>
      <w:divBdr>
        <w:top w:val="none" w:sz="0" w:space="0" w:color="auto"/>
        <w:left w:val="none" w:sz="0" w:space="0" w:color="auto"/>
        <w:bottom w:val="none" w:sz="0" w:space="0" w:color="auto"/>
        <w:right w:val="none" w:sz="0" w:space="0" w:color="auto"/>
      </w:divBdr>
    </w:div>
    <w:div w:id="1639914585">
      <w:bodyDiv w:val="1"/>
      <w:marLeft w:val="0"/>
      <w:marRight w:val="0"/>
      <w:marTop w:val="0"/>
      <w:marBottom w:val="0"/>
      <w:divBdr>
        <w:top w:val="none" w:sz="0" w:space="0" w:color="auto"/>
        <w:left w:val="none" w:sz="0" w:space="0" w:color="auto"/>
        <w:bottom w:val="none" w:sz="0" w:space="0" w:color="auto"/>
        <w:right w:val="none" w:sz="0" w:space="0" w:color="auto"/>
      </w:divBdr>
    </w:div>
    <w:div w:id="1641374411">
      <w:bodyDiv w:val="1"/>
      <w:marLeft w:val="0"/>
      <w:marRight w:val="0"/>
      <w:marTop w:val="0"/>
      <w:marBottom w:val="0"/>
      <w:divBdr>
        <w:top w:val="none" w:sz="0" w:space="0" w:color="auto"/>
        <w:left w:val="none" w:sz="0" w:space="0" w:color="auto"/>
        <w:bottom w:val="none" w:sz="0" w:space="0" w:color="auto"/>
        <w:right w:val="none" w:sz="0" w:space="0" w:color="auto"/>
      </w:divBdr>
    </w:div>
    <w:div w:id="1642078596">
      <w:bodyDiv w:val="1"/>
      <w:marLeft w:val="0"/>
      <w:marRight w:val="0"/>
      <w:marTop w:val="0"/>
      <w:marBottom w:val="0"/>
      <w:divBdr>
        <w:top w:val="none" w:sz="0" w:space="0" w:color="auto"/>
        <w:left w:val="none" w:sz="0" w:space="0" w:color="auto"/>
        <w:bottom w:val="none" w:sz="0" w:space="0" w:color="auto"/>
        <w:right w:val="none" w:sz="0" w:space="0" w:color="auto"/>
      </w:divBdr>
    </w:div>
    <w:div w:id="1644844081">
      <w:bodyDiv w:val="1"/>
      <w:marLeft w:val="0"/>
      <w:marRight w:val="0"/>
      <w:marTop w:val="0"/>
      <w:marBottom w:val="0"/>
      <w:divBdr>
        <w:top w:val="none" w:sz="0" w:space="0" w:color="auto"/>
        <w:left w:val="none" w:sz="0" w:space="0" w:color="auto"/>
        <w:bottom w:val="none" w:sz="0" w:space="0" w:color="auto"/>
        <w:right w:val="none" w:sz="0" w:space="0" w:color="auto"/>
      </w:divBdr>
    </w:div>
    <w:div w:id="1647782298">
      <w:bodyDiv w:val="1"/>
      <w:marLeft w:val="0"/>
      <w:marRight w:val="0"/>
      <w:marTop w:val="0"/>
      <w:marBottom w:val="0"/>
      <w:divBdr>
        <w:top w:val="none" w:sz="0" w:space="0" w:color="auto"/>
        <w:left w:val="none" w:sz="0" w:space="0" w:color="auto"/>
        <w:bottom w:val="none" w:sz="0" w:space="0" w:color="auto"/>
        <w:right w:val="none" w:sz="0" w:space="0" w:color="auto"/>
      </w:divBdr>
    </w:div>
    <w:div w:id="1651397587">
      <w:bodyDiv w:val="1"/>
      <w:marLeft w:val="0"/>
      <w:marRight w:val="0"/>
      <w:marTop w:val="0"/>
      <w:marBottom w:val="0"/>
      <w:divBdr>
        <w:top w:val="none" w:sz="0" w:space="0" w:color="auto"/>
        <w:left w:val="none" w:sz="0" w:space="0" w:color="auto"/>
        <w:bottom w:val="none" w:sz="0" w:space="0" w:color="auto"/>
        <w:right w:val="none" w:sz="0" w:space="0" w:color="auto"/>
      </w:divBdr>
    </w:div>
    <w:div w:id="1652371690">
      <w:bodyDiv w:val="1"/>
      <w:marLeft w:val="0"/>
      <w:marRight w:val="0"/>
      <w:marTop w:val="0"/>
      <w:marBottom w:val="0"/>
      <w:divBdr>
        <w:top w:val="none" w:sz="0" w:space="0" w:color="auto"/>
        <w:left w:val="none" w:sz="0" w:space="0" w:color="auto"/>
        <w:bottom w:val="none" w:sz="0" w:space="0" w:color="auto"/>
        <w:right w:val="none" w:sz="0" w:space="0" w:color="auto"/>
      </w:divBdr>
    </w:div>
    <w:div w:id="1656102879">
      <w:bodyDiv w:val="1"/>
      <w:marLeft w:val="0"/>
      <w:marRight w:val="0"/>
      <w:marTop w:val="0"/>
      <w:marBottom w:val="0"/>
      <w:divBdr>
        <w:top w:val="none" w:sz="0" w:space="0" w:color="auto"/>
        <w:left w:val="none" w:sz="0" w:space="0" w:color="auto"/>
        <w:bottom w:val="none" w:sz="0" w:space="0" w:color="auto"/>
        <w:right w:val="none" w:sz="0" w:space="0" w:color="auto"/>
      </w:divBdr>
    </w:div>
    <w:div w:id="1669599599">
      <w:bodyDiv w:val="1"/>
      <w:marLeft w:val="0"/>
      <w:marRight w:val="0"/>
      <w:marTop w:val="0"/>
      <w:marBottom w:val="0"/>
      <w:divBdr>
        <w:top w:val="none" w:sz="0" w:space="0" w:color="auto"/>
        <w:left w:val="none" w:sz="0" w:space="0" w:color="auto"/>
        <w:bottom w:val="none" w:sz="0" w:space="0" w:color="auto"/>
        <w:right w:val="none" w:sz="0" w:space="0" w:color="auto"/>
      </w:divBdr>
    </w:div>
    <w:div w:id="1671903638">
      <w:bodyDiv w:val="1"/>
      <w:marLeft w:val="0"/>
      <w:marRight w:val="0"/>
      <w:marTop w:val="0"/>
      <w:marBottom w:val="0"/>
      <w:divBdr>
        <w:top w:val="none" w:sz="0" w:space="0" w:color="auto"/>
        <w:left w:val="none" w:sz="0" w:space="0" w:color="auto"/>
        <w:bottom w:val="none" w:sz="0" w:space="0" w:color="auto"/>
        <w:right w:val="none" w:sz="0" w:space="0" w:color="auto"/>
      </w:divBdr>
    </w:div>
    <w:div w:id="1684014351">
      <w:bodyDiv w:val="1"/>
      <w:marLeft w:val="0"/>
      <w:marRight w:val="0"/>
      <w:marTop w:val="0"/>
      <w:marBottom w:val="0"/>
      <w:divBdr>
        <w:top w:val="none" w:sz="0" w:space="0" w:color="auto"/>
        <w:left w:val="none" w:sz="0" w:space="0" w:color="auto"/>
        <w:bottom w:val="none" w:sz="0" w:space="0" w:color="auto"/>
        <w:right w:val="none" w:sz="0" w:space="0" w:color="auto"/>
      </w:divBdr>
    </w:div>
    <w:div w:id="1687709296">
      <w:bodyDiv w:val="1"/>
      <w:marLeft w:val="0"/>
      <w:marRight w:val="0"/>
      <w:marTop w:val="0"/>
      <w:marBottom w:val="0"/>
      <w:divBdr>
        <w:top w:val="none" w:sz="0" w:space="0" w:color="auto"/>
        <w:left w:val="none" w:sz="0" w:space="0" w:color="auto"/>
        <w:bottom w:val="none" w:sz="0" w:space="0" w:color="auto"/>
        <w:right w:val="none" w:sz="0" w:space="0" w:color="auto"/>
      </w:divBdr>
    </w:div>
    <w:div w:id="1696154072">
      <w:bodyDiv w:val="1"/>
      <w:marLeft w:val="0"/>
      <w:marRight w:val="0"/>
      <w:marTop w:val="0"/>
      <w:marBottom w:val="0"/>
      <w:divBdr>
        <w:top w:val="none" w:sz="0" w:space="0" w:color="auto"/>
        <w:left w:val="none" w:sz="0" w:space="0" w:color="auto"/>
        <w:bottom w:val="none" w:sz="0" w:space="0" w:color="auto"/>
        <w:right w:val="none" w:sz="0" w:space="0" w:color="auto"/>
      </w:divBdr>
    </w:div>
    <w:div w:id="1699426391">
      <w:bodyDiv w:val="1"/>
      <w:marLeft w:val="0"/>
      <w:marRight w:val="0"/>
      <w:marTop w:val="0"/>
      <w:marBottom w:val="0"/>
      <w:divBdr>
        <w:top w:val="none" w:sz="0" w:space="0" w:color="auto"/>
        <w:left w:val="none" w:sz="0" w:space="0" w:color="auto"/>
        <w:bottom w:val="none" w:sz="0" w:space="0" w:color="auto"/>
        <w:right w:val="none" w:sz="0" w:space="0" w:color="auto"/>
      </w:divBdr>
    </w:div>
    <w:div w:id="1701122013">
      <w:bodyDiv w:val="1"/>
      <w:marLeft w:val="0"/>
      <w:marRight w:val="0"/>
      <w:marTop w:val="0"/>
      <w:marBottom w:val="0"/>
      <w:divBdr>
        <w:top w:val="none" w:sz="0" w:space="0" w:color="auto"/>
        <w:left w:val="none" w:sz="0" w:space="0" w:color="auto"/>
        <w:bottom w:val="none" w:sz="0" w:space="0" w:color="auto"/>
        <w:right w:val="none" w:sz="0" w:space="0" w:color="auto"/>
      </w:divBdr>
    </w:div>
    <w:div w:id="1704596688">
      <w:bodyDiv w:val="1"/>
      <w:marLeft w:val="0"/>
      <w:marRight w:val="0"/>
      <w:marTop w:val="0"/>
      <w:marBottom w:val="0"/>
      <w:divBdr>
        <w:top w:val="none" w:sz="0" w:space="0" w:color="auto"/>
        <w:left w:val="none" w:sz="0" w:space="0" w:color="auto"/>
        <w:bottom w:val="none" w:sz="0" w:space="0" w:color="auto"/>
        <w:right w:val="none" w:sz="0" w:space="0" w:color="auto"/>
      </w:divBdr>
    </w:div>
    <w:div w:id="1705475408">
      <w:bodyDiv w:val="1"/>
      <w:marLeft w:val="0"/>
      <w:marRight w:val="0"/>
      <w:marTop w:val="0"/>
      <w:marBottom w:val="0"/>
      <w:divBdr>
        <w:top w:val="none" w:sz="0" w:space="0" w:color="auto"/>
        <w:left w:val="none" w:sz="0" w:space="0" w:color="auto"/>
        <w:bottom w:val="none" w:sz="0" w:space="0" w:color="auto"/>
        <w:right w:val="none" w:sz="0" w:space="0" w:color="auto"/>
      </w:divBdr>
    </w:div>
    <w:div w:id="1707677877">
      <w:bodyDiv w:val="1"/>
      <w:marLeft w:val="0"/>
      <w:marRight w:val="0"/>
      <w:marTop w:val="0"/>
      <w:marBottom w:val="0"/>
      <w:divBdr>
        <w:top w:val="none" w:sz="0" w:space="0" w:color="auto"/>
        <w:left w:val="none" w:sz="0" w:space="0" w:color="auto"/>
        <w:bottom w:val="none" w:sz="0" w:space="0" w:color="auto"/>
        <w:right w:val="none" w:sz="0" w:space="0" w:color="auto"/>
      </w:divBdr>
    </w:div>
    <w:div w:id="1711608347">
      <w:bodyDiv w:val="1"/>
      <w:marLeft w:val="0"/>
      <w:marRight w:val="0"/>
      <w:marTop w:val="0"/>
      <w:marBottom w:val="0"/>
      <w:divBdr>
        <w:top w:val="none" w:sz="0" w:space="0" w:color="auto"/>
        <w:left w:val="none" w:sz="0" w:space="0" w:color="auto"/>
        <w:bottom w:val="none" w:sz="0" w:space="0" w:color="auto"/>
        <w:right w:val="none" w:sz="0" w:space="0" w:color="auto"/>
      </w:divBdr>
    </w:div>
    <w:div w:id="1718361159">
      <w:bodyDiv w:val="1"/>
      <w:marLeft w:val="0"/>
      <w:marRight w:val="0"/>
      <w:marTop w:val="0"/>
      <w:marBottom w:val="0"/>
      <w:divBdr>
        <w:top w:val="none" w:sz="0" w:space="0" w:color="auto"/>
        <w:left w:val="none" w:sz="0" w:space="0" w:color="auto"/>
        <w:bottom w:val="none" w:sz="0" w:space="0" w:color="auto"/>
        <w:right w:val="none" w:sz="0" w:space="0" w:color="auto"/>
      </w:divBdr>
    </w:div>
    <w:div w:id="1719086825">
      <w:bodyDiv w:val="1"/>
      <w:marLeft w:val="0"/>
      <w:marRight w:val="0"/>
      <w:marTop w:val="0"/>
      <w:marBottom w:val="0"/>
      <w:divBdr>
        <w:top w:val="none" w:sz="0" w:space="0" w:color="auto"/>
        <w:left w:val="none" w:sz="0" w:space="0" w:color="auto"/>
        <w:bottom w:val="none" w:sz="0" w:space="0" w:color="auto"/>
        <w:right w:val="none" w:sz="0" w:space="0" w:color="auto"/>
      </w:divBdr>
    </w:div>
    <w:div w:id="1722095709">
      <w:bodyDiv w:val="1"/>
      <w:marLeft w:val="0"/>
      <w:marRight w:val="0"/>
      <w:marTop w:val="0"/>
      <w:marBottom w:val="0"/>
      <w:divBdr>
        <w:top w:val="none" w:sz="0" w:space="0" w:color="auto"/>
        <w:left w:val="none" w:sz="0" w:space="0" w:color="auto"/>
        <w:bottom w:val="none" w:sz="0" w:space="0" w:color="auto"/>
        <w:right w:val="none" w:sz="0" w:space="0" w:color="auto"/>
      </w:divBdr>
    </w:div>
    <w:div w:id="1724715996">
      <w:bodyDiv w:val="1"/>
      <w:marLeft w:val="0"/>
      <w:marRight w:val="0"/>
      <w:marTop w:val="0"/>
      <w:marBottom w:val="0"/>
      <w:divBdr>
        <w:top w:val="none" w:sz="0" w:space="0" w:color="auto"/>
        <w:left w:val="none" w:sz="0" w:space="0" w:color="auto"/>
        <w:bottom w:val="none" w:sz="0" w:space="0" w:color="auto"/>
        <w:right w:val="none" w:sz="0" w:space="0" w:color="auto"/>
      </w:divBdr>
    </w:div>
    <w:div w:id="1726416365">
      <w:bodyDiv w:val="1"/>
      <w:marLeft w:val="0"/>
      <w:marRight w:val="0"/>
      <w:marTop w:val="0"/>
      <w:marBottom w:val="0"/>
      <w:divBdr>
        <w:top w:val="none" w:sz="0" w:space="0" w:color="auto"/>
        <w:left w:val="none" w:sz="0" w:space="0" w:color="auto"/>
        <w:bottom w:val="none" w:sz="0" w:space="0" w:color="auto"/>
        <w:right w:val="none" w:sz="0" w:space="0" w:color="auto"/>
      </w:divBdr>
    </w:div>
    <w:div w:id="1740906599">
      <w:bodyDiv w:val="1"/>
      <w:marLeft w:val="0"/>
      <w:marRight w:val="0"/>
      <w:marTop w:val="0"/>
      <w:marBottom w:val="0"/>
      <w:divBdr>
        <w:top w:val="none" w:sz="0" w:space="0" w:color="auto"/>
        <w:left w:val="none" w:sz="0" w:space="0" w:color="auto"/>
        <w:bottom w:val="none" w:sz="0" w:space="0" w:color="auto"/>
        <w:right w:val="none" w:sz="0" w:space="0" w:color="auto"/>
      </w:divBdr>
    </w:div>
    <w:div w:id="1742562647">
      <w:bodyDiv w:val="1"/>
      <w:marLeft w:val="0"/>
      <w:marRight w:val="0"/>
      <w:marTop w:val="0"/>
      <w:marBottom w:val="0"/>
      <w:divBdr>
        <w:top w:val="none" w:sz="0" w:space="0" w:color="auto"/>
        <w:left w:val="none" w:sz="0" w:space="0" w:color="auto"/>
        <w:bottom w:val="none" w:sz="0" w:space="0" w:color="auto"/>
        <w:right w:val="none" w:sz="0" w:space="0" w:color="auto"/>
      </w:divBdr>
    </w:div>
    <w:div w:id="1746143842">
      <w:bodyDiv w:val="1"/>
      <w:marLeft w:val="0"/>
      <w:marRight w:val="0"/>
      <w:marTop w:val="0"/>
      <w:marBottom w:val="0"/>
      <w:divBdr>
        <w:top w:val="none" w:sz="0" w:space="0" w:color="auto"/>
        <w:left w:val="none" w:sz="0" w:space="0" w:color="auto"/>
        <w:bottom w:val="none" w:sz="0" w:space="0" w:color="auto"/>
        <w:right w:val="none" w:sz="0" w:space="0" w:color="auto"/>
      </w:divBdr>
    </w:div>
    <w:div w:id="1747144804">
      <w:bodyDiv w:val="1"/>
      <w:marLeft w:val="0"/>
      <w:marRight w:val="0"/>
      <w:marTop w:val="0"/>
      <w:marBottom w:val="0"/>
      <w:divBdr>
        <w:top w:val="none" w:sz="0" w:space="0" w:color="auto"/>
        <w:left w:val="none" w:sz="0" w:space="0" w:color="auto"/>
        <w:bottom w:val="none" w:sz="0" w:space="0" w:color="auto"/>
        <w:right w:val="none" w:sz="0" w:space="0" w:color="auto"/>
      </w:divBdr>
    </w:div>
    <w:div w:id="1749696165">
      <w:bodyDiv w:val="1"/>
      <w:marLeft w:val="0"/>
      <w:marRight w:val="0"/>
      <w:marTop w:val="0"/>
      <w:marBottom w:val="0"/>
      <w:divBdr>
        <w:top w:val="none" w:sz="0" w:space="0" w:color="auto"/>
        <w:left w:val="none" w:sz="0" w:space="0" w:color="auto"/>
        <w:bottom w:val="none" w:sz="0" w:space="0" w:color="auto"/>
        <w:right w:val="none" w:sz="0" w:space="0" w:color="auto"/>
      </w:divBdr>
    </w:div>
    <w:div w:id="1751463777">
      <w:bodyDiv w:val="1"/>
      <w:marLeft w:val="0"/>
      <w:marRight w:val="0"/>
      <w:marTop w:val="0"/>
      <w:marBottom w:val="0"/>
      <w:divBdr>
        <w:top w:val="none" w:sz="0" w:space="0" w:color="auto"/>
        <w:left w:val="none" w:sz="0" w:space="0" w:color="auto"/>
        <w:bottom w:val="none" w:sz="0" w:space="0" w:color="auto"/>
        <w:right w:val="none" w:sz="0" w:space="0" w:color="auto"/>
      </w:divBdr>
    </w:div>
    <w:div w:id="1753352817">
      <w:bodyDiv w:val="1"/>
      <w:marLeft w:val="0"/>
      <w:marRight w:val="0"/>
      <w:marTop w:val="0"/>
      <w:marBottom w:val="0"/>
      <w:divBdr>
        <w:top w:val="none" w:sz="0" w:space="0" w:color="auto"/>
        <w:left w:val="none" w:sz="0" w:space="0" w:color="auto"/>
        <w:bottom w:val="none" w:sz="0" w:space="0" w:color="auto"/>
        <w:right w:val="none" w:sz="0" w:space="0" w:color="auto"/>
      </w:divBdr>
    </w:div>
    <w:div w:id="1754009607">
      <w:bodyDiv w:val="1"/>
      <w:marLeft w:val="0"/>
      <w:marRight w:val="0"/>
      <w:marTop w:val="0"/>
      <w:marBottom w:val="0"/>
      <w:divBdr>
        <w:top w:val="none" w:sz="0" w:space="0" w:color="auto"/>
        <w:left w:val="none" w:sz="0" w:space="0" w:color="auto"/>
        <w:bottom w:val="none" w:sz="0" w:space="0" w:color="auto"/>
        <w:right w:val="none" w:sz="0" w:space="0" w:color="auto"/>
      </w:divBdr>
    </w:div>
    <w:div w:id="1755004809">
      <w:bodyDiv w:val="1"/>
      <w:marLeft w:val="0"/>
      <w:marRight w:val="0"/>
      <w:marTop w:val="0"/>
      <w:marBottom w:val="0"/>
      <w:divBdr>
        <w:top w:val="none" w:sz="0" w:space="0" w:color="auto"/>
        <w:left w:val="none" w:sz="0" w:space="0" w:color="auto"/>
        <w:bottom w:val="none" w:sz="0" w:space="0" w:color="auto"/>
        <w:right w:val="none" w:sz="0" w:space="0" w:color="auto"/>
      </w:divBdr>
    </w:div>
    <w:div w:id="1760100652">
      <w:bodyDiv w:val="1"/>
      <w:marLeft w:val="0"/>
      <w:marRight w:val="0"/>
      <w:marTop w:val="0"/>
      <w:marBottom w:val="0"/>
      <w:divBdr>
        <w:top w:val="none" w:sz="0" w:space="0" w:color="auto"/>
        <w:left w:val="none" w:sz="0" w:space="0" w:color="auto"/>
        <w:bottom w:val="none" w:sz="0" w:space="0" w:color="auto"/>
        <w:right w:val="none" w:sz="0" w:space="0" w:color="auto"/>
      </w:divBdr>
    </w:div>
    <w:div w:id="1764178634">
      <w:bodyDiv w:val="1"/>
      <w:marLeft w:val="0"/>
      <w:marRight w:val="0"/>
      <w:marTop w:val="0"/>
      <w:marBottom w:val="0"/>
      <w:divBdr>
        <w:top w:val="none" w:sz="0" w:space="0" w:color="auto"/>
        <w:left w:val="none" w:sz="0" w:space="0" w:color="auto"/>
        <w:bottom w:val="none" w:sz="0" w:space="0" w:color="auto"/>
        <w:right w:val="none" w:sz="0" w:space="0" w:color="auto"/>
      </w:divBdr>
    </w:div>
    <w:div w:id="1767191704">
      <w:bodyDiv w:val="1"/>
      <w:marLeft w:val="0"/>
      <w:marRight w:val="0"/>
      <w:marTop w:val="0"/>
      <w:marBottom w:val="0"/>
      <w:divBdr>
        <w:top w:val="none" w:sz="0" w:space="0" w:color="auto"/>
        <w:left w:val="none" w:sz="0" w:space="0" w:color="auto"/>
        <w:bottom w:val="none" w:sz="0" w:space="0" w:color="auto"/>
        <w:right w:val="none" w:sz="0" w:space="0" w:color="auto"/>
      </w:divBdr>
    </w:div>
    <w:div w:id="1781561319">
      <w:bodyDiv w:val="1"/>
      <w:marLeft w:val="0"/>
      <w:marRight w:val="0"/>
      <w:marTop w:val="0"/>
      <w:marBottom w:val="0"/>
      <w:divBdr>
        <w:top w:val="none" w:sz="0" w:space="0" w:color="auto"/>
        <w:left w:val="none" w:sz="0" w:space="0" w:color="auto"/>
        <w:bottom w:val="none" w:sz="0" w:space="0" w:color="auto"/>
        <w:right w:val="none" w:sz="0" w:space="0" w:color="auto"/>
      </w:divBdr>
    </w:div>
    <w:div w:id="1781755722">
      <w:bodyDiv w:val="1"/>
      <w:marLeft w:val="0"/>
      <w:marRight w:val="0"/>
      <w:marTop w:val="0"/>
      <w:marBottom w:val="0"/>
      <w:divBdr>
        <w:top w:val="none" w:sz="0" w:space="0" w:color="auto"/>
        <w:left w:val="none" w:sz="0" w:space="0" w:color="auto"/>
        <w:bottom w:val="none" w:sz="0" w:space="0" w:color="auto"/>
        <w:right w:val="none" w:sz="0" w:space="0" w:color="auto"/>
      </w:divBdr>
    </w:div>
    <w:div w:id="1785004650">
      <w:bodyDiv w:val="1"/>
      <w:marLeft w:val="0"/>
      <w:marRight w:val="0"/>
      <w:marTop w:val="0"/>
      <w:marBottom w:val="0"/>
      <w:divBdr>
        <w:top w:val="none" w:sz="0" w:space="0" w:color="auto"/>
        <w:left w:val="none" w:sz="0" w:space="0" w:color="auto"/>
        <w:bottom w:val="none" w:sz="0" w:space="0" w:color="auto"/>
        <w:right w:val="none" w:sz="0" w:space="0" w:color="auto"/>
      </w:divBdr>
    </w:div>
    <w:div w:id="1788885254">
      <w:bodyDiv w:val="1"/>
      <w:marLeft w:val="0"/>
      <w:marRight w:val="0"/>
      <w:marTop w:val="0"/>
      <w:marBottom w:val="0"/>
      <w:divBdr>
        <w:top w:val="none" w:sz="0" w:space="0" w:color="auto"/>
        <w:left w:val="none" w:sz="0" w:space="0" w:color="auto"/>
        <w:bottom w:val="none" w:sz="0" w:space="0" w:color="auto"/>
        <w:right w:val="none" w:sz="0" w:space="0" w:color="auto"/>
      </w:divBdr>
    </w:div>
    <w:div w:id="1791438560">
      <w:bodyDiv w:val="1"/>
      <w:marLeft w:val="0"/>
      <w:marRight w:val="0"/>
      <w:marTop w:val="0"/>
      <w:marBottom w:val="0"/>
      <w:divBdr>
        <w:top w:val="none" w:sz="0" w:space="0" w:color="auto"/>
        <w:left w:val="none" w:sz="0" w:space="0" w:color="auto"/>
        <w:bottom w:val="none" w:sz="0" w:space="0" w:color="auto"/>
        <w:right w:val="none" w:sz="0" w:space="0" w:color="auto"/>
      </w:divBdr>
    </w:div>
    <w:div w:id="1791581630">
      <w:bodyDiv w:val="1"/>
      <w:marLeft w:val="0"/>
      <w:marRight w:val="0"/>
      <w:marTop w:val="0"/>
      <w:marBottom w:val="0"/>
      <w:divBdr>
        <w:top w:val="none" w:sz="0" w:space="0" w:color="auto"/>
        <w:left w:val="none" w:sz="0" w:space="0" w:color="auto"/>
        <w:bottom w:val="none" w:sz="0" w:space="0" w:color="auto"/>
        <w:right w:val="none" w:sz="0" w:space="0" w:color="auto"/>
      </w:divBdr>
    </w:div>
    <w:div w:id="1792673129">
      <w:bodyDiv w:val="1"/>
      <w:marLeft w:val="0"/>
      <w:marRight w:val="0"/>
      <w:marTop w:val="0"/>
      <w:marBottom w:val="0"/>
      <w:divBdr>
        <w:top w:val="none" w:sz="0" w:space="0" w:color="auto"/>
        <w:left w:val="none" w:sz="0" w:space="0" w:color="auto"/>
        <w:bottom w:val="none" w:sz="0" w:space="0" w:color="auto"/>
        <w:right w:val="none" w:sz="0" w:space="0" w:color="auto"/>
      </w:divBdr>
    </w:div>
    <w:div w:id="1793670365">
      <w:bodyDiv w:val="1"/>
      <w:marLeft w:val="0"/>
      <w:marRight w:val="0"/>
      <w:marTop w:val="0"/>
      <w:marBottom w:val="0"/>
      <w:divBdr>
        <w:top w:val="none" w:sz="0" w:space="0" w:color="auto"/>
        <w:left w:val="none" w:sz="0" w:space="0" w:color="auto"/>
        <w:bottom w:val="none" w:sz="0" w:space="0" w:color="auto"/>
        <w:right w:val="none" w:sz="0" w:space="0" w:color="auto"/>
      </w:divBdr>
    </w:div>
    <w:div w:id="1794210875">
      <w:bodyDiv w:val="1"/>
      <w:marLeft w:val="0"/>
      <w:marRight w:val="0"/>
      <w:marTop w:val="0"/>
      <w:marBottom w:val="0"/>
      <w:divBdr>
        <w:top w:val="none" w:sz="0" w:space="0" w:color="auto"/>
        <w:left w:val="none" w:sz="0" w:space="0" w:color="auto"/>
        <w:bottom w:val="none" w:sz="0" w:space="0" w:color="auto"/>
        <w:right w:val="none" w:sz="0" w:space="0" w:color="auto"/>
      </w:divBdr>
    </w:div>
    <w:div w:id="1794249064">
      <w:bodyDiv w:val="1"/>
      <w:marLeft w:val="0"/>
      <w:marRight w:val="0"/>
      <w:marTop w:val="0"/>
      <w:marBottom w:val="0"/>
      <w:divBdr>
        <w:top w:val="none" w:sz="0" w:space="0" w:color="auto"/>
        <w:left w:val="none" w:sz="0" w:space="0" w:color="auto"/>
        <w:bottom w:val="none" w:sz="0" w:space="0" w:color="auto"/>
        <w:right w:val="none" w:sz="0" w:space="0" w:color="auto"/>
      </w:divBdr>
    </w:div>
    <w:div w:id="1797680493">
      <w:bodyDiv w:val="1"/>
      <w:marLeft w:val="0"/>
      <w:marRight w:val="0"/>
      <w:marTop w:val="0"/>
      <w:marBottom w:val="0"/>
      <w:divBdr>
        <w:top w:val="none" w:sz="0" w:space="0" w:color="auto"/>
        <w:left w:val="none" w:sz="0" w:space="0" w:color="auto"/>
        <w:bottom w:val="none" w:sz="0" w:space="0" w:color="auto"/>
        <w:right w:val="none" w:sz="0" w:space="0" w:color="auto"/>
      </w:divBdr>
    </w:div>
    <w:div w:id="1800880012">
      <w:bodyDiv w:val="1"/>
      <w:marLeft w:val="0"/>
      <w:marRight w:val="0"/>
      <w:marTop w:val="0"/>
      <w:marBottom w:val="0"/>
      <w:divBdr>
        <w:top w:val="none" w:sz="0" w:space="0" w:color="auto"/>
        <w:left w:val="none" w:sz="0" w:space="0" w:color="auto"/>
        <w:bottom w:val="none" w:sz="0" w:space="0" w:color="auto"/>
        <w:right w:val="none" w:sz="0" w:space="0" w:color="auto"/>
      </w:divBdr>
    </w:div>
    <w:div w:id="1803230868">
      <w:bodyDiv w:val="1"/>
      <w:marLeft w:val="0"/>
      <w:marRight w:val="0"/>
      <w:marTop w:val="0"/>
      <w:marBottom w:val="0"/>
      <w:divBdr>
        <w:top w:val="none" w:sz="0" w:space="0" w:color="auto"/>
        <w:left w:val="none" w:sz="0" w:space="0" w:color="auto"/>
        <w:bottom w:val="none" w:sz="0" w:space="0" w:color="auto"/>
        <w:right w:val="none" w:sz="0" w:space="0" w:color="auto"/>
      </w:divBdr>
    </w:div>
    <w:div w:id="1808470459">
      <w:bodyDiv w:val="1"/>
      <w:marLeft w:val="0"/>
      <w:marRight w:val="0"/>
      <w:marTop w:val="0"/>
      <w:marBottom w:val="0"/>
      <w:divBdr>
        <w:top w:val="none" w:sz="0" w:space="0" w:color="auto"/>
        <w:left w:val="none" w:sz="0" w:space="0" w:color="auto"/>
        <w:bottom w:val="none" w:sz="0" w:space="0" w:color="auto"/>
        <w:right w:val="none" w:sz="0" w:space="0" w:color="auto"/>
      </w:divBdr>
    </w:div>
    <w:div w:id="1810895526">
      <w:bodyDiv w:val="1"/>
      <w:marLeft w:val="0"/>
      <w:marRight w:val="0"/>
      <w:marTop w:val="0"/>
      <w:marBottom w:val="0"/>
      <w:divBdr>
        <w:top w:val="none" w:sz="0" w:space="0" w:color="auto"/>
        <w:left w:val="none" w:sz="0" w:space="0" w:color="auto"/>
        <w:bottom w:val="none" w:sz="0" w:space="0" w:color="auto"/>
        <w:right w:val="none" w:sz="0" w:space="0" w:color="auto"/>
      </w:divBdr>
    </w:div>
    <w:div w:id="1813063817">
      <w:bodyDiv w:val="1"/>
      <w:marLeft w:val="0"/>
      <w:marRight w:val="0"/>
      <w:marTop w:val="0"/>
      <w:marBottom w:val="0"/>
      <w:divBdr>
        <w:top w:val="none" w:sz="0" w:space="0" w:color="auto"/>
        <w:left w:val="none" w:sz="0" w:space="0" w:color="auto"/>
        <w:bottom w:val="none" w:sz="0" w:space="0" w:color="auto"/>
        <w:right w:val="none" w:sz="0" w:space="0" w:color="auto"/>
      </w:divBdr>
    </w:div>
    <w:div w:id="1815174389">
      <w:bodyDiv w:val="1"/>
      <w:marLeft w:val="0"/>
      <w:marRight w:val="0"/>
      <w:marTop w:val="0"/>
      <w:marBottom w:val="0"/>
      <w:divBdr>
        <w:top w:val="none" w:sz="0" w:space="0" w:color="auto"/>
        <w:left w:val="none" w:sz="0" w:space="0" w:color="auto"/>
        <w:bottom w:val="none" w:sz="0" w:space="0" w:color="auto"/>
        <w:right w:val="none" w:sz="0" w:space="0" w:color="auto"/>
      </w:divBdr>
    </w:div>
    <w:div w:id="1819372153">
      <w:bodyDiv w:val="1"/>
      <w:marLeft w:val="0"/>
      <w:marRight w:val="0"/>
      <w:marTop w:val="0"/>
      <w:marBottom w:val="0"/>
      <w:divBdr>
        <w:top w:val="none" w:sz="0" w:space="0" w:color="auto"/>
        <w:left w:val="none" w:sz="0" w:space="0" w:color="auto"/>
        <w:bottom w:val="none" w:sz="0" w:space="0" w:color="auto"/>
        <w:right w:val="none" w:sz="0" w:space="0" w:color="auto"/>
      </w:divBdr>
    </w:div>
    <w:div w:id="1820880930">
      <w:bodyDiv w:val="1"/>
      <w:marLeft w:val="0"/>
      <w:marRight w:val="0"/>
      <w:marTop w:val="0"/>
      <w:marBottom w:val="0"/>
      <w:divBdr>
        <w:top w:val="none" w:sz="0" w:space="0" w:color="auto"/>
        <w:left w:val="none" w:sz="0" w:space="0" w:color="auto"/>
        <w:bottom w:val="none" w:sz="0" w:space="0" w:color="auto"/>
        <w:right w:val="none" w:sz="0" w:space="0" w:color="auto"/>
      </w:divBdr>
    </w:div>
    <w:div w:id="1822194838">
      <w:bodyDiv w:val="1"/>
      <w:marLeft w:val="0"/>
      <w:marRight w:val="0"/>
      <w:marTop w:val="0"/>
      <w:marBottom w:val="0"/>
      <w:divBdr>
        <w:top w:val="none" w:sz="0" w:space="0" w:color="auto"/>
        <w:left w:val="none" w:sz="0" w:space="0" w:color="auto"/>
        <w:bottom w:val="none" w:sz="0" w:space="0" w:color="auto"/>
        <w:right w:val="none" w:sz="0" w:space="0" w:color="auto"/>
      </w:divBdr>
    </w:div>
    <w:div w:id="1824158091">
      <w:bodyDiv w:val="1"/>
      <w:marLeft w:val="0"/>
      <w:marRight w:val="0"/>
      <w:marTop w:val="0"/>
      <w:marBottom w:val="0"/>
      <w:divBdr>
        <w:top w:val="none" w:sz="0" w:space="0" w:color="auto"/>
        <w:left w:val="none" w:sz="0" w:space="0" w:color="auto"/>
        <w:bottom w:val="none" w:sz="0" w:space="0" w:color="auto"/>
        <w:right w:val="none" w:sz="0" w:space="0" w:color="auto"/>
      </w:divBdr>
    </w:div>
    <w:div w:id="1828017034">
      <w:bodyDiv w:val="1"/>
      <w:marLeft w:val="0"/>
      <w:marRight w:val="0"/>
      <w:marTop w:val="0"/>
      <w:marBottom w:val="0"/>
      <w:divBdr>
        <w:top w:val="none" w:sz="0" w:space="0" w:color="auto"/>
        <w:left w:val="none" w:sz="0" w:space="0" w:color="auto"/>
        <w:bottom w:val="none" w:sz="0" w:space="0" w:color="auto"/>
        <w:right w:val="none" w:sz="0" w:space="0" w:color="auto"/>
      </w:divBdr>
    </w:div>
    <w:div w:id="1828548124">
      <w:bodyDiv w:val="1"/>
      <w:marLeft w:val="0"/>
      <w:marRight w:val="0"/>
      <w:marTop w:val="0"/>
      <w:marBottom w:val="0"/>
      <w:divBdr>
        <w:top w:val="none" w:sz="0" w:space="0" w:color="auto"/>
        <w:left w:val="none" w:sz="0" w:space="0" w:color="auto"/>
        <w:bottom w:val="none" w:sz="0" w:space="0" w:color="auto"/>
        <w:right w:val="none" w:sz="0" w:space="0" w:color="auto"/>
      </w:divBdr>
    </w:div>
    <w:div w:id="1837571447">
      <w:bodyDiv w:val="1"/>
      <w:marLeft w:val="0"/>
      <w:marRight w:val="0"/>
      <w:marTop w:val="0"/>
      <w:marBottom w:val="0"/>
      <w:divBdr>
        <w:top w:val="none" w:sz="0" w:space="0" w:color="auto"/>
        <w:left w:val="none" w:sz="0" w:space="0" w:color="auto"/>
        <w:bottom w:val="none" w:sz="0" w:space="0" w:color="auto"/>
        <w:right w:val="none" w:sz="0" w:space="0" w:color="auto"/>
      </w:divBdr>
    </w:div>
    <w:div w:id="1838840764">
      <w:bodyDiv w:val="1"/>
      <w:marLeft w:val="0"/>
      <w:marRight w:val="0"/>
      <w:marTop w:val="0"/>
      <w:marBottom w:val="0"/>
      <w:divBdr>
        <w:top w:val="none" w:sz="0" w:space="0" w:color="auto"/>
        <w:left w:val="none" w:sz="0" w:space="0" w:color="auto"/>
        <w:bottom w:val="none" w:sz="0" w:space="0" w:color="auto"/>
        <w:right w:val="none" w:sz="0" w:space="0" w:color="auto"/>
      </w:divBdr>
    </w:div>
    <w:div w:id="1839033252">
      <w:bodyDiv w:val="1"/>
      <w:marLeft w:val="0"/>
      <w:marRight w:val="0"/>
      <w:marTop w:val="0"/>
      <w:marBottom w:val="0"/>
      <w:divBdr>
        <w:top w:val="none" w:sz="0" w:space="0" w:color="auto"/>
        <w:left w:val="none" w:sz="0" w:space="0" w:color="auto"/>
        <w:bottom w:val="none" w:sz="0" w:space="0" w:color="auto"/>
        <w:right w:val="none" w:sz="0" w:space="0" w:color="auto"/>
      </w:divBdr>
    </w:div>
    <w:div w:id="1847359545">
      <w:bodyDiv w:val="1"/>
      <w:marLeft w:val="0"/>
      <w:marRight w:val="0"/>
      <w:marTop w:val="0"/>
      <w:marBottom w:val="0"/>
      <w:divBdr>
        <w:top w:val="none" w:sz="0" w:space="0" w:color="auto"/>
        <w:left w:val="none" w:sz="0" w:space="0" w:color="auto"/>
        <w:bottom w:val="none" w:sz="0" w:space="0" w:color="auto"/>
        <w:right w:val="none" w:sz="0" w:space="0" w:color="auto"/>
      </w:divBdr>
    </w:div>
    <w:div w:id="1851027030">
      <w:bodyDiv w:val="1"/>
      <w:marLeft w:val="0"/>
      <w:marRight w:val="0"/>
      <w:marTop w:val="0"/>
      <w:marBottom w:val="0"/>
      <w:divBdr>
        <w:top w:val="none" w:sz="0" w:space="0" w:color="auto"/>
        <w:left w:val="none" w:sz="0" w:space="0" w:color="auto"/>
        <w:bottom w:val="none" w:sz="0" w:space="0" w:color="auto"/>
        <w:right w:val="none" w:sz="0" w:space="0" w:color="auto"/>
      </w:divBdr>
    </w:div>
    <w:div w:id="1853831899">
      <w:bodyDiv w:val="1"/>
      <w:marLeft w:val="0"/>
      <w:marRight w:val="0"/>
      <w:marTop w:val="0"/>
      <w:marBottom w:val="0"/>
      <w:divBdr>
        <w:top w:val="none" w:sz="0" w:space="0" w:color="auto"/>
        <w:left w:val="none" w:sz="0" w:space="0" w:color="auto"/>
        <w:bottom w:val="none" w:sz="0" w:space="0" w:color="auto"/>
        <w:right w:val="none" w:sz="0" w:space="0" w:color="auto"/>
      </w:divBdr>
    </w:div>
    <w:div w:id="1854538001">
      <w:bodyDiv w:val="1"/>
      <w:marLeft w:val="0"/>
      <w:marRight w:val="0"/>
      <w:marTop w:val="0"/>
      <w:marBottom w:val="0"/>
      <w:divBdr>
        <w:top w:val="none" w:sz="0" w:space="0" w:color="auto"/>
        <w:left w:val="none" w:sz="0" w:space="0" w:color="auto"/>
        <w:bottom w:val="none" w:sz="0" w:space="0" w:color="auto"/>
        <w:right w:val="none" w:sz="0" w:space="0" w:color="auto"/>
      </w:divBdr>
    </w:div>
    <w:div w:id="1858032359">
      <w:bodyDiv w:val="1"/>
      <w:marLeft w:val="0"/>
      <w:marRight w:val="0"/>
      <w:marTop w:val="0"/>
      <w:marBottom w:val="0"/>
      <w:divBdr>
        <w:top w:val="none" w:sz="0" w:space="0" w:color="auto"/>
        <w:left w:val="none" w:sz="0" w:space="0" w:color="auto"/>
        <w:bottom w:val="none" w:sz="0" w:space="0" w:color="auto"/>
        <w:right w:val="none" w:sz="0" w:space="0" w:color="auto"/>
      </w:divBdr>
    </w:div>
    <w:div w:id="1860848414">
      <w:bodyDiv w:val="1"/>
      <w:marLeft w:val="0"/>
      <w:marRight w:val="0"/>
      <w:marTop w:val="0"/>
      <w:marBottom w:val="0"/>
      <w:divBdr>
        <w:top w:val="none" w:sz="0" w:space="0" w:color="auto"/>
        <w:left w:val="none" w:sz="0" w:space="0" w:color="auto"/>
        <w:bottom w:val="none" w:sz="0" w:space="0" w:color="auto"/>
        <w:right w:val="none" w:sz="0" w:space="0" w:color="auto"/>
      </w:divBdr>
    </w:div>
    <w:div w:id="1861620124">
      <w:bodyDiv w:val="1"/>
      <w:marLeft w:val="0"/>
      <w:marRight w:val="0"/>
      <w:marTop w:val="0"/>
      <w:marBottom w:val="0"/>
      <w:divBdr>
        <w:top w:val="none" w:sz="0" w:space="0" w:color="auto"/>
        <w:left w:val="none" w:sz="0" w:space="0" w:color="auto"/>
        <w:bottom w:val="none" w:sz="0" w:space="0" w:color="auto"/>
        <w:right w:val="none" w:sz="0" w:space="0" w:color="auto"/>
      </w:divBdr>
    </w:div>
    <w:div w:id="1861822717">
      <w:bodyDiv w:val="1"/>
      <w:marLeft w:val="0"/>
      <w:marRight w:val="0"/>
      <w:marTop w:val="0"/>
      <w:marBottom w:val="0"/>
      <w:divBdr>
        <w:top w:val="none" w:sz="0" w:space="0" w:color="auto"/>
        <w:left w:val="none" w:sz="0" w:space="0" w:color="auto"/>
        <w:bottom w:val="none" w:sz="0" w:space="0" w:color="auto"/>
        <w:right w:val="none" w:sz="0" w:space="0" w:color="auto"/>
      </w:divBdr>
    </w:div>
    <w:div w:id="1863781619">
      <w:bodyDiv w:val="1"/>
      <w:marLeft w:val="0"/>
      <w:marRight w:val="0"/>
      <w:marTop w:val="0"/>
      <w:marBottom w:val="0"/>
      <w:divBdr>
        <w:top w:val="none" w:sz="0" w:space="0" w:color="auto"/>
        <w:left w:val="none" w:sz="0" w:space="0" w:color="auto"/>
        <w:bottom w:val="none" w:sz="0" w:space="0" w:color="auto"/>
        <w:right w:val="none" w:sz="0" w:space="0" w:color="auto"/>
      </w:divBdr>
    </w:div>
    <w:div w:id="1863981702">
      <w:bodyDiv w:val="1"/>
      <w:marLeft w:val="0"/>
      <w:marRight w:val="0"/>
      <w:marTop w:val="0"/>
      <w:marBottom w:val="0"/>
      <w:divBdr>
        <w:top w:val="none" w:sz="0" w:space="0" w:color="auto"/>
        <w:left w:val="none" w:sz="0" w:space="0" w:color="auto"/>
        <w:bottom w:val="none" w:sz="0" w:space="0" w:color="auto"/>
        <w:right w:val="none" w:sz="0" w:space="0" w:color="auto"/>
      </w:divBdr>
    </w:div>
    <w:div w:id="1864980328">
      <w:bodyDiv w:val="1"/>
      <w:marLeft w:val="0"/>
      <w:marRight w:val="0"/>
      <w:marTop w:val="0"/>
      <w:marBottom w:val="0"/>
      <w:divBdr>
        <w:top w:val="none" w:sz="0" w:space="0" w:color="auto"/>
        <w:left w:val="none" w:sz="0" w:space="0" w:color="auto"/>
        <w:bottom w:val="none" w:sz="0" w:space="0" w:color="auto"/>
        <w:right w:val="none" w:sz="0" w:space="0" w:color="auto"/>
      </w:divBdr>
    </w:div>
    <w:div w:id="1868785948">
      <w:bodyDiv w:val="1"/>
      <w:marLeft w:val="0"/>
      <w:marRight w:val="0"/>
      <w:marTop w:val="0"/>
      <w:marBottom w:val="0"/>
      <w:divBdr>
        <w:top w:val="none" w:sz="0" w:space="0" w:color="auto"/>
        <w:left w:val="none" w:sz="0" w:space="0" w:color="auto"/>
        <w:bottom w:val="none" w:sz="0" w:space="0" w:color="auto"/>
        <w:right w:val="none" w:sz="0" w:space="0" w:color="auto"/>
      </w:divBdr>
    </w:div>
    <w:div w:id="1870528990">
      <w:bodyDiv w:val="1"/>
      <w:marLeft w:val="0"/>
      <w:marRight w:val="0"/>
      <w:marTop w:val="0"/>
      <w:marBottom w:val="0"/>
      <w:divBdr>
        <w:top w:val="none" w:sz="0" w:space="0" w:color="auto"/>
        <w:left w:val="none" w:sz="0" w:space="0" w:color="auto"/>
        <w:bottom w:val="none" w:sz="0" w:space="0" w:color="auto"/>
        <w:right w:val="none" w:sz="0" w:space="0" w:color="auto"/>
      </w:divBdr>
    </w:div>
    <w:div w:id="1873952102">
      <w:bodyDiv w:val="1"/>
      <w:marLeft w:val="0"/>
      <w:marRight w:val="0"/>
      <w:marTop w:val="0"/>
      <w:marBottom w:val="0"/>
      <w:divBdr>
        <w:top w:val="none" w:sz="0" w:space="0" w:color="auto"/>
        <w:left w:val="none" w:sz="0" w:space="0" w:color="auto"/>
        <w:bottom w:val="none" w:sz="0" w:space="0" w:color="auto"/>
        <w:right w:val="none" w:sz="0" w:space="0" w:color="auto"/>
      </w:divBdr>
    </w:div>
    <w:div w:id="1880438818">
      <w:bodyDiv w:val="1"/>
      <w:marLeft w:val="0"/>
      <w:marRight w:val="0"/>
      <w:marTop w:val="0"/>
      <w:marBottom w:val="0"/>
      <w:divBdr>
        <w:top w:val="none" w:sz="0" w:space="0" w:color="auto"/>
        <w:left w:val="none" w:sz="0" w:space="0" w:color="auto"/>
        <w:bottom w:val="none" w:sz="0" w:space="0" w:color="auto"/>
        <w:right w:val="none" w:sz="0" w:space="0" w:color="auto"/>
      </w:divBdr>
    </w:div>
    <w:div w:id="1889879164">
      <w:bodyDiv w:val="1"/>
      <w:marLeft w:val="0"/>
      <w:marRight w:val="0"/>
      <w:marTop w:val="0"/>
      <w:marBottom w:val="0"/>
      <w:divBdr>
        <w:top w:val="none" w:sz="0" w:space="0" w:color="auto"/>
        <w:left w:val="none" w:sz="0" w:space="0" w:color="auto"/>
        <w:bottom w:val="none" w:sz="0" w:space="0" w:color="auto"/>
        <w:right w:val="none" w:sz="0" w:space="0" w:color="auto"/>
      </w:divBdr>
    </w:div>
    <w:div w:id="1890649533">
      <w:bodyDiv w:val="1"/>
      <w:marLeft w:val="0"/>
      <w:marRight w:val="0"/>
      <w:marTop w:val="0"/>
      <w:marBottom w:val="0"/>
      <w:divBdr>
        <w:top w:val="none" w:sz="0" w:space="0" w:color="auto"/>
        <w:left w:val="none" w:sz="0" w:space="0" w:color="auto"/>
        <w:bottom w:val="none" w:sz="0" w:space="0" w:color="auto"/>
        <w:right w:val="none" w:sz="0" w:space="0" w:color="auto"/>
      </w:divBdr>
    </w:div>
    <w:div w:id="1892572087">
      <w:bodyDiv w:val="1"/>
      <w:marLeft w:val="0"/>
      <w:marRight w:val="0"/>
      <w:marTop w:val="0"/>
      <w:marBottom w:val="0"/>
      <w:divBdr>
        <w:top w:val="none" w:sz="0" w:space="0" w:color="auto"/>
        <w:left w:val="none" w:sz="0" w:space="0" w:color="auto"/>
        <w:bottom w:val="none" w:sz="0" w:space="0" w:color="auto"/>
        <w:right w:val="none" w:sz="0" w:space="0" w:color="auto"/>
      </w:divBdr>
    </w:div>
    <w:div w:id="1900703453">
      <w:bodyDiv w:val="1"/>
      <w:marLeft w:val="0"/>
      <w:marRight w:val="0"/>
      <w:marTop w:val="0"/>
      <w:marBottom w:val="0"/>
      <w:divBdr>
        <w:top w:val="none" w:sz="0" w:space="0" w:color="auto"/>
        <w:left w:val="none" w:sz="0" w:space="0" w:color="auto"/>
        <w:bottom w:val="none" w:sz="0" w:space="0" w:color="auto"/>
        <w:right w:val="none" w:sz="0" w:space="0" w:color="auto"/>
      </w:divBdr>
    </w:div>
    <w:div w:id="1901555654">
      <w:bodyDiv w:val="1"/>
      <w:marLeft w:val="0"/>
      <w:marRight w:val="0"/>
      <w:marTop w:val="0"/>
      <w:marBottom w:val="0"/>
      <w:divBdr>
        <w:top w:val="none" w:sz="0" w:space="0" w:color="auto"/>
        <w:left w:val="none" w:sz="0" w:space="0" w:color="auto"/>
        <w:bottom w:val="none" w:sz="0" w:space="0" w:color="auto"/>
        <w:right w:val="none" w:sz="0" w:space="0" w:color="auto"/>
      </w:divBdr>
    </w:div>
    <w:div w:id="1902010700">
      <w:bodyDiv w:val="1"/>
      <w:marLeft w:val="0"/>
      <w:marRight w:val="0"/>
      <w:marTop w:val="0"/>
      <w:marBottom w:val="0"/>
      <w:divBdr>
        <w:top w:val="none" w:sz="0" w:space="0" w:color="auto"/>
        <w:left w:val="none" w:sz="0" w:space="0" w:color="auto"/>
        <w:bottom w:val="none" w:sz="0" w:space="0" w:color="auto"/>
        <w:right w:val="none" w:sz="0" w:space="0" w:color="auto"/>
      </w:divBdr>
    </w:div>
    <w:div w:id="1912889578">
      <w:bodyDiv w:val="1"/>
      <w:marLeft w:val="0"/>
      <w:marRight w:val="0"/>
      <w:marTop w:val="0"/>
      <w:marBottom w:val="0"/>
      <w:divBdr>
        <w:top w:val="none" w:sz="0" w:space="0" w:color="auto"/>
        <w:left w:val="none" w:sz="0" w:space="0" w:color="auto"/>
        <w:bottom w:val="none" w:sz="0" w:space="0" w:color="auto"/>
        <w:right w:val="none" w:sz="0" w:space="0" w:color="auto"/>
      </w:divBdr>
    </w:div>
    <w:div w:id="1921137948">
      <w:bodyDiv w:val="1"/>
      <w:marLeft w:val="0"/>
      <w:marRight w:val="0"/>
      <w:marTop w:val="0"/>
      <w:marBottom w:val="0"/>
      <w:divBdr>
        <w:top w:val="none" w:sz="0" w:space="0" w:color="auto"/>
        <w:left w:val="none" w:sz="0" w:space="0" w:color="auto"/>
        <w:bottom w:val="none" w:sz="0" w:space="0" w:color="auto"/>
        <w:right w:val="none" w:sz="0" w:space="0" w:color="auto"/>
      </w:divBdr>
    </w:div>
    <w:div w:id="1921523784">
      <w:bodyDiv w:val="1"/>
      <w:marLeft w:val="0"/>
      <w:marRight w:val="0"/>
      <w:marTop w:val="0"/>
      <w:marBottom w:val="0"/>
      <w:divBdr>
        <w:top w:val="none" w:sz="0" w:space="0" w:color="auto"/>
        <w:left w:val="none" w:sz="0" w:space="0" w:color="auto"/>
        <w:bottom w:val="none" w:sz="0" w:space="0" w:color="auto"/>
        <w:right w:val="none" w:sz="0" w:space="0" w:color="auto"/>
      </w:divBdr>
    </w:div>
    <w:div w:id="1922249744">
      <w:bodyDiv w:val="1"/>
      <w:marLeft w:val="0"/>
      <w:marRight w:val="0"/>
      <w:marTop w:val="0"/>
      <w:marBottom w:val="0"/>
      <w:divBdr>
        <w:top w:val="none" w:sz="0" w:space="0" w:color="auto"/>
        <w:left w:val="none" w:sz="0" w:space="0" w:color="auto"/>
        <w:bottom w:val="none" w:sz="0" w:space="0" w:color="auto"/>
        <w:right w:val="none" w:sz="0" w:space="0" w:color="auto"/>
      </w:divBdr>
    </w:div>
    <w:div w:id="1924874778">
      <w:bodyDiv w:val="1"/>
      <w:marLeft w:val="0"/>
      <w:marRight w:val="0"/>
      <w:marTop w:val="0"/>
      <w:marBottom w:val="0"/>
      <w:divBdr>
        <w:top w:val="none" w:sz="0" w:space="0" w:color="auto"/>
        <w:left w:val="none" w:sz="0" w:space="0" w:color="auto"/>
        <w:bottom w:val="none" w:sz="0" w:space="0" w:color="auto"/>
        <w:right w:val="none" w:sz="0" w:space="0" w:color="auto"/>
      </w:divBdr>
    </w:div>
    <w:div w:id="1935551552">
      <w:bodyDiv w:val="1"/>
      <w:marLeft w:val="0"/>
      <w:marRight w:val="0"/>
      <w:marTop w:val="0"/>
      <w:marBottom w:val="0"/>
      <w:divBdr>
        <w:top w:val="none" w:sz="0" w:space="0" w:color="auto"/>
        <w:left w:val="none" w:sz="0" w:space="0" w:color="auto"/>
        <w:bottom w:val="none" w:sz="0" w:space="0" w:color="auto"/>
        <w:right w:val="none" w:sz="0" w:space="0" w:color="auto"/>
      </w:divBdr>
    </w:div>
    <w:div w:id="1941447529">
      <w:bodyDiv w:val="1"/>
      <w:marLeft w:val="0"/>
      <w:marRight w:val="0"/>
      <w:marTop w:val="0"/>
      <w:marBottom w:val="0"/>
      <w:divBdr>
        <w:top w:val="none" w:sz="0" w:space="0" w:color="auto"/>
        <w:left w:val="none" w:sz="0" w:space="0" w:color="auto"/>
        <w:bottom w:val="none" w:sz="0" w:space="0" w:color="auto"/>
        <w:right w:val="none" w:sz="0" w:space="0" w:color="auto"/>
      </w:divBdr>
    </w:div>
    <w:div w:id="1949116488">
      <w:bodyDiv w:val="1"/>
      <w:marLeft w:val="0"/>
      <w:marRight w:val="0"/>
      <w:marTop w:val="0"/>
      <w:marBottom w:val="0"/>
      <w:divBdr>
        <w:top w:val="none" w:sz="0" w:space="0" w:color="auto"/>
        <w:left w:val="none" w:sz="0" w:space="0" w:color="auto"/>
        <w:bottom w:val="none" w:sz="0" w:space="0" w:color="auto"/>
        <w:right w:val="none" w:sz="0" w:space="0" w:color="auto"/>
      </w:divBdr>
    </w:div>
    <w:div w:id="1953899310">
      <w:bodyDiv w:val="1"/>
      <w:marLeft w:val="0"/>
      <w:marRight w:val="0"/>
      <w:marTop w:val="0"/>
      <w:marBottom w:val="0"/>
      <w:divBdr>
        <w:top w:val="none" w:sz="0" w:space="0" w:color="auto"/>
        <w:left w:val="none" w:sz="0" w:space="0" w:color="auto"/>
        <w:bottom w:val="none" w:sz="0" w:space="0" w:color="auto"/>
        <w:right w:val="none" w:sz="0" w:space="0" w:color="auto"/>
      </w:divBdr>
    </w:div>
    <w:div w:id="1955793015">
      <w:bodyDiv w:val="1"/>
      <w:marLeft w:val="0"/>
      <w:marRight w:val="0"/>
      <w:marTop w:val="0"/>
      <w:marBottom w:val="0"/>
      <w:divBdr>
        <w:top w:val="none" w:sz="0" w:space="0" w:color="auto"/>
        <w:left w:val="none" w:sz="0" w:space="0" w:color="auto"/>
        <w:bottom w:val="none" w:sz="0" w:space="0" w:color="auto"/>
        <w:right w:val="none" w:sz="0" w:space="0" w:color="auto"/>
      </w:divBdr>
    </w:div>
    <w:div w:id="1957716739">
      <w:bodyDiv w:val="1"/>
      <w:marLeft w:val="0"/>
      <w:marRight w:val="0"/>
      <w:marTop w:val="0"/>
      <w:marBottom w:val="0"/>
      <w:divBdr>
        <w:top w:val="none" w:sz="0" w:space="0" w:color="auto"/>
        <w:left w:val="none" w:sz="0" w:space="0" w:color="auto"/>
        <w:bottom w:val="none" w:sz="0" w:space="0" w:color="auto"/>
        <w:right w:val="none" w:sz="0" w:space="0" w:color="auto"/>
      </w:divBdr>
    </w:div>
    <w:div w:id="1966496143">
      <w:bodyDiv w:val="1"/>
      <w:marLeft w:val="0"/>
      <w:marRight w:val="0"/>
      <w:marTop w:val="0"/>
      <w:marBottom w:val="0"/>
      <w:divBdr>
        <w:top w:val="none" w:sz="0" w:space="0" w:color="auto"/>
        <w:left w:val="none" w:sz="0" w:space="0" w:color="auto"/>
        <w:bottom w:val="none" w:sz="0" w:space="0" w:color="auto"/>
        <w:right w:val="none" w:sz="0" w:space="0" w:color="auto"/>
      </w:divBdr>
    </w:div>
    <w:div w:id="1970283386">
      <w:bodyDiv w:val="1"/>
      <w:marLeft w:val="0"/>
      <w:marRight w:val="0"/>
      <w:marTop w:val="0"/>
      <w:marBottom w:val="0"/>
      <w:divBdr>
        <w:top w:val="none" w:sz="0" w:space="0" w:color="auto"/>
        <w:left w:val="none" w:sz="0" w:space="0" w:color="auto"/>
        <w:bottom w:val="none" w:sz="0" w:space="0" w:color="auto"/>
        <w:right w:val="none" w:sz="0" w:space="0" w:color="auto"/>
      </w:divBdr>
    </w:div>
    <w:div w:id="1972442485">
      <w:bodyDiv w:val="1"/>
      <w:marLeft w:val="0"/>
      <w:marRight w:val="0"/>
      <w:marTop w:val="0"/>
      <w:marBottom w:val="0"/>
      <w:divBdr>
        <w:top w:val="none" w:sz="0" w:space="0" w:color="auto"/>
        <w:left w:val="none" w:sz="0" w:space="0" w:color="auto"/>
        <w:bottom w:val="none" w:sz="0" w:space="0" w:color="auto"/>
        <w:right w:val="none" w:sz="0" w:space="0" w:color="auto"/>
      </w:divBdr>
    </w:div>
    <w:div w:id="1974678708">
      <w:bodyDiv w:val="1"/>
      <w:marLeft w:val="0"/>
      <w:marRight w:val="0"/>
      <w:marTop w:val="0"/>
      <w:marBottom w:val="0"/>
      <w:divBdr>
        <w:top w:val="none" w:sz="0" w:space="0" w:color="auto"/>
        <w:left w:val="none" w:sz="0" w:space="0" w:color="auto"/>
        <w:bottom w:val="none" w:sz="0" w:space="0" w:color="auto"/>
        <w:right w:val="none" w:sz="0" w:space="0" w:color="auto"/>
      </w:divBdr>
    </w:div>
    <w:div w:id="1978684673">
      <w:bodyDiv w:val="1"/>
      <w:marLeft w:val="0"/>
      <w:marRight w:val="0"/>
      <w:marTop w:val="0"/>
      <w:marBottom w:val="0"/>
      <w:divBdr>
        <w:top w:val="none" w:sz="0" w:space="0" w:color="auto"/>
        <w:left w:val="none" w:sz="0" w:space="0" w:color="auto"/>
        <w:bottom w:val="none" w:sz="0" w:space="0" w:color="auto"/>
        <w:right w:val="none" w:sz="0" w:space="0" w:color="auto"/>
      </w:divBdr>
    </w:div>
    <w:div w:id="1983463834">
      <w:bodyDiv w:val="1"/>
      <w:marLeft w:val="0"/>
      <w:marRight w:val="0"/>
      <w:marTop w:val="0"/>
      <w:marBottom w:val="0"/>
      <w:divBdr>
        <w:top w:val="none" w:sz="0" w:space="0" w:color="auto"/>
        <w:left w:val="none" w:sz="0" w:space="0" w:color="auto"/>
        <w:bottom w:val="none" w:sz="0" w:space="0" w:color="auto"/>
        <w:right w:val="none" w:sz="0" w:space="0" w:color="auto"/>
      </w:divBdr>
    </w:div>
    <w:div w:id="1989699419">
      <w:bodyDiv w:val="1"/>
      <w:marLeft w:val="0"/>
      <w:marRight w:val="0"/>
      <w:marTop w:val="0"/>
      <w:marBottom w:val="0"/>
      <w:divBdr>
        <w:top w:val="none" w:sz="0" w:space="0" w:color="auto"/>
        <w:left w:val="none" w:sz="0" w:space="0" w:color="auto"/>
        <w:bottom w:val="none" w:sz="0" w:space="0" w:color="auto"/>
        <w:right w:val="none" w:sz="0" w:space="0" w:color="auto"/>
      </w:divBdr>
    </w:div>
    <w:div w:id="1994528421">
      <w:bodyDiv w:val="1"/>
      <w:marLeft w:val="0"/>
      <w:marRight w:val="0"/>
      <w:marTop w:val="0"/>
      <w:marBottom w:val="0"/>
      <w:divBdr>
        <w:top w:val="none" w:sz="0" w:space="0" w:color="auto"/>
        <w:left w:val="none" w:sz="0" w:space="0" w:color="auto"/>
        <w:bottom w:val="none" w:sz="0" w:space="0" w:color="auto"/>
        <w:right w:val="none" w:sz="0" w:space="0" w:color="auto"/>
      </w:divBdr>
    </w:div>
    <w:div w:id="1994604744">
      <w:bodyDiv w:val="1"/>
      <w:marLeft w:val="0"/>
      <w:marRight w:val="0"/>
      <w:marTop w:val="0"/>
      <w:marBottom w:val="0"/>
      <w:divBdr>
        <w:top w:val="none" w:sz="0" w:space="0" w:color="auto"/>
        <w:left w:val="none" w:sz="0" w:space="0" w:color="auto"/>
        <w:bottom w:val="none" w:sz="0" w:space="0" w:color="auto"/>
        <w:right w:val="none" w:sz="0" w:space="0" w:color="auto"/>
      </w:divBdr>
    </w:div>
    <w:div w:id="1994988267">
      <w:bodyDiv w:val="1"/>
      <w:marLeft w:val="0"/>
      <w:marRight w:val="0"/>
      <w:marTop w:val="0"/>
      <w:marBottom w:val="0"/>
      <w:divBdr>
        <w:top w:val="none" w:sz="0" w:space="0" w:color="auto"/>
        <w:left w:val="none" w:sz="0" w:space="0" w:color="auto"/>
        <w:bottom w:val="none" w:sz="0" w:space="0" w:color="auto"/>
        <w:right w:val="none" w:sz="0" w:space="0" w:color="auto"/>
      </w:divBdr>
    </w:div>
    <w:div w:id="2001108480">
      <w:bodyDiv w:val="1"/>
      <w:marLeft w:val="0"/>
      <w:marRight w:val="0"/>
      <w:marTop w:val="0"/>
      <w:marBottom w:val="0"/>
      <w:divBdr>
        <w:top w:val="none" w:sz="0" w:space="0" w:color="auto"/>
        <w:left w:val="none" w:sz="0" w:space="0" w:color="auto"/>
        <w:bottom w:val="none" w:sz="0" w:space="0" w:color="auto"/>
        <w:right w:val="none" w:sz="0" w:space="0" w:color="auto"/>
      </w:divBdr>
    </w:div>
    <w:div w:id="2002661210">
      <w:bodyDiv w:val="1"/>
      <w:marLeft w:val="0"/>
      <w:marRight w:val="0"/>
      <w:marTop w:val="0"/>
      <w:marBottom w:val="0"/>
      <w:divBdr>
        <w:top w:val="none" w:sz="0" w:space="0" w:color="auto"/>
        <w:left w:val="none" w:sz="0" w:space="0" w:color="auto"/>
        <w:bottom w:val="none" w:sz="0" w:space="0" w:color="auto"/>
        <w:right w:val="none" w:sz="0" w:space="0" w:color="auto"/>
      </w:divBdr>
    </w:div>
    <w:div w:id="2003583279">
      <w:bodyDiv w:val="1"/>
      <w:marLeft w:val="0"/>
      <w:marRight w:val="0"/>
      <w:marTop w:val="0"/>
      <w:marBottom w:val="0"/>
      <w:divBdr>
        <w:top w:val="none" w:sz="0" w:space="0" w:color="auto"/>
        <w:left w:val="none" w:sz="0" w:space="0" w:color="auto"/>
        <w:bottom w:val="none" w:sz="0" w:space="0" w:color="auto"/>
        <w:right w:val="none" w:sz="0" w:space="0" w:color="auto"/>
      </w:divBdr>
    </w:div>
    <w:div w:id="2005663853">
      <w:bodyDiv w:val="1"/>
      <w:marLeft w:val="0"/>
      <w:marRight w:val="0"/>
      <w:marTop w:val="0"/>
      <w:marBottom w:val="0"/>
      <w:divBdr>
        <w:top w:val="none" w:sz="0" w:space="0" w:color="auto"/>
        <w:left w:val="none" w:sz="0" w:space="0" w:color="auto"/>
        <w:bottom w:val="none" w:sz="0" w:space="0" w:color="auto"/>
        <w:right w:val="none" w:sz="0" w:space="0" w:color="auto"/>
      </w:divBdr>
    </w:div>
    <w:div w:id="2008359149">
      <w:bodyDiv w:val="1"/>
      <w:marLeft w:val="0"/>
      <w:marRight w:val="0"/>
      <w:marTop w:val="0"/>
      <w:marBottom w:val="0"/>
      <w:divBdr>
        <w:top w:val="none" w:sz="0" w:space="0" w:color="auto"/>
        <w:left w:val="none" w:sz="0" w:space="0" w:color="auto"/>
        <w:bottom w:val="none" w:sz="0" w:space="0" w:color="auto"/>
        <w:right w:val="none" w:sz="0" w:space="0" w:color="auto"/>
      </w:divBdr>
    </w:div>
    <w:div w:id="2008903185">
      <w:bodyDiv w:val="1"/>
      <w:marLeft w:val="0"/>
      <w:marRight w:val="0"/>
      <w:marTop w:val="0"/>
      <w:marBottom w:val="0"/>
      <w:divBdr>
        <w:top w:val="none" w:sz="0" w:space="0" w:color="auto"/>
        <w:left w:val="none" w:sz="0" w:space="0" w:color="auto"/>
        <w:bottom w:val="none" w:sz="0" w:space="0" w:color="auto"/>
        <w:right w:val="none" w:sz="0" w:space="0" w:color="auto"/>
      </w:divBdr>
    </w:div>
    <w:div w:id="2009601278">
      <w:bodyDiv w:val="1"/>
      <w:marLeft w:val="0"/>
      <w:marRight w:val="0"/>
      <w:marTop w:val="0"/>
      <w:marBottom w:val="0"/>
      <w:divBdr>
        <w:top w:val="none" w:sz="0" w:space="0" w:color="auto"/>
        <w:left w:val="none" w:sz="0" w:space="0" w:color="auto"/>
        <w:bottom w:val="none" w:sz="0" w:space="0" w:color="auto"/>
        <w:right w:val="none" w:sz="0" w:space="0" w:color="auto"/>
      </w:divBdr>
    </w:div>
    <w:div w:id="2012369628">
      <w:bodyDiv w:val="1"/>
      <w:marLeft w:val="0"/>
      <w:marRight w:val="0"/>
      <w:marTop w:val="0"/>
      <w:marBottom w:val="0"/>
      <w:divBdr>
        <w:top w:val="none" w:sz="0" w:space="0" w:color="auto"/>
        <w:left w:val="none" w:sz="0" w:space="0" w:color="auto"/>
        <w:bottom w:val="none" w:sz="0" w:space="0" w:color="auto"/>
        <w:right w:val="none" w:sz="0" w:space="0" w:color="auto"/>
      </w:divBdr>
    </w:div>
    <w:div w:id="2012444053">
      <w:bodyDiv w:val="1"/>
      <w:marLeft w:val="0"/>
      <w:marRight w:val="0"/>
      <w:marTop w:val="0"/>
      <w:marBottom w:val="0"/>
      <w:divBdr>
        <w:top w:val="none" w:sz="0" w:space="0" w:color="auto"/>
        <w:left w:val="none" w:sz="0" w:space="0" w:color="auto"/>
        <w:bottom w:val="none" w:sz="0" w:space="0" w:color="auto"/>
        <w:right w:val="none" w:sz="0" w:space="0" w:color="auto"/>
      </w:divBdr>
    </w:div>
    <w:div w:id="2017732959">
      <w:bodyDiv w:val="1"/>
      <w:marLeft w:val="0"/>
      <w:marRight w:val="0"/>
      <w:marTop w:val="0"/>
      <w:marBottom w:val="0"/>
      <w:divBdr>
        <w:top w:val="none" w:sz="0" w:space="0" w:color="auto"/>
        <w:left w:val="none" w:sz="0" w:space="0" w:color="auto"/>
        <w:bottom w:val="none" w:sz="0" w:space="0" w:color="auto"/>
        <w:right w:val="none" w:sz="0" w:space="0" w:color="auto"/>
      </w:divBdr>
    </w:div>
    <w:div w:id="2019579361">
      <w:bodyDiv w:val="1"/>
      <w:marLeft w:val="0"/>
      <w:marRight w:val="0"/>
      <w:marTop w:val="0"/>
      <w:marBottom w:val="0"/>
      <w:divBdr>
        <w:top w:val="none" w:sz="0" w:space="0" w:color="auto"/>
        <w:left w:val="none" w:sz="0" w:space="0" w:color="auto"/>
        <w:bottom w:val="none" w:sz="0" w:space="0" w:color="auto"/>
        <w:right w:val="none" w:sz="0" w:space="0" w:color="auto"/>
      </w:divBdr>
    </w:div>
    <w:div w:id="2024629154">
      <w:bodyDiv w:val="1"/>
      <w:marLeft w:val="0"/>
      <w:marRight w:val="0"/>
      <w:marTop w:val="0"/>
      <w:marBottom w:val="0"/>
      <w:divBdr>
        <w:top w:val="none" w:sz="0" w:space="0" w:color="auto"/>
        <w:left w:val="none" w:sz="0" w:space="0" w:color="auto"/>
        <w:bottom w:val="none" w:sz="0" w:space="0" w:color="auto"/>
        <w:right w:val="none" w:sz="0" w:space="0" w:color="auto"/>
      </w:divBdr>
    </w:div>
    <w:div w:id="2026858035">
      <w:bodyDiv w:val="1"/>
      <w:marLeft w:val="0"/>
      <w:marRight w:val="0"/>
      <w:marTop w:val="0"/>
      <w:marBottom w:val="0"/>
      <w:divBdr>
        <w:top w:val="none" w:sz="0" w:space="0" w:color="auto"/>
        <w:left w:val="none" w:sz="0" w:space="0" w:color="auto"/>
        <w:bottom w:val="none" w:sz="0" w:space="0" w:color="auto"/>
        <w:right w:val="none" w:sz="0" w:space="0" w:color="auto"/>
      </w:divBdr>
    </w:div>
    <w:div w:id="2028409719">
      <w:bodyDiv w:val="1"/>
      <w:marLeft w:val="0"/>
      <w:marRight w:val="0"/>
      <w:marTop w:val="0"/>
      <w:marBottom w:val="0"/>
      <w:divBdr>
        <w:top w:val="none" w:sz="0" w:space="0" w:color="auto"/>
        <w:left w:val="none" w:sz="0" w:space="0" w:color="auto"/>
        <w:bottom w:val="none" w:sz="0" w:space="0" w:color="auto"/>
        <w:right w:val="none" w:sz="0" w:space="0" w:color="auto"/>
      </w:divBdr>
    </w:div>
    <w:div w:id="2029210451">
      <w:bodyDiv w:val="1"/>
      <w:marLeft w:val="0"/>
      <w:marRight w:val="0"/>
      <w:marTop w:val="0"/>
      <w:marBottom w:val="0"/>
      <w:divBdr>
        <w:top w:val="none" w:sz="0" w:space="0" w:color="auto"/>
        <w:left w:val="none" w:sz="0" w:space="0" w:color="auto"/>
        <w:bottom w:val="none" w:sz="0" w:space="0" w:color="auto"/>
        <w:right w:val="none" w:sz="0" w:space="0" w:color="auto"/>
      </w:divBdr>
    </w:div>
    <w:div w:id="2039311725">
      <w:bodyDiv w:val="1"/>
      <w:marLeft w:val="0"/>
      <w:marRight w:val="0"/>
      <w:marTop w:val="0"/>
      <w:marBottom w:val="0"/>
      <w:divBdr>
        <w:top w:val="none" w:sz="0" w:space="0" w:color="auto"/>
        <w:left w:val="none" w:sz="0" w:space="0" w:color="auto"/>
        <w:bottom w:val="none" w:sz="0" w:space="0" w:color="auto"/>
        <w:right w:val="none" w:sz="0" w:space="0" w:color="auto"/>
      </w:divBdr>
    </w:div>
    <w:div w:id="2040424099">
      <w:bodyDiv w:val="1"/>
      <w:marLeft w:val="0"/>
      <w:marRight w:val="0"/>
      <w:marTop w:val="0"/>
      <w:marBottom w:val="0"/>
      <w:divBdr>
        <w:top w:val="none" w:sz="0" w:space="0" w:color="auto"/>
        <w:left w:val="none" w:sz="0" w:space="0" w:color="auto"/>
        <w:bottom w:val="none" w:sz="0" w:space="0" w:color="auto"/>
        <w:right w:val="none" w:sz="0" w:space="0" w:color="auto"/>
      </w:divBdr>
    </w:div>
    <w:div w:id="2049643198">
      <w:bodyDiv w:val="1"/>
      <w:marLeft w:val="0"/>
      <w:marRight w:val="0"/>
      <w:marTop w:val="0"/>
      <w:marBottom w:val="0"/>
      <w:divBdr>
        <w:top w:val="none" w:sz="0" w:space="0" w:color="auto"/>
        <w:left w:val="none" w:sz="0" w:space="0" w:color="auto"/>
        <w:bottom w:val="none" w:sz="0" w:space="0" w:color="auto"/>
        <w:right w:val="none" w:sz="0" w:space="0" w:color="auto"/>
      </w:divBdr>
    </w:div>
    <w:div w:id="2063794892">
      <w:bodyDiv w:val="1"/>
      <w:marLeft w:val="0"/>
      <w:marRight w:val="0"/>
      <w:marTop w:val="0"/>
      <w:marBottom w:val="0"/>
      <w:divBdr>
        <w:top w:val="none" w:sz="0" w:space="0" w:color="auto"/>
        <w:left w:val="none" w:sz="0" w:space="0" w:color="auto"/>
        <w:bottom w:val="none" w:sz="0" w:space="0" w:color="auto"/>
        <w:right w:val="none" w:sz="0" w:space="0" w:color="auto"/>
      </w:divBdr>
    </w:div>
    <w:div w:id="2070421226">
      <w:bodyDiv w:val="1"/>
      <w:marLeft w:val="0"/>
      <w:marRight w:val="0"/>
      <w:marTop w:val="0"/>
      <w:marBottom w:val="0"/>
      <w:divBdr>
        <w:top w:val="none" w:sz="0" w:space="0" w:color="auto"/>
        <w:left w:val="none" w:sz="0" w:space="0" w:color="auto"/>
        <w:bottom w:val="none" w:sz="0" w:space="0" w:color="auto"/>
        <w:right w:val="none" w:sz="0" w:space="0" w:color="auto"/>
      </w:divBdr>
    </w:div>
    <w:div w:id="2070881202">
      <w:bodyDiv w:val="1"/>
      <w:marLeft w:val="0"/>
      <w:marRight w:val="0"/>
      <w:marTop w:val="0"/>
      <w:marBottom w:val="0"/>
      <w:divBdr>
        <w:top w:val="none" w:sz="0" w:space="0" w:color="auto"/>
        <w:left w:val="none" w:sz="0" w:space="0" w:color="auto"/>
        <w:bottom w:val="none" w:sz="0" w:space="0" w:color="auto"/>
        <w:right w:val="none" w:sz="0" w:space="0" w:color="auto"/>
      </w:divBdr>
    </w:div>
    <w:div w:id="2073263189">
      <w:bodyDiv w:val="1"/>
      <w:marLeft w:val="0"/>
      <w:marRight w:val="0"/>
      <w:marTop w:val="0"/>
      <w:marBottom w:val="0"/>
      <w:divBdr>
        <w:top w:val="none" w:sz="0" w:space="0" w:color="auto"/>
        <w:left w:val="none" w:sz="0" w:space="0" w:color="auto"/>
        <w:bottom w:val="none" w:sz="0" w:space="0" w:color="auto"/>
        <w:right w:val="none" w:sz="0" w:space="0" w:color="auto"/>
      </w:divBdr>
    </w:div>
    <w:div w:id="2077504568">
      <w:bodyDiv w:val="1"/>
      <w:marLeft w:val="0"/>
      <w:marRight w:val="0"/>
      <w:marTop w:val="0"/>
      <w:marBottom w:val="0"/>
      <w:divBdr>
        <w:top w:val="none" w:sz="0" w:space="0" w:color="auto"/>
        <w:left w:val="none" w:sz="0" w:space="0" w:color="auto"/>
        <w:bottom w:val="none" w:sz="0" w:space="0" w:color="auto"/>
        <w:right w:val="none" w:sz="0" w:space="0" w:color="auto"/>
      </w:divBdr>
    </w:div>
    <w:div w:id="2079667469">
      <w:bodyDiv w:val="1"/>
      <w:marLeft w:val="0"/>
      <w:marRight w:val="0"/>
      <w:marTop w:val="0"/>
      <w:marBottom w:val="0"/>
      <w:divBdr>
        <w:top w:val="none" w:sz="0" w:space="0" w:color="auto"/>
        <w:left w:val="none" w:sz="0" w:space="0" w:color="auto"/>
        <w:bottom w:val="none" w:sz="0" w:space="0" w:color="auto"/>
        <w:right w:val="none" w:sz="0" w:space="0" w:color="auto"/>
      </w:divBdr>
    </w:div>
    <w:div w:id="2079743431">
      <w:bodyDiv w:val="1"/>
      <w:marLeft w:val="0"/>
      <w:marRight w:val="0"/>
      <w:marTop w:val="0"/>
      <w:marBottom w:val="0"/>
      <w:divBdr>
        <w:top w:val="none" w:sz="0" w:space="0" w:color="auto"/>
        <w:left w:val="none" w:sz="0" w:space="0" w:color="auto"/>
        <w:bottom w:val="none" w:sz="0" w:space="0" w:color="auto"/>
        <w:right w:val="none" w:sz="0" w:space="0" w:color="auto"/>
      </w:divBdr>
    </w:div>
    <w:div w:id="2080052683">
      <w:bodyDiv w:val="1"/>
      <w:marLeft w:val="0"/>
      <w:marRight w:val="0"/>
      <w:marTop w:val="0"/>
      <w:marBottom w:val="0"/>
      <w:divBdr>
        <w:top w:val="none" w:sz="0" w:space="0" w:color="auto"/>
        <w:left w:val="none" w:sz="0" w:space="0" w:color="auto"/>
        <w:bottom w:val="none" w:sz="0" w:space="0" w:color="auto"/>
        <w:right w:val="none" w:sz="0" w:space="0" w:color="auto"/>
      </w:divBdr>
    </w:div>
    <w:div w:id="2083598251">
      <w:bodyDiv w:val="1"/>
      <w:marLeft w:val="0"/>
      <w:marRight w:val="0"/>
      <w:marTop w:val="0"/>
      <w:marBottom w:val="0"/>
      <w:divBdr>
        <w:top w:val="none" w:sz="0" w:space="0" w:color="auto"/>
        <w:left w:val="none" w:sz="0" w:space="0" w:color="auto"/>
        <w:bottom w:val="none" w:sz="0" w:space="0" w:color="auto"/>
        <w:right w:val="none" w:sz="0" w:space="0" w:color="auto"/>
      </w:divBdr>
    </w:div>
    <w:div w:id="2085373479">
      <w:bodyDiv w:val="1"/>
      <w:marLeft w:val="0"/>
      <w:marRight w:val="0"/>
      <w:marTop w:val="0"/>
      <w:marBottom w:val="0"/>
      <w:divBdr>
        <w:top w:val="none" w:sz="0" w:space="0" w:color="auto"/>
        <w:left w:val="none" w:sz="0" w:space="0" w:color="auto"/>
        <w:bottom w:val="none" w:sz="0" w:space="0" w:color="auto"/>
        <w:right w:val="none" w:sz="0" w:space="0" w:color="auto"/>
      </w:divBdr>
    </w:div>
    <w:div w:id="2085949284">
      <w:bodyDiv w:val="1"/>
      <w:marLeft w:val="0"/>
      <w:marRight w:val="0"/>
      <w:marTop w:val="0"/>
      <w:marBottom w:val="0"/>
      <w:divBdr>
        <w:top w:val="none" w:sz="0" w:space="0" w:color="auto"/>
        <w:left w:val="none" w:sz="0" w:space="0" w:color="auto"/>
        <w:bottom w:val="none" w:sz="0" w:space="0" w:color="auto"/>
        <w:right w:val="none" w:sz="0" w:space="0" w:color="auto"/>
      </w:divBdr>
    </w:div>
    <w:div w:id="2087534809">
      <w:bodyDiv w:val="1"/>
      <w:marLeft w:val="0"/>
      <w:marRight w:val="0"/>
      <w:marTop w:val="0"/>
      <w:marBottom w:val="0"/>
      <w:divBdr>
        <w:top w:val="none" w:sz="0" w:space="0" w:color="auto"/>
        <w:left w:val="none" w:sz="0" w:space="0" w:color="auto"/>
        <w:bottom w:val="none" w:sz="0" w:space="0" w:color="auto"/>
        <w:right w:val="none" w:sz="0" w:space="0" w:color="auto"/>
      </w:divBdr>
    </w:div>
    <w:div w:id="2089693265">
      <w:bodyDiv w:val="1"/>
      <w:marLeft w:val="0"/>
      <w:marRight w:val="0"/>
      <w:marTop w:val="0"/>
      <w:marBottom w:val="0"/>
      <w:divBdr>
        <w:top w:val="none" w:sz="0" w:space="0" w:color="auto"/>
        <w:left w:val="none" w:sz="0" w:space="0" w:color="auto"/>
        <w:bottom w:val="none" w:sz="0" w:space="0" w:color="auto"/>
        <w:right w:val="none" w:sz="0" w:space="0" w:color="auto"/>
      </w:divBdr>
    </w:div>
    <w:div w:id="2092118033">
      <w:bodyDiv w:val="1"/>
      <w:marLeft w:val="0"/>
      <w:marRight w:val="0"/>
      <w:marTop w:val="0"/>
      <w:marBottom w:val="0"/>
      <w:divBdr>
        <w:top w:val="none" w:sz="0" w:space="0" w:color="auto"/>
        <w:left w:val="none" w:sz="0" w:space="0" w:color="auto"/>
        <w:bottom w:val="none" w:sz="0" w:space="0" w:color="auto"/>
        <w:right w:val="none" w:sz="0" w:space="0" w:color="auto"/>
      </w:divBdr>
    </w:div>
    <w:div w:id="2094472440">
      <w:bodyDiv w:val="1"/>
      <w:marLeft w:val="0"/>
      <w:marRight w:val="0"/>
      <w:marTop w:val="0"/>
      <w:marBottom w:val="0"/>
      <w:divBdr>
        <w:top w:val="none" w:sz="0" w:space="0" w:color="auto"/>
        <w:left w:val="none" w:sz="0" w:space="0" w:color="auto"/>
        <w:bottom w:val="none" w:sz="0" w:space="0" w:color="auto"/>
        <w:right w:val="none" w:sz="0" w:space="0" w:color="auto"/>
      </w:divBdr>
    </w:div>
    <w:div w:id="2098135056">
      <w:bodyDiv w:val="1"/>
      <w:marLeft w:val="0"/>
      <w:marRight w:val="0"/>
      <w:marTop w:val="0"/>
      <w:marBottom w:val="0"/>
      <w:divBdr>
        <w:top w:val="none" w:sz="0" w:space="0" w:color="auto"/>
        <w:left w:val="none" w:sz="0" w:space="0" w:color="auto"/>
        <w:bottom w:val="none" w:sz="0" w:space="0" w:color="auto"/>
        <w:right w:val="none" w:sz="0" w:space="0" w:color="auto"/>
      </w:divBdr>
    </w:div>
    <w:div w:id="2101679281">
      <w:bodyDiv w:val="1"/>
      <w:marLeft w:val="0"/>
      <w:marRight w:val="0"/>
      <w:marTop w:val="0"/>
      <w:marBottom w:val="0"/>
      <w:divBdr>
        <w:top w:val="none" w:sz="0" w:space="0" w:color="auto"/>
        <w:left w:val="none" w:sz="0" w:space="0" w:color="auto"/>
        <w:bottom w:val="none" w:sz="0" w:space="0" w:color="auto"/>
        <w:right w:val="none" w:sz="0" w:space="0" w:color="auto"/>
      </w:divBdr>
    </w:div>
    <w:div w:id="2107994746">
      <w:bodyDiv w:val="1"/>
      <w:marLeft w:val="0"/>
      <w:marRight w:val="0"/>
      <w:marTop w:val="0"/>
      <w:marBottom w:val="0"/>
      <w:divBdr>
        <w:top w:val="none" w:sz="0" w:space="0" w:color="auto"/>
        <w:left w:val="none" w:sz="0" w:space="0" w:color="auto"/>
        <w:bottom w:val="none" w:sz="0" w:space="0" w:color="auto"/>
        <w:right w:val="none" w:sz="0" w:space="0" w:color="auto"/>
      </w:divBdr>
    </w:div>
    <w:div w:id="2108771303">
      <w:bodyDiv w:val="1"/>
      <w:marLeft w:val="0"/>
      <w:marRight w:val="0"/>
      <w:marTop w:val="0"/>
      <w:marBottom w:val="0"/>
      <w:divBdr>
        <w:top w:val="none" w:sz="0" w:space="0" w:color="auto"/>
        <w:left w:val="none" w:sz="0" w:space="0" w:color="auto"/>
        <w:bottom w:val="none" w:sz="0" w:space="0" w:color="auto"/>
        <w:right w:val="none" w:sz="0" w:space="0" w:color="auto"/>
      </w:divBdr>
    </w:div>
    <w:div w:id="2110658839">
      <w:bodyDiv w:val="1"/>
      <w:marLeft w:val="0"/>
      <w:marRight w:val="0"/>
      <w:marTop w:val="0"/>
      <w:marBottom w:val="0"/>
      <w:divBdr>
        <w:top w:val="none" w:sz="0" w:space="0" w:color="auto"/>
        <w:left w:val="none" w:sz="0" w:space="0" w:color="auto"/>
        <w:bottom w:val="none" w:sz="0" w:space="0" w:color="auto"/>
        <w:right w:val="none" w:sz="0" w:space="0" w:color="auto"/>
      </w:divBdr>
    </w:div>
    <w:div w:id="2112388686">
      <w:bodyDiv w:val="1"/>
      <w:marLeft w:val="0"/>
      <w:marRight w:val="0"/>
      <w:marTop w:val="0"/>
      <w:marBottom w:val="0"/>
      <w:divBdr>
        <w:top w:val="none" w:sz="0" w:space="0" w:color="auto"/>
        <w:left w:val="none" w:sz="0" w:space="0" w:color="auto"/>
        <w:bottom w:val="none" w:sz="0" w:space="0" w:color="auto"/>
        <w:right w:val="none" w:sz="0" w:space="0" w:color="auto"/>
      </w:divBdr>
    </w:div>
    <w:div w:id="2115862441">
      <w:bodyDiv w:val="1"/>
      <w:marLeft w:val="0"/>
      <w:marRight w:val="0"/>
      <w:marTop w:val="0"/>
      <w:marBottom w:val="0"/>
      <w:divBdr>
        <w:top w:val="none" w:sz="0" w:space="0" w:color="auto"/>
        <w:left w:val="none" w:sz="0" w:space="0" w:color="auto"/>
        <w:bottom w:val="none" w:sz="0" w:space="0" w:color="auto"/>
        <w:right w:val="none" w:sz="0" w:space="0" w:color="auto"/>
      </w:divBdr>
    </w:div>
    <w:div w:id="2119445983">
      <w:bodyDiv w:val="1"/>
      <w:marLeft w:val="0"/>
      <w:marRight w:val="0"/>
      <w:marTop w:val="0"/>
      <w:marBottom w:val="0"/>
      <w:divBdr>
        <w:top w:val="none" w:sz="0" w:space="0" w:color="auto"/>
        <w:left w:val="none" w:sz="0" w:space="0" w:color="auto"/>
        <w:bottom w:val="none" w:sz="0" w:space="0" w:color="auto"/>
        <w:right w:val="none" w:sz="0" w:space="0" w:color="auto"/>
      </w:divBdr>
    </w:div>
    <w:div w:id="2119521399">
      <w:bodyDiv w:val="1"/>
      <w:marLeft w:val="0"/>
      <w:marRight w:val="0"/>
      <w:marTop w:val="0"/>
      <w:marBottom w:val="0"/>
      <w:divBdr>
        <w:top w:val="none" w:sz="0" w:space="0" w:color="auto"/>
        <w:left w:val="none" w:sz="0" w:space="0" w:color="auto"/>
        <w:bottom w:val="none" w:sz="0" w:space="0" w:color="auto"/>
        <w:right w:val="none" w:sz="0" w:space="0" w:color="auto"/>
      </w:divBdr>
    </w:div>
    <w:div w:id="2121410871">
      <w:bodyDiv w:val="1"/>
      <w:marLeft w:val="0"/>
      <w:marRight w:val="0"/>
      <w:marTop w:val="0"/>
      <w:marBottom w:val="0"/>
      <w:divBdr>
        <w:top w:val="none" w:sz="0" w:space="0" w:color="auto"/>
        <w:left w:val="none" w:sz="0" w:space="0" w:color="auto"/>
        <w:bottom w:val="none" w:sz="0" w:space="0" w:color="auto"/>
        <w:right w:val="none" w:sz="0" w:space="0" w:color="auto"/>
      </w:divBdr>
    </w:div>
    <w:div w:id="2126577729">
      <w:bodyDiv w:val="1"/>
      <w:marLeft w:val="0"/>
      <w:marRight w:val="0"/>
      <w:marTop w:val="0"/>
      <w:marBottom w:val="0"/>
      <w:divBdr>
        <w:top w:val="none" w:sz="0" w:space="0" w:color="auto"/>
        <w:left w:val="none" w:sz="0" w:space="0" w:color="auto"/>
        <w:bottom w:val="none" w:sz="0" w:space="0" w:color="auto"/>
        <w:right w:val="none" w:sz="0" w:space="0" w:color="auto"/>
      </w:divBdr>
    </w:div>
    <w:div w:id="2127580326">
      <w:bodyDiv w:val="1"/>
      <w:marLeft w:val="0"/>
      <w:marRight w:val="0"/>
      <w:marTop w:val="0"/>
      <w:marBottom w:val="0"/>
      <w:divBdr>
        <w:top w:val="none" w:sz="0" w:space="0" w:color="auto"/>
        <w:left w:val="none" w:sz="0" w:space="0" w:color="auto"/>
        <w:bottom w:val="none" w:sz="0" w:space="0" w:color="auto"/>
        <w:right w:val="none" w:sz="0" w:space="0" w:color="auto"/>
      </w:divBdr>
    </w:div>
    <w:div w:id="2139032870">
      <w:bodyDiv w:val="1"/>
      <w:marLeft w:val="0"/>
      <w:marRight w:val="0"/>
      <w:marTop w:val="0"/>
      <w:marBottom w:val="0"/>
      <w:divBdr>
        <w:top w:val="none" w:sz="0" w:space="0" w:color="auto"/>
        <w:left w:val="none" w:sz="0" w:space="0" w:color="auto"/>
        <w:bottom w:val="none" w:sz="0" w:space="0" w:color="auto"/>
        <w:right w:val="none" w:sz="0" w:space="0" w:color="auto"/>
      </w:divBdr>
    </w:div>
    <w:div w:id="2141655008">
      <w:bodyDiv w:val="1"/>
      <w:marLeft w:val="0"/>
      <w:marRight w:val="0"/>
      <w:marTop w:val="0"/>
      <w:marBottom w:val="0"/>
      <w:divBdr>
        <w:top w:val="none" w:sz="0" w:space="0" w:color="auto"/>
        <w:left w:val="none" w:sz="0" w:space="0" w:color="auto"/>
        <w:bottom w:val="none" w:sz="0" w:space="0" w:color="auto"/>
        <w:right w:val="none" w:sz="0" w:space="0" w:color="auto"/>
      </w:divBdr>
    </w:div>
    <w:div w:id="2141996214">
      <w:bodyDiv w:val="1"/>
      <w:marLeft w:val="0"/>
      <w:marRight w:val="0"/>
      <w:marTop w:val="0"/>
      <w:marBottom w:val="0"/>
      <w:divBdr>
        <w:top w:val="none" w:sz="0" w:space="0" w:color="auto"/>
        <w:left w:val="none" w:sz="0" w:space="0" w:color="auto"/>
        <w:bottom w:val="none" w:sz="0" w:space="0" w:color="auto"/>
        <w:right w:val="none" w:sz="0" w:space="0" w:color="auto"/>
      </w:divBdr>
    </w:div>
    <w:div w:id="2142842506">
      <w:bodyDiv w:val="1"/>
      <w:marLeft w:val="0"/>
      <w:marRight w:val="0"/>
      <w:marTop w:val="0"/>
      <w:marBottom w:val="0"/>
      <w:divBdr>
        <w:top w:val="none" w:sz="0" w:space="0" w:color="auto"/>
        <w:left w:val="none" w:sz="0" w:space="0" w:color="auto"/>
        <w:bottom w:val="none" w:sz="0" w:space="0" w:color="auto"/>
        <w:right w:val="none" w:sz="0" w:space="0" w:color="auto"/>
      </w:divBdr>
    </w:div>
    <w:div w:id="2144229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Bor09</b:Tag>
    <b:SourceType>JournalArticle</b:SourceType>
    <b:Guid>{FFBA3E3E-B8D0-4D74-892E-C785412AE680}</b:Guid>
    <b:Author>
      <b:Author>
        <b:NameList>
          <b:Person>
            <b:Last>Borrego</b:Last>
            <b:First>M.</b:First>
          </b:Person>
          <b:Person>
            <b:Last>Douglas</b:Last>
            <b:First>E.P.</b:First>
          </b:Person>
          <b:Person>
            <b:Last>Amelink</b:Last>
            <b:First>C.T.</b:First>
          </b:Person>
        </b:NameList>
      </b:Author>
    </b:Author>
    <b:Title>Quantitative, qualitative, and mixed research methods in engineering education</b:Title>
    <b:JournalName>Journal of Engineering education</b:JournalName>
    <b:Year>2009</b:Year>
    <b:Pages>53-66</b:Pages>
    <b:Volume>98</b:Volume>
    <b:Issue>1</b:Issue>
    <b:RefOrder>6</b:RefOrder>
  </b:Source>
  <b:Source>
    <b:Tag>McC15</b:Tag>
    <b:SourceType>JournalArticle</b:SourceType>
    <b:Guid>{3263A3C6-72A8-4C72-95A1-6F57697F5A67}</b:Guid>
    <b:Author>
      <b:Author>
        <b:NameList>
          <b:Person>
            <b:Last>McCusker</b:Last>
            <b:First>Kevin</b:First>
          </b:Person>
          <b:Person>
            <b:Last>Gunaydin</b:Last>
            <b:First>Sau</b:First>
          </b:Person>
        </b:NameList>
      </b:Author>
    </b:Author>
    <b:Title>Research using qualitative, quantitative or mixed methods and choice based on the research</b:Title>
    <b:Year>2015</b:Year>
    <b:JournalName>Perfusion</b:JournalName>
    <b:Pages>537-542</b:Pages>
    <b:Volume>30</b:Volume>
    <b:Issue>7</b:Issue>
    <b:RefOrder>7</b:RefOrder>
  </b:Source>
  <b:Source>
    <b:Tag>Nar00</b:Tag>
    <b:SourceType>JournalArticle</b:SourceType>
    <b:Guid>{6931639F-3026-439B-937D-C864B96F2E89}</b:Guid>
    <b:Title>Industrial development, globalization and multinational enterprises: new realities for developing countries</b:Title>
    <b:Year>2000</b:Year>
    <b:Author>
      <b:Author>
        <b:NameList>
          <b:Person>
            <b:Last>Narula</b:Last>
            <b:First>Rajneesh</b:First>
          </b:Person>
          <b:Person>
            <b:Last>Dunning</b:Last>
            <b:First>John</b:First>
            <b:Middle>H.</b:Middle>
          </b:Person>
        </b:NameList>
      </b:Author>
    </b:Author>
    <b:JournalName>Oxford development studies</b:JournalName>
    <b:Pages>141-167</b:Pages>
    <b:Volume>28</b:Volume>
    <b:Issue>2</b:Issue>
    <b:RefOrder>8</b:RefOrder>
  </b:Source>
  <b:Source>
    <b:Tag>Aud14</b:Tag>
    <b:SourceType>JournalArticle</b:SourceType>
    <b:Guid>{52C9B528-7266-470B-B255-FFFE4BA83AA9}</b:Guid>
    <b:Author>
      <b:Author>
        <b:NameList>
          <b:Person>
            <b:Last>Audretsch</b:Last>
            <b:First>D.B.</b:First>
          </b:Person>
          <b:Person>
            <b:Last>Lehmann</b:Last>
            <b:First>E.E.</b:First>
          </b:Person>
          <b:Person>
            <b:Last>Wright</b:Last>
            <b:First>M.</b:First>
          </b:Person>
        </b:NameList>
      </b:Author>
    </b:Author>
    <b:Title>Technology transfer in a global economy</b:Title>
    <b:JournalName>The Journal of Technology Transfer</b:JournalName>
    <b:Year>2014</b:Year>
    <b:Pages>301-312</b:Pages>
    <b:Volume>39</b:Volume>
    <b:Issue>3</b:Issue>
    <b:RefOrder>9</b:RefOrder>
  </b:Source>
  <b:Source>
    <b:Tag>Rot17</b:Tag>
    <b:SourceType>JournalArticle</b:SourceType>
    <b:Guid>{AF3B3A18-57CC-437F-9DF2-8115F7B9BB87}</b:Guid>
    <b:Author>
      <b:Author>
        <b:NameList>
          <b:Person>
            <b:Last>Rothenberg</b:Last>
            <b:First>S.</b:First>
          </b:Person>
          <b:Person>
            <b:Last>Hull</b:Last>
            <b:First>C.E.</b:First>
          </b:Person>
          <b:Person>
            <b:Last>Tang</b:Last>
            <b:First>Z.,</b:First>
          </b:Person>
        </b:NameList>
      </b:Author>
    </b:Author>
    <b:Title>The impact of human resource management on corporate social performance strengths and concerns</b:Title>
    <b:JournalName>Business &amp; Society</b:JournalName>
    <b:Year>2017</b:Year>
    <b:Pages>391-418</b:Pages>
    <b:Volume>56</b:Volume>
    <b:Issue>3</b:Issue>
    <b:RefOrder>10</b:RefOrder>
  </b:Source>
  <b:Source>
    <b:Tag>Pai14</b:Tag>
    <b:SourceType>JournalArticle</b:SourceType>
    <b:Guid>{8A712CC8-528E-4992-92D9-4B90AC929726}</b:Guid>
    <b:Author>
      <b:Author>
        <b:NameList>
          <b:Person>
            <b:Last>Paillé</b:Last>
            <b:First>P.</b:First>
          </b:Person>
          <b:Person>
            <b:Last>Chen</b:Last>
            <b:First>Y.</b:First>
          </b:Person>
          <b:Person>
            <b:Last>Boiral</b:Last>
            <b:First>O.</b:First>
          </b:Person>
          <b:Person>
            <b:Last>Jin</b:Last>
            <b:First>J.,</b:First>
          </b:Person>
        </b:NameList>
      </b:Author>
    </b:Author>
    <b:Title>The impact of human resource management on environmental performance: An employee-level study</b:Title>
    <b:JournalName>Journal of Business Ethics</b:JournalName>
    <b:Year>2014</b:Year>
    <b:Pages>451-466</b:Pages>
    <b:Volume>121</b:Volume>
    <b:Issue>3</b:Issue>
    <b:RefOrder>11</b:RefOrder>
  </b:Source>
  <b:Source>
    <b:Tag>Van15</b:Tag>
    <b:SourceType>JournalArticle</b:SourceType>
    <b:Guid>{8A16DDB1-36E2-4705-9837-25AA8A9819B4}</b:Guid>
    <b:Author>
      <b:Author>
        <b:NameList>
          <b:Person>
            <b:Last>Van De Voorde</b:Last>
            <b:First>K.</b:First>
          </b:Person>
          <b:Person>
            <b:Last>Beijer</b:Last>
            <b:First>S.</b:First>
          </b:Person>
        </b:NameList>
      </b:Author>
    </b:Author>
    <b:Title>The role of employee HR attributions in the relationship between high‐performance work systems and employee outcomes</b:Title>
    <b:JournalName>Human Resource Management Journal</b:JournalName>
    <b:Year>2015</b:Year>
    <b:Pages>62-78</b:Pages>
    <b:Volume>25</b:Volume>
    <b:Issue>1</b:Issue>
    <b:RefOrder>12</b:RefOrder>
  </b:Source>
  <b:Source>
    <b:Tag>Lat16</b:Tag>
    <b:SourceType>JournalArticle</b:SourceType>
    <b:Guid>{AFA73FFD-D6DD-4294-807C-D30B44183627}</b:Guid>
    <b:Author>
      <b:Author>
        <b:NameList>
          <b:Person>
            <b:Last>Latorre</b:Last>
            <b:First>F.</b:First>
          </b:Person>
          <b:Person>
            <b:Last>Guest</b:Last>
            <b:First>D.</b:First>
          </b:Person>
          <b:Person>
            <b:Last>Ramos</b:Last>
            <b:First>J.</b:First>
          </b:Person>
          <b:Person>
            <b:Last>Gracia</b:Last>
            <b:First>F.J.</b:First>
          </b:Person>
        </b:NameList>
      </b:Author>
    </b:Author>
    <b:Title>High commitment HR practices, the employment relationship and job performance: A test of a mediation model</b:Title>
    <b:JournalName>European Management Journal</b:JournalName>
    <b:Year>2016</b:Year>
    <b:Pages>328-337</b:Pages>
    <b:Volume>34</b:Volume>
    <b:Issue>4</b:Issue>
    <b:RefOrder>13</b:RefOrder>
  </b:Source>
  <b:Source>
    <b:Tag>Mas16</b:Tag>
    <b:SourceType>JournalArticle</b:SourceType>
    <b:Guid>{4BCAE432-41A6-458C-A857-AE7D61B088F4}</b:Guid>
    <b:Author>
      <b:Author>
        <b:NameList>
          <b:Person>
            <b:Last>Masum</b:Last>
            <b:First>A.K.M.</b:First>
          </b:Person>
          <b:Person>
            <b:Last>Azad</b:Last>
            <b:First>M.A.K.</b:First>
          </b:Person>
          <b:Person>
            <b:Last>Beh</b:Last>
            <b:First>L.S.</b:First>
          </b:Person>
        </b:NameList>
      </b:Author>
    </b:Author>
    <b:Title>The role of human resource management practices in bank performance</b:Title>
    <b:JournalName>Total Quality Management &amp; Business Excellence</b:JournalName>
    <b:Year>2016</b:Year>
    <b:Pages>382-397</b:Pages>
    <b:Volume>27</b:Volume>
    <b:Issue>3</b:Issue>
    <b:RefOrder>14</b:RefOrder>
  </b:Source>
  <b:Source>
    <b:Tag>Tia16</b:Tag>
    <b:SourceType>JournalArticle</b:SourceType>
    <b:Guid>{FEA769FA-8AB9-425F-A3CD-B969E901F82F}</b:Guid>
    <b:Author>
      <b:Author>
        <b:NameList>
          <b:Person>
            <b:Last>Tian</b:Last>
            <b:First>A.W.</b:First>
          </b:Person>
          <b:Person>
            <b:Last>Cordery</b:Last>
            <b:First>J.</b:First>
          </b:Person>
          <b:Person>
            <b:Last>Gamble</b:Last>
            <b:First>J.,</b:First>
          </b:Person>
        </b:NameList>
      </b:Author>
    </b:Author>
    <b:Title>Staying and performing: How human resource management practices increase job embeddedness and performance</b:Title>
    <b:JournalName>Personnel Review</b:JournalName>
    <b:Year>2016</b:Year>
    <b:Pages>947-968</b:Pages>
    <b:Volume>45</b:Volume>
    <b:Issue>5</b:Issue>
    <b:RefOrder>15</b:RefOrder>
  </b:Source>
  <b:Source>
    <b:Tag>Fir96</b:Tag>
    <b:SourceType>JournalArticle</b:SourceType>
    <b:Guid>{FC99007F-87F4-478D-B2D9-61CAA7977FF6}</b:Guid>
    <b:Title>The remuneration of CEOs and corporate financial performance in Norway</b:Title>
    <b:Year>1996</b:Year>
    <b:Author>
      <b:Author>
        <b:NameList>
          <b:Person>
            <b:Last>Firth</b:Last>
            <b:First>M.</b:First>
          </b:Person>
          <b:Person>
            <b:Last>Lohne</b:Last>
            <b:First>J.C.</b:First>
          </b:Person>
          <b:Person>
            <b:Last>Ropstad</b:Last>
            <b:First>R.</b:First>
          </b:Person>
          <b:Person>
            <b:Last>Sjo</b:Last>
            <b:First>J.</b:First>
          </b:Person>
        </b:NameList>
      </b:Author>
    </b:Author>
    <b:JournalName>Managerial and Decision Economics</b:JournalName>
    <b:Pages>291-301</b:Pages>
    <b:Volume>17</b:Volume>
    <b:Issue>3</b:Issue>
    <b:RefOrder>16</b:RefOrder>
  </b:Source>
  <b:Source>
    <b:Tag>Bru01</b:Tag>
    <b:SourceType>JournalArticle</b:SourceType>
    <b:Guid>{DDE0C15D-CAE8-4F48-A784-34EF1927E380}</b:Guid>
    <b:Author>
      <b:Author>
        <b:NameList>
          <b:Person>
            <b:Last>Brunello</b:Last>
            <b:First>Giorgio</b:First>
          </b:Person>
          <b:Person>
            <b:Last>Graziano</b:Last>
            <b:First>Clara</b:First>
          </b:Person>
          <b:Person>
            <b:Last>Parigi</b:Last>
            <b:First>Bruno</b:First>
          </b:Person>
        </b:NameList>
      </b:Author>
    </b:Author>
    <b:Title>Executive compensation and firm performance in Italy</b:Title>
    <b:JournalName>International Journal of Industrial Organization</b:JournalName>
    <b:Year>2001</b:Year>
    <b:Pages>133-161</b:Pages>
    <b:Volume>19</b:Volume>
    <b:Issue>1</b:Issue>
    <b:RefOrder>17</b:RefOrder>
  </b:Source>
  <b:Source>
    <b:Tag>Dey15</b:Tag>
    <b:SourceType>JournalArticle</b:SourceType>
    <b:Guid>{BD327CC6-4BD0-4E15-A4F8-431ED511C08B}</b:Guid>
    <b:Author>
      <b:Author>
        <b:NameList>
          <b:Person>
            <b:Last>Deysel</b:Last>
            <b:First>B.</b:First>
          </b:Person>
          <b:Person>
            <b:Last>Kruger</b:Last>
            <b:First>J.</b:First>
          </b:Person>
        </b:NameList>
      </b:Author>
    </b:Author>
    <b:Title>The relationship between South African CEO compensation and company performance in the banking industry</b:Title>
    <b:JournalName>Southern African Business Review</b:JournalName>
    <b:Year>2015</b:Year>
    <b:Pages>137-169</b:Pages>
    <b:Volume>19</b:Volume>
    <b:Issue>1</b:Issue>
    <b:RefOrder>18</b:RefOrder>
  </b:Source>
  <b:Source>
    <b:Tag>Coo79</b:Tag>
    <b:SourceType>JournalArticle</b:SourceType>
    <b:Guid>{BF2AE0F5-8361-4DB8-83ED-4C7DB713251F}</b:Guid>
    <b:Author>
      <b:Author>
        <b:NameList>
          <b:Person>
            <b:Last>Cooley</b:Last>
            <b:First>Philip</b:First>
            <b:Middle>L.</b:Middle>
          </b:Person>
        </b:NameList>
      </b:Author>
    </b:Author>
    <b:Title>Managerial pay and financial performance of small business</b:Title>
    <b:JournalName>Journal of Business Research </b:JournalName>
    <b:Year>1979</b:Year>
    <b:Pages>267-276</b:Pages>
    <b:Volume>7</b:Volume>
    <b:Issue>3</b:Issue>
    <b:RefOrder>19</b:RefOrder>
  </b:Source>
  <b:Source>
    <b:Tag>Luo11</b:Tag>
    <b:SourceType>JournalArticle</b:SourceType>
    <b:Guid>{1B55BC8C-ABA8-4B6C-97AD-A216B0BF90AC}</b:Guid>
    <b:Author>
      <b:Author>
        <b:NameList>
          <b:Person>
            <b:Last>Luo</b:Last>
            <b:First>Y.</b:First>
          </b:Person>
          <b:Person>
            <b:Last>Jackson</b:Last>
            <b:First>D.</b:First>
          </b:Person>
        </b:NameList>
      </b:Author>
    </b:Author>
    <b:Title>Executive compensation, ownership structure and firm performance in Chinese financial corporations</b:Title>
    <b:JournalName>Global Business and Finance Review</b:JournalName>
    <b:Year>2011</b:Year>
    <b:Pages>56-74</b:Pages>
    <b:RefOrder>20</b:RefOrder>
  </b:Source>
  <b:Source>
    <b:Tag>Lau04</b:Tag>
    <b:SourceType>JournalArticle</b:SourceType>
    <b:Guid>{8E6A1F00-2EF9-49FA-9DAA-C749FB184A4F}</b:Guid>
    <b:Author>
      <b:Author>
        <b:NameList>
          <b:Person>
            <b:Last>Lau</b:Last>
            <b:First>A.</b:First>
          </b:Person>
          <b:Person>
            <b:Last>Vos</b:Last>
            <b:First>E.</b:First>
          </b:Person>
        </b:NameList>
      </b:Author>
    </b:Author>
    <b:Title>Relation between CEO compensation, firm size and firm performance</b:Title>
    <b:JournalName>New Zealand Journal of Applied Business Research</b:JournalName>
    <b:Year>2004</b:Year>
    <b:Pages>51-64</b:Pages>
    <b:Volume>3</b:Volume>
    <b:Issue>1</b:Issue>
    <b:RefOrder>21</b:RefOrder>
  </b:Source>
  <b:Source>
    <b:Tag>Zho99</b:Tag>
    <b:SourceType>JournalArticle</b:SourceType>
    <b:Guid>{C7A7C468-34D0-473C-B4E3-2776C7D92756}</b:Guid>
    <b:Author>
      <b:Author>
        <b:NameList>
          <b:Person>
            <b:Last>Zhou</b:Last>
            <b:First>X.</b:First>
          </b:Person>
        </b:NameList>
      </b:Author>
    </b:Author>
    <b:Title>Executive compensation and managerial incentives: A comparison between Canada and the United States</b:Title>
    <b:JournalName>Journal of Corporate Finance</b:JournalName>
    <b:Year>1999</b:Year>
    <b:Pages>277-301</b:Pages>
    <b:Volume>5</b:Volume>
    <b:Issue>3</b:Issue>
    <b:RefOrder>22</b:RefOrder>
  </b:Source>
  <b:Source>
    <b:Tag>Fai15</b:Tag>
    <b:SourceType>JournalArticle</b:SourceType>
    <b:Guid>{913FFE9D-D83C-4595-B33E-8D78331E6F67}</b:Guid>
    <b:Author>
      <b:Author>
        <b:NameList>
          <b:Person>
            <b:Last>Ahammad</b:Last>
            <b:First>M.</b:First>
            <b:Middle>F.</b:Middle>
          </b:Person>
          <b:Person>
            <b:Last>Mook Lee</b:Last>
            <b:First>S.</b:First>
          </b:Person>
          <b:Person>
            <b:Last>Malul</b:Last>
            <b:First>M.</b:First>
          </b:Person>
          <b:Person>
            <b:Last>Shoham</b:Last>
            <b:First>A.,</b:First>
          </b:Person>
        </b:NameList>
      </b:Author>
    </b:Author>
    <b:Title>Behavioral ambidexterity: The impact of incentive schemes on productivity, motivation, and performance of employees in commercial banks</b:Title>
    <b:JournalName>Human Resource Management</b:JournalName>
    <b:Year>2015</b:Year>
    <b:Pages>s45-s62</b:Pages>
    <b:Volume>54</b:Volume>
    <b:Issue>s1</b:Issue>
    <b:RefOrder>23</b:RefOrder>
  </b:Source>
  <b:Source>
    <b:Tag>Sub09</b:Tag>
    <b:SourceType>JournalArticle</b:SourceType>
    <b:Guid>{F7C41F80-4514-402F-A6B5-3584E9DECA30}</b:Guid>
    <b:Author>
      <b:Author>
        <b:NameList>
          <b:Person>
            <b:Last>Subramony</b:Last>
            <b:First>M.</b:First>
          </b:Person>
        </b:NameList>
      </b:Author>
    </b:Author>
    <b:Title>A meta‐analytic investigation of the relationship between HRM bundles and firm performance</b:Title>
    <b:JournalName>Human resource management</b:JournalName>
    <b:Year>2009</b:Year>
    <b:Pages>745-768</b:Pages>
    <b:Volume>48</b:Volume>
    <b:Issue>5</b:Issue>
    <b:RefOrder>24</b:RefOrder>
  </b:Source>
  <b:Source>
    <b:Tag>Sar17</b:Tag>
    <b:SourceType>JournalArticle</b:SourceType>
    <b:Guid>{248785AD-FF4B-4F94-82A8-6A395BD1B426}</b:Guid>
    <b:Author>
      <b:Author>
        <b:NameList>
          <b:Person>
            <b:Last>Saridakis</b:Last>
            <b:First>G.</b:First>
          </b:Person>
          <b:Person>
            <b:Last>Lai</b:Last>
            <b:First>Y.</b:First>
          </b:Person>
          <b:Person>
            <b:Last>Cooper</b:Last>
            <b:First>C.L</b:First>
          </b:Person>
        </b:NameList>
      </b:Author>
    </b:Author>
    <b:Title>Exploring the relationship between HRM and firm performance: A meta-analysis of longitudinal studies</b:Title>
    <b:JournalName>Human Resource Management Review</b:JournalName>
    <b:Year>2017</b:Year>
    <b:Pages>87-96</b:Pages>
    <b:Volume>27</b:Volume>
    <b:Issue>1</b:Issue>
    <b:RefOrder>25</b:RefOrder>
  </b:Source>
  <b:Source>
    <b:Tag>Ben17</b:Tag>
    <b:SourceType>JournalArticle</b:SourceType>
    <b:Guid>{B69CAACF-D0B9-4A05-9940-BFB97A59DE3F}</b:Guid>
    <b:Author>
      <b:Author>
        <b:NameList>
          <b:Person>
            <b:Last>Bennett</b:Last>
            <b:First>Benjamin</b:First>
          </b:Person>
          <b:Person>
            <b:Last>Bettis</b:Last>
            <b:First>J.</b:First>
            <b:Middle>Carr</b:Middle>
          </b:Person>
          <b:Person>
            <b:Last>Gopalan</b:Last>
            <b:First>Radhakrishnan</b:First>
          </b:Person>
          <b:Person>
            <b:Last>Milbourn</b:Last>
            <b:First>Todd</b:First>
          </b:Person>
        </b:NameList>
      </b:Author>
    </b:Author>
    <b:Title>Compensation goals and firm performance</b:Title>
    <b:JournalName>Journal of Financial Economics</b:JournalName>
    <b:Year>2017</b:Year>
    <b:Pages>307-330</b:Pages>
    <b:Volume>124</b:Volume>
    <b:Issue>2</b:Issue>
    <b:RefOrder>26</b:RefOrder>
  </b:Source>
  <b:Source>
    <b:Tag>Har161</b:Tag>
    <b:SourceType>JournalArticle</b:SourceType>
    <b:Guid>{592E8F99-ECBD-44FF-BC2B-0F9DB5415260}</b:Guid>
    <b:Author>
      <b:Author>
        <b:NameList>
          <b:Person>
            <b:Last>Harper</b:Last>
            <b:First>A.</b:First>
          </b:Person>
          <b:Person>
            <b:Last>Jin</b:Last>
            <b:First>Z.</b:First>
          </b:Person>
        </b:NameList>
      </b:Author>
    </b:Author>
    <b:Title> The determinants of CEO compensation in the US general merchandise sector</b:Title>
    <b:JournalName>Journal of Finance</b:JournalName>
    <b:Year>2016</b:Year>
    <b:RefOrder>27</b:RefOrder>
  </b:Source>
  <b:Source>
    <b:Tag>Lin16</b:Tag>
    <b:SourceType>Report</b:SourceType>
    <b:Guid>{C0566172-C036-488B-A53F-C455B65EA6D2}</b:Guid>
    <b:Author>
      <b:Author>
        <b:NameList>
          <b:Person>
            <b:Last>Lindström</b:Last>
            <b:First>A.</b:First>
          </b:Person>
          <b:Person>
            <b:Last>Svensson</b:Last>
            <b:First>J.</b:First>
          </b:Person>
        </b:NameList>
      </b:Author>
    </b:Author>
    <b:Title>Top Management Compensation and Firm Performance: A matter of context?</b:Title>
    <b:Year>2016</b:Year>
    <b:Publisher>Department of Business Studies Uppsala University</b:Publisher>
    <b:RefOrder>28</b:RefOrder>
  </b:Source>
  <b:Source>
    <b:Tag>LiY18</b:Tag>
    <b:SourceType>JournalArticle</b:SourceType>
    <b:Guid>{D1D78445-6EA7-4C70-B439-86E855448B58}</b:Guid>
    <b:Title>Firm Performance in the Hospitality Industry: Do CEO Attributes and Compensation Matter?</b:Title>
    <b:Year>2018</b:Year>
    <b:Author>
      <b:Author>
        <b:NameList>
          <b:Person>
            <b:Last>Li</b:Last>
            <b:First>Y.</b:First>
          </b:Person>
          <b:Person>
            <b:Last>Singal</b:Last>
            <b:First>M.</b:First>
          </b:Person>
        </b:NameList>
      </b:Author>
    </b:Author>
    <b:JournalName>Journal of Hospitality &amp; Tourism Research</b:JournalName>
    <b:Pages>1–11</b:Pages>
    <b:Volume>20</b:Volume>
    <b:Issue>10</b:Issue>
    <b:RefOrder>29</b:RefOrder>
  </b:Source>
  <b:Source>
    <b:Tag>Wij18</b:Tag>
    <b:SourceType>JournalArticle</b:SourceType>
    <b:Guid>{9A79A5D8-90B6-4663-91B2-A845F1E1BF5A}</b:Guid>
    <b:Author>
      <b:Author>
        <b:NameList>
          <b:Person>
            <b:Last>Wijst</b:Last>
            <b:First>N.</b:First>
          </b:Person>
        </b:NameList>
      </b:Author>
    </b:Author>
    <b:Title>The influence of CEO compensation on firm performance and its relation to economic growth</b:Title>
    <b:Year>2018</b:Year>
    <b:RefOrder>30</b:RefOrder>
  </b:Source>
  <b:Source>
    <b:Tag>Bri06</b:Tag>
    <b:SourceType>JournalArticle</b:SourceType>
    <b:Guid>{963D2951-D36D-437A-9225-37FEA5AEECFB}</b:Guid>
    <b:Author>
      <b:Author>
        <b:NameList>
          <b:Person>
            <b:Last>Brick</b:Last>
            <b:First>Ivan</b:First>
            <b:Middle>E.</b:Middle>
          </b:Person>
          <b:Person>
            <b:Last>Palmon</b:Last>
            <b:First>Oded</b:First>
          </b:Person>
          <b:Person>
            <b:Last>Wald</b:Last>
            <b:First>John</b:First>
            <b:Middle>K.</b:Middle>
          </b:Person>
        </b:NameList>
      </b:Author>
    </b:Author>
    <b:Title>CEO compensation, director compensation, and firm performance: Evidence of cronyism?</b:Title>
    <b:JournalName>Journal of Corporate Finance</b:JournalName>
    <b:Year>2006</b:Year>
    <b:Pages>403-423</b:Pages>
    <b:Volume>12</b:Volume>
    <b:Issue>3</b:Issue>
    <b:RefOrder>31</b:RefOrder>
  </b:Source>
  <b:Source>
    <b:Tag>Nja13</b:Tag>
    <b:SourceType>JournalArticle</b:SourceType>
    <b:Guid>{CDE73782-EA59-456C-A6E3-57F435409D6A}</b:Guid>
    <b:Author>
      <b:Author>
        <b:NameList>
          <b:Person>
            <b:Last>Njanja</b:Last>
            <b:First>Lilly</b:First>
            <b:Middle>W.</b:Middle>
          </b:Person>
          <b:Person>
            <b:Last>Maina</b:Last>
            <b:First>R.</b:First>
            <b:Middle>N.</b:Middle>
          </b:Person>
          <b:Person>
            <b:Last>Kibet</b:Last>
            <b:First>L.</b:First>
            <b:Middle>K.</b:Middle>
          </b:Person>
          <b:Person>
            <b:Last>Njagi</b:Last>
            <b:First>Kageni</b:First>
          </b:Person>
        </b:NameList>
      </b:Author>
    </b:Author>
    <b:Title>Effect of reward on employee performance: A case of Kenya Power and Lighting Company Ltd., Nakuru, Kenya</b:Title>
    <b:JournalName>International Journal of Business and Management </b:JournalName>
    <b:Year>2013</b:Year>
    <b:Pages>41-49</b:Pages>
    <b:Volume>8</b:Volume>
    <b:Issue>21</b:Issue>
    <b:RefOrder>5</b:RefOrder>
  </b:Source>
  <b:Source>
    <b:Tag>Nyb16</b:Tag>
    <b:SourceType>JournalArticle</b:SourceType>
    <b:Guid>{3113DE47-4673-4FD2-99ED-199E5F273295}</b:Guid>
    <b:Author>
      <b:Author>
        <b:NameList>
          <b:Person>
            <b:Last>Nyberg</b:Last>
            <b:First>A.J.</b:First>
          </b:Person>
          <b:Person>
            <b:Last>Pieper</b:Last>
            <b:First>J.R.</b:First>
          </b:Person>
          <b:Person>
            <b:Last>Trevor</b:Last>
            <b:First>C.O.</b:First>
          </b:Person>
        </b:NameList>
      </b:Author>
    </b:Author>
    <b:Title>Pay-for-performance’s effect on future employee performance: Integrating psychological and economic principles toward a contingency perspective</b:Title>
    <b:JournalName>Journal of Management</b:JournalName>
    <b:Year>2016</b:Year>
    <b:Pages>1753-1783</b:Pages>
    <b:Volume>42</b:Volume>
    <b:Issue>7</b:Issue>
    <b:RefOrder>32</b:RefOrder>
  </b:Source>
  <b:Source>
    <b:Tag>Placeholder10</b:Tag>
    <b:SourceType>JournalArticle</b:SourceType>
    <b:Guid>{0E10D84B-4620-498F-A702-28B25BDA6C4C}</b:Guid>
    <b:Author>
      <b:Author>
        <b:NameList>
          <b:Person>
            <b:Last>Chng</b:Last>
            <b:First>D.H.M.</b:First>
          </b:Person>
          <b:Person>
            <b:Last>Rodgers</b:Last>
            <b:First>M.S.</b:First>
          </b:Person>
          <b:Person>
            <b:Last>Shih</b:Last>
            <b:First>E.</b:First>
          </b:Person>
          <b:Person>
            <b:Last>Song</b:Last>
            <b:First>X.B.</b:First>
          </b:Person>
        </b:NameList>
      </b:Author>
    </b:Author>
    <b:Title>When does incentive compensation motivate managerial behaviors? An experimental investigation of the fit between incentive compensation, executive core self‐evaluation, and firm performance</b:Title>
    <b:JournalName>Strategic Management Journal</b:JournalName>
    <b:Year>2012</b:Year>
    <b:Pages>1343-1362</b:Pages>
    <b:Volume>33</b:Volume>
    <b:Issue>12</b:Issue>
    <b:RefOrder>33</b:RefOrder>
  </b:Source>
  <b:Source>
    <b:Tag>Cra05</b:Tag>
    <b:SourceType>JournalArticle</b:SourceType>
    <b:Guid>{95A87702-C60C-4B7D-BC33-B1BBA2BDFDF4}</b:Guid>
    <b:Author>
      <b:Author>
        <b:NameList>
          <b:Person>
            <b:Last>Depken</b:Last>
            <b:First>Craig</b:First>
            <b:Middle>A.</b:Middle>
          </b:Person>
          <b:Person>
            <b:Last>Nguyen</b:Last>
            <b:First>Giao</b:First>
            <b:Middle>X.</b:Middle>
          </b:Person>
          <b:Person>
            <b:Last>Sarkar</b:Last>
            <b:First>Salil</b:First>
            <b:Middle>K.</b:Middle>
          </b:Person>
        </b:NameList>
      </b:Author>
    </b:Author>
    <b:Title>Agency Costs, Executive Compensation, Bonding and Monitoring: A Stochastic Frontier Approach</b:Title>
    <b:Year>2005</b:Year>
    <b:Pages>1-32</b:Pages>
    <b:RefOrder>34</b:RefOrder>
  </b:Source>
  <b:Source>
    <b:Tag>Nou08</b:Tag>
    <b:SourceType>JournalArticle</b:SourceType>
    <b:Guid>{7596A102-BCBF-4123-B421-C066D68F237A}</b:Guid>
    <b:Author>
      <b:Author>
        <b:NameList>
          <b:Person>
            <b:Last>Nourayi</b:Last>
            <b:First>M.M.</b:First>
          </b:Person>
          <b:Person>
            <b:Last>Daroca</b:Last>
            <b:First>F.P.</b:First>
          </b:Person>
        </b:NameList>
      </b:Author>
    </b:Author>
    <b:Title>CEO compensation, firm performance and operational characteristics</b:Title>
    <b:JournalName>Managerial Finance</b:JournalName>
    <b:Year>2008</b:Year>
    <b:Pages>562-584</b:Pages>
    <b:Volume>34</b:Volume>
    <b:Issue>8</b:Issue>
    <b:RefOrder>35</b:RefOrder>
  </b:Source>
  <b:Source>
    <b:Tag>Zho00</b:Tag>
    <b:SourceType>JournalArticle</b:SourceType>
    <b:Guid>{2ED775B7-BCA0-4BD4-AA2C-03291DC4A178}</b:Guid>
    <b:Author>
      <b:Author>
        <b:NameList>
          <b:Person>
            <b:Last>Zhou</b:Last>
            <b:First>X.</b:First>
          </b:Person>
        </b:NameList>
      </b:Author>
    </b:Author>
    <b:Title>CEO pay, firm size, and corporate performance: evidence from Canada</b:Title>
    <b:JournalName>Canadian Journal of Economics</b:JournalName>
    <b:Year>2000</b:Year>
    <b:Pages>213-251</b:Pages>
    <b:Volume>33</b:Volume>
    <b:Issue>1</b:Issue>
    <b:RefOrder>36</b:RefOrder>
  </b:Source>
  <b:Source>
    <b:Tag>Kes05</b:Tag>
    <b:SourceType>BookSection</b:SourceType>
    <b:Guid>{90A6FD45-3ECF-4D8E-BFBF-7676DB19607F}</b:Guid>
    <b:Author>
      <b:Author>
        <b:NameList>
          <b:Person>
            <b:Last>Kessler</b:Last>
            <b:First>I.</b:First>
          </b:Person>
        </b:NameList>
      </b:Author>
    </b:Author>
    <b:Title>Remuneration systems</b:Title>
    <b:Year>2005</b:Year>
    <b:Pages>317-345</b:Pages>
    <b:BookTitle>Managing human resources: Personnel management in transition</b:BookTitle>
    <b:RefOrder>37</b:RefOrder>
  </b:Source>
  <b:Source>
    <b:Tag>DNe99</b:Tag>
    <b:SourceType>JournalArticle</b:SourceType>
    <b:Guid>{7D1E0E9D-F437-4429-A25B-F4BB599B9460}</b:Guid>
    <b:Title>Human resource practices and workforce diversity: an empirical assessment</b:Title>
    <b:Year>1999</b:Year>
    <b:Pages>530-547</b:Pages>
    <b:Author>
      <b:Author>
        <b:NameList>
          <b:Person>
            <b:Last>D’Netto</b:Last>
            <b:First>B.</b:First>
          </b:Person>
          <b:Person>
            <b:Last>Sohal</b:Last>
            <b:First>A.S.</b:First>
          </b:Person>
        </b:NameList>
      </b:Author>
    </b:Author>
    <b:JournalName>International Journal of Manpower</b:JournalName>
    <b:Volume>20</b:Volume>
    <b:Issue>8</b:Issue>
    <b:RefOrder>38</b:RefOrder>
  </b:Source>
  <b:Source>
    <b:Tag>Tri14</b:Tag>
    <b:SourceType>Book</b:SourceType>
    <b:Guid>{CA2C850F-AF78-4DCB-8516-0B98874E0C8D}</b:Guid>
    <b:Title>Financial Performance Analysis Conceptual Framework</b:Title>
    <b:Year>2014</b:Year>
    <b:Author>
      <b:Author>
        <b:NameList>
          <b:Person>
            <b:Last>Trivedi</b:Last>
            <b:First>S.</b:First>
          </b:Person>
        </b:NameList>
      </b:Author>
    </b:Author>
    <b:RefOrder>39</b:RefOrder>
  </b:Source>
  <b:Source>
    <b:Tag>Cer06</b:Tag>
    <b:SourceType>JournalArticle</b:SourceType>
    <b:Guid>{0F26FC41-AEFC-4632-AD9C-2946F86C143D}</b:Guid>
    <b:Author>
      <b:Author>
        <b:NameList>
          <b:Person>
            <b:Last>Certo</b:Last>
            <b:First>S.T.</b:First>
          </b:Person>
          <b:Person>
            <b:Last>Lester</b:Last>
            <b:First>R.H.</b:First>
          </b:Person>
          <b:Person>
            <b:Last>Dalton</b:Last>
            <b:First>C.M.</b:First>
          </b:Person>
          <b:Person>
            <b:Last>Dalton</b:Last>
            <b:First>D.R.,</b:First>
          </b:Person>
        </b:NameList>
      </b:Author>
    </b:Author>
    <b:Title>Top management teams, strategy and financial performance: A meta‐analytic examination</b:Title>
    <b:JournalName>Journal of Management studies</b:JournalName>
    <b:Year>2006</b:Year>
    <b:Pages>813-839</b:Pages>
    <b:Volume>43</b:Volume>
    <b:Issue>4</b:Issue>
    <b:RefOrder>40</b:RefOrder>
  </b:Source>
  <b:Source>
    <b:Tag>Ong13</b:Tag>
    <b:SourceType>JournalArticle</b:SourceType>
    <b:Guid>{6DF18EDC-C4FF-4863-9917-D72D55A2F745}</b:Guid>
    <b:Author>
      <b:Author>
        <b:NameList>
          <b:Person>
            <b:Last>Ongore</b:Last>
            <b:First>V.O.</b:First>
          </b:Person>
          <b:Person>
            <b:Last>Kusa</b:Last>
            <b:First>G.B.</b:First>
          </b:Person>
        </b:NameList>
      </b:Author>
    </b:Author>
    <b:Title>Determinants of financial performance of commercial banks in Kenya</b:Title>
    <b:JournalName>International Journal of Economics and Financial Issues</b:JournalName>
    <b:Year>2013</b:Year>
    <b:Pages>237-252</b:Pages>
    <b:Volume>3</b:Volume>
    <b:Issue>1</b:Issue>
    <b:RefOrder>41</b:RefOrder>
  </b:Source>
  <b:Source>
    <b:Tag>Ame121</b:Tag>
    <b:SourceType>JournalArticle</b:SourceType>
    <b:Guid>{D1D441F3-403D-4421-91BD-73DE3D7A62D7}</b:Guid>
    <b:Author>
      <b:Author>
        <b:NameList>
          <b:Person>
            <b:Last>Ameer</b:Last>
            <b:First>R.</b:First>
          </b:Person>
          <b:Person>
            <b:Last>Othman</b:Last>
            <b:First>R.</b:First>
          </b:Person>
        </b:NameList>
      </b:Author>
    </b:Author>
    <b:Title>Sustainability practices and corporate financial performance: A study based on the top global corporations</b:Title>
    <b:JournalName>Journal of Business Ethics</b:JournalName>
    <b:Year>2012</b:Year>
    <b:Pages>61-79</b:Pages>
    <b:Volume>108</b:Volume>
    <b:Issue>1</b:Issue>
    <b:RefOrder>42</b:RefOrder>
  </b:Source>
  <b:Source>
    <b:Tag>Dou07</b:Tag>
    <b:SourceType>JournalArticle</b:SourceType>
    <b:Guid>{6C577C69-2B9E-48A1-BFF9-ADF4560067B0}</b:Guid>
    <b:Author>
      <b:Author>
        <b:NameList>
          <b:Person>
            <b:Last>Doucouliagos</b:Last>
            <b:First>H.</b:First>
          </b:Person>
          <b:Person>
            <b:Last>Haman</b:Last>
            <b:First>J.</b:First>
          </b:Person>
          <b:Person>
            <b:Last>Askary</b:Last>
            <b:First>S.,</b:First>
          </b:Person>
        </b:NameList>
      </b:Author>
    </b:Author>
    <b:Title>Directors' remuneration and performance in Australian banking. , 15(6), pp.</b:Title>
    <b:JournalName>Corporate governance: an international review</b:JournalName>
    <b:Year>2007</b:Year>
    <b:Pages>1363-1383</b:Pages>
    <b:Volume>15</b:Volume>
    <b:Issue>6</b:Issue>
    <b:RefOrder>43</b:RefOrder>
  </b:Source>
  <b:Source>
    <b:Tag>Fer06</b:Tag>
    <b:SourceType>JournalArticle</b:SourceType>
    <b:Guid>{28B56EE2-81FB-4799-BA60-E887D584B9D7}</b:Guid>
    <b:Author>
      <b:Author>
        <b:NameList>
          <b:Person>
            <b:Last>Fernandez-Alles</b:Last>
            <b:First>M.</b:First>
          </b:Person>
          <b:Person>
            <b:Last>Cuevas-Rodríguez</b:Last>
            <b:First>G.</b:First>
          </b:Person>
          <b:Person>
            <b:Last>Valle-Cabrera</b:Last>
            <b:First>R.</b:First>
          </b:Person>
        </b:NameList>
      </b:Author>
    </b:Author>
    <b:Title>How symbolic remuneration contributes to the legitimacy of the company: An institutional explanation</b:Title>
    <b:JournalName>Human Relations</b:JournalName>
    <b:Year>2006</b:Year>
    <b:Pages>961-992</b:Pages>
    <b:Volume>59</b:Volume>
    <b:Issue>1</b:Issue>
    <b:RefOrder>44</b:RefOrder>
  </b:Source>
  <b:Source>
    <b:Tag>DeG15</b:Tag>
    <b:SourceType>JournalArticle</b:SourceType>
    <b:Guid>{15FBCE2C-78DF-4B28-8A90-E66A73850545}</b:Guid>
    <b:Author>
      <b:Author>
        <b:NameList>
          <b:Person>
            <b:Last>De Gieter</b:Last>
            <b:First>S.</b:First>
          </b:Person>
          <b:Person>
            <b:Last>Hofmans</b:Last>
            <b:First>J.,</b:First>
          </b:Person>
        </b:NameList>
      </b:Author>
    </b:Author>
    <b:Title>How reward satisfaction affects employees’ turnover intentions and performance: an individual differences approach</b:Title>
    <b:JournalName>Human Resource Management Journal</b:JournalName>
    <b:Year>2015</b:Year>
    <b:Pages>200-216</b:Pages>
    <b:Volume>25</b:Volume>
    <b:Issue>2</b:Issue>
    <b:RefOrder>45</b:RefOrder>
  </b:Source>
  <b:Source>
    <b:Tag>Wan11</b:Tag>
    <b:SourceType>JournalArticle</b:SourceType>
    <b:Guid>{CBA21546-1C2C-45AD-96C7-60B1570DCF0E}</b:Guid>
    <b:Author>
      <b:Author>
        <b:NameList>
          <b:Person>
            <b:Last>Wang</b:Last>
            <b:First>G.L.</b:First>
          </b:Person>
        </b:NameList>
      </b:Author>
    </b:Author>
    <b:Title>A study of how the internal-service quality of international tourist hotels affects organizational performance: using employees' job satisfaction as the mediator</b:Title>
    <b:JournalName>Journal of Global Business Management</b:JournalName>
    <b:Year>2011</b:Year>
    <b:Volume>7</b:Volume>
    <b:Issue>2</b:Issue>
    <b:RefOrder>46</b:RefOrder>
  </b:Source>
  <b:Source>
    <b:Tag>Ton08</b:Tag>
    <b:SourceType>JournalArticle</b:SourceType>
    <b:Guid>{896382A6-39BF-4A77-981E-39CAB7F8BFA7}</b:Guid>
    <b:Author>
      <b:Author>
        <b:NameList>
          <b:Person>
            <b:Last>Ton</b:Last>
            <b:First>Z.</b:First>
          </b:Person>
          <b:Person>
            <b:Last>Huckman</b:Last>
            <b:First>R.S.</b:First>
          </b:Person>
        </b:NameList>
      </b:Author>
    </b:Author>
    <b:Title>Managing the impact of employee turnover on performance: The role of process conformance. Organization Science</b:Title>
    <b:JournalName>Organization Science</b:JournalName>
    <b:Year>2008</b:Year>
    <b:Pages>56-68</b:Pages>
    <b:Volume>19</b:Volume>
    <b:Issue>1</b:Issue>
    <b:RefOrder>47</b:RefOrder>
  </b:Source>
  <b:Source>
    <b:Tag>OCo07</b:Tag>
    <b:SourceType>JournalArticle</b:SourceType>
    <b:Guid>{D9D898C9-19BF-4D68-BB45-2DA79EEFDCD7}</b:Guid>
    <b:Author>
      <b:Author>
        <b:NameList>
          <b:Person>
            <b:Last>O'Connell</b:Last>
            <b:First>Matthew</b:First>
          </b:Person>
          <b:Person>
            <b:Last>Kung</b:Last>
            <b:First>Mei-Chuan</b:First>
          </b:Person>
        </b:NameList>
      </b:Author>
    </b:Author>
    <b:Title>The Cost of Employee Turnover</b:Title>
    <b:JournalName>Industrial Management</b:JournalName>
    <b:Year>2007</b:Year>
    <b:Volume>49</b:Volume>
    <b:Issue>1</b:Issue>
    <b:RefOrder>48</b:RefOrder>
  </b:Source>
  <b:Source>
    <b:Tag>Dur06</b:Tag>
    <b:SourceType>JournalArticle</b:SourceType>
    <b:Guid>{1149ECA2-7006-47D4-AD56-D11A3335031A}</b:Guid>
    <b:Author>
      <b:Author>
        <b:NameList>
          <b:Person>
            <b:Last>Durant</b:Last>
            <b:First>Robert</b:First>
            <b:Middle>F.</b:Middle>
          </b:Person>
          <b:Person>
            <b:Last>Kramer</b:Last>
            <b:First>Robert</b:First>
          </b:Person>
          <b:Person>
            <b:Last>Perry</b:Last>
            <b:First>James</b:First>
            <b:Middle>L.</b:Middle>
          </b:Person>
          <b:Person>
            <b:Last>Mesch</b:Last>
            <b:First>Debra</b:First>
          </b:Person>
          <b:Person>
            <b:Last>Paarlberg</b:Last>
            <b:First>Laurie</b:First>
          </b:Person>
        </b:NameList>
      </b:Author>
    </b:Author>
    <b:Title>Motivating employees in a new governance era: The performance paradigm revisited</b:Title>
    <b:JournalName>Public Administration Review</b:JournalName>
    <b:Year>2006</b:Year>
    <b:Pages>505-514</b:Pages>
    <b:Volume>66</b:Volume>
    <b:Issue>4</b:Issue>
    <b:RefOrder>49</b:RefOrder>
  </b:Source>
  <b:Source>
    <b:Tag>Chi09</b:Tag>
    <b:SourceType>JournalArticle</b:SourceType>
    <b:Guid>{AE328BF4-1B0B-4B94-8BD5-52E842128A94}</b:Guid>
    <b:Author>
      <b:Author>
        <b:NameList>
          <b:Person>
            <b:Last>Chi</b:Last>
            <b:First>Christina</b:First>
            <b:Middle>G.</b:Middle>
          </b:Person>
          <b:Person>
            <b:Last>Gursoy</b:Last>
            <b:First>Dogan</b:First>
          </b:Person>
        </b:NameList>
      </b:Author>
    </b:Author>
    <b:Title>Employee satisfaction, customer satisfaction, and financial performance: An empirical examination</b:Title>
    <b:JournalName>International Journal of Hospitality Management</b:JournalName>
    <b:Year>2009</b:Year>
    <b:Pages>245-253</b:Pages>
    <b:Volume>28</b:Volume>
    <b:Issue>2</b:Issue>
    <b:RefOrder>4</b:RefOrder>
  </b:Source>
  <b:Source>
    <b:Tag>Škr08</b:Tag>
    <b:SourceType>JournalArticle</b:SourceType>
    <b:Guid>{6F79456C-4033-44C2-A8BD-37FF96680FE6}</b:Guid>
    <b:Author>
      <b:Author>
        <b:NameList>
          <b:Person>
            <b:Last>Škrinjar</b:Last>
            <b:First>R.</b:First>
          </b:Person>
          <b:Person>
            <b:Last>Bosilj-Vukšić</b:Last>
            <b:First>V.</b:First>
          </b:Person>
          <b:Person>
            <b:Last>Indihar-Štemberger</b:Last>
            <b:First>M.</b:First>
          </b:Person>
        </b:NameList>
      </b:Author>
    </b:Author>
    <b:Title>The impact of business process orientation on financial and non-financial performance</b:Title>
    <b:JournalName>Business Process Management Journal</b:JournalName>
    <b:Year>2008</b:Year>
    <b:Pages>738-754</b:Pages>
    <b:Volume>14</b:Volume>
    <b:Issue>5</b:Issue>
    <b:RefOrder>50</b:RefOrder>
  </b:Source>
  <b:Source>
    <b:Tag>Car06</b:Tag>
    <b:SourceType>JournalArticle</b:SourceType>
    <b:Guid>{C7CDA748-80AF-4F3E-82D0-C0A47AB5EE3D}</b:Guid>
    <b:Author>
      <b:Author>
        <b:NameList>
          <b:Person>
            <b:Last>Carlson</b:Last>
            <b:First>D.S.</b:First>
          </b:Person>
          <b:Person>
            <b:Last>Upton</b:Last>
            <b:First>N.</b:First>
          </b:Person>
          <b:Person>
            <b:Last>Seaman</b:Last>
            <b:First>S.</b:First>
          </b:Person>
        </b:NameList>
      </b:Author>
    </b:Author>
    <b:Title>The impact of human resource practices and compensation design on performance: An analysis of family‐owned SMEs</b:Title>
    <b:JournalName>Journal of Small Business Management</b:JournalName>
    <b:Year>2006</b:Year>
    <b:Pages>531-543</b:Pages>
    <b:Volume>44</b:Volume>
    <b:Issue>4</b:Issue>
    <b:RefOrder>51</b:RefOrder>
  </b:Source>
  <b:Source>
    <b:Tag>Tec06</b:Tag>
    <b:SourceType>JournalArticle</b:SourceType>
    <b:Guid>{6D4C0ABC-1645-4C6B-B6F1-5CDF1468C4A7}</b:Guid>
    <b:Author>
      <b:Author>
        <b:NameList>
          <b:Person>
            <b:Last>Tessema</b:Last>
            <b:First>Teclemichael</b:First>
            <b:Middle>M.</b:Middle>
          </b:Person>
          <b:Person>
            <b:Last>Soeters</b:Last>
            <b:First>J.L.</b:First>
          </b:Person>
        </b:NameList>
      </b:Author>
    </b:Author>
    <b:Title>Challenges and prospects of HRM in developing countries: testing the HRM–performance link in the Eritrean civil service</b:Title>
    <b:JournalName>The international journal of human resource management</b:JournalName>
    <b:Year>2006</b:Year>
    <b:Pages>86-105</b:Pages>
    <b:Volume>17</b:Volume>
    <b:Issue>1</b:Issue>
    <b:RefOrder>52</b:RefOrder>
  </b:Source>
  <b:Source>
    <b:Tag>Man07</b:Tag>
    <b:SourceType>JournalArticle</b:SourceType>
    <b:Guid>{47A947A5-F38D-4D41-88DE-7F79263B70E8}</b:Guid>
    <b:Author>
      <b:Author>
        <b:NameList>
          <b:Person>
            <b:Last>Manolopoulos</b:Last>
            <b:First>D.</b:First>
          </b:Person>
        </b:NameList>
      </b:Author>
    </b:Author>
    <b:Title>An evaluation of employee motivation in the extended public sector in Greece</b:Title>
    <b:JournalName>Employee Relations</b:JournalName>
    <b:Year>2007</b:Year>
    <b:Pages>63-85</b:Pages>
    <b:Volume>30</b:Volume>
    <b:Issue>1</b:Issue>
    <b:RefOrder>53</b:RefOrder>
  </b:Source>
  <b:Source>
    <b:Tag>Smi071</b:Tag>
    <b:SourceType>JournalArticle</b:SourceType>
    <b:Guid>{EC97294B-B556-4BCD-964E-5ED2F12EBF9E}</b:Guid>
    <b:Author>
      <b:Author>
        <b:NameList>
          <b:Person>
            <b:Last>Smith</b:Last>
            <b:First>J.</b:First>
          </b:Person>
          <b:Person>
            <b:Last>Gardner</b:Last>
            <b:First>D.</b:First>
          </b:Person>
        </b:NameList>
      </b:Author>
    </b:Author>
    <b:Title>Factors affecting employee use of work-life balance initiatives</b:Title>
    <b:JournalName>New Zealand Journal of Psychology</b:JournalName>
    <b:Year>2007</b:Year>
    <b:Pages>3-13</b:Pages>
    <b:Volume>36</b:Volume>
    <b:Issue>1</b:Issue>
    <b:RefOrder>54</b:RefOrder>
  </b:Source>
  <b:Source>
    <b:Tag>Net05</b:Tag>
    <b:SourceType>JournalArticle</b:SourceType>
    <b:Guid>{6F22FE27-6B6A-4E28-AD7B-DE37739C39C2}</b:Guid>
    <b:Title>Conflicts in the work–family interface: Links to job stress, customer service employee performance, and customer purchase intent</b:Title>
    <b:Year>2005</b:Year>
    <b:Author>
      <b:Author>
        <b:NameList>
          <b:Person>
            <b:Last>Netemeyer</b:Last>
            <b:First>R.G.</b:First>
          </b:Person>
          <b:Person>
            <b:Last>Maxham</b:Last>
            <b:First>J.G.</b:First>
          </b:Person>
          <b:Person>
            <b:Last>d Pullig</b:Last>
            <b:First>C.</b:First>
          </b:Person>
        </b:NameList>
      </b:Author>
    </b:Author>
    <b:JournalName>Journal of Marketing</b:JournalName>
    <b:Pages>130-143</b:Pages>
    <b:Volume>69</b:Volume>
    <b:Issue>2</b:Issue>
    <b:RefOrder>55</b:RefOrder>
  </b:Source>
  <b:Source>
    <b:Tag>Van12</b:Tag>
    <b:SourceType>JournalArticle</b:SourceType>
    <b:Guid>{E6212184-F06C-4074-B033-6A0AE6AD8528}</b:Guid>
    <b:Author>
      <b:Author>
        <b:NameList>
          <b:Person>
            <b:Last>Van De Voorde</b:Last>
            <b:First>K.</b:First>
          </b:Person>
          <b:Person>
            <b:Last>Paauwe</b:Last>
            <b:First>J.</b:First>
          </b:Person>
          <b:Person>
            <b:Last>Van Veldhoven</b:Last>
            <b:First>M.,</b:First>
          </b:Person>
        </b:NameList>
      </b:Author>
    </b:Author>
    <b:Title>Employee well‐being and the HRM–organizational performance relationship: a review of quantitative studies</b:Title>
    <b:JournalName>International Journal of Management Reviews</b:JournalName>
    <b:Year>2012</b:Year>
    <b:Pages>391-407</b:Pages>
    <b:Volume>14</b:Volume>
    <b:Issue>4</b:Issue>
    <b:RefOrder>56</b:RefOrder>
  </b:Source>
  <b:Source>
    <b:Tag>Gon09</b:Tag>
    <b:SourceType>JournalArticle</b:SourceType>
    <b:Guid>{E51ED4A3-7DEE-441A-BB70-9B613F7DEAA2}</b:Guid>
    <b:Author>
      <b:Author>
        <b:NameList>
          <b:Person>
            <b:Last>Gong</b:Last>
            <b:First>Y.</b:First>
          </b:Person>
          <b:Person>
            <b:Last>Huang</b:Last>
            <b:First>J.C.</b:First>
          </b:Person>
          <b:Person>
            <b:Last>Farh</b:Last>
            <b:First>J.L.,</b:First>
          </b:Person>
        </b:NameList>
      </b:Author>
    </b:Author>
    <b:Title>Employee learning orientation, transformational leadership, and employee creativity: The mediating role of employee creative self-efficacy</b:Title>
    <b:JournalName>Academy of management Journal</b:JournalName>
    <b:Year>2009</b:Year>
    <b:Pages>765-778</b:Pages>
    <b:Volume>52</b:Volume>
    <b:Issue>4</b:Issue>
    <b:RefOrder>57</b:RefOrder>
  </b:Source>
  <b:Source>
    <b:Tag>Gop16</b:Tag>
    <b:SourceType>Report</b:SourceType>
    <b:Guid>{8CFA46E9-7EE4-4548-BB5A-323C07A3A59B}</b:Guid>
    <b:Author>
      <b:Author>
        <b:NameList>
          <b:Person>
            <b:Last>Gopal</b:Last>
            <b:First>D.M.</b:First>
          </b:Person>
        </b:NameList>
      </b:Author>
    </b:Author>
    <b:Title>A comparative study of leadership, strategic direction and reward on employment perfomance</b:Title>
    <b:Year>2016</b:Year>
    <b:Publisher>Doctoral dissertation, University of Johannesburg</b:Publisher>
    <b:RefOrder>58</b:RefOrder>
  </b:Source>
  <b:Source>
    <b:Tag>Smi17</b:Tag>
    <b:SourceType>JournalArticle</b:SourceType>
    <b:Guid>{6A94A8ED-7E59-4F2D-9737-E97A01D4E049}</b:Guid>
    <b:Title>Which came first, CEO compensation or firm performance? The causality dilemma in European companies</b:Title>
    <b:Year>2017</b:Year>
    <b:Pages>658-673</b:Pages>
    <b:Author>
      <b:Author>
        <b:NameList>
          <b:Person>
            <b:Last>Smirnova</b:Last>
            <b:First>A.S.</b:First>
          </b:Person>
          <b:Person>
            <b:Last>Zavertiaeva</b:Last>
            <b:First>M.A.</b:First>
          </b:Person>
        </b:NameList>
      </b:Author>
    </b:Author>
    <b:JournalName>Research in International Business and Finance</b:JournalName>
    <b:Volume>42</b:Volume>
    <b:RefOrder>59</b:RefOrder>
  </b:Source>
  <b:Source>
    <b:Tag>Jaa12</b:Tag>
    <b:SourceType>JournalArticle</b:SourceType>
    <b:Guid>{B7E3B09C-A98C-4D79-B349-98DCF29794F9}</b:Guid>
    <b:Author>
      <b:Author>
        <b:NameList>
          <b:Person>
            <b:Last>Jaafar</b:Last>
            <b:First>S.B.</b:First>
          </b:Person>
          <b:Person>
            <b:Last>Wahab</b:Last>
            <b:First>E.A.A.</b:First>
          </b:Person>
          <b:Person>
            <b:Last>James</b:Last>
            <b:First>K.</b:First>
          </b:Person>
        </b:NameList>
      </b:Author>
    </b:Author>
    <b:Title>Director remuneration and performance in Malaysia family firms: an expropriation matter?</b:Title>
    <b:JournalName>World Review of Business Research</b:JournalName>
    <b:Year>2012</b:Year>
    <b:Pages>204-222</b:Pages>
    <b:Volume>2</b:Volume>
    <b:Issue>4</b:Issue>
    <b:RefOrder>60</b:RefOrder>
  </b:Source>
  <b:Source>
    <b:Tag>Lee151</b:Tag>
    <b:SourceType>JournalArticle</b:SourceType>
    <b:Guid>{410F94BE-C0FA-476A-8947-34C6B3ED3450}</b:Guid>
    <b:Author>
      <b:Author>
        <b:NameList>
          <b:Person>
            <b:Last>Lee</b:Last>
            <b:First>S.P.</b:First>
          </b:Person>
          <b:Person>
            <b:Last>Isa</b:Last>
            <b:First>M.</b:First>
          </b:Person>
        </b:NameList>
      </b:Author>
    </b:Author>
    <b:Title>Directors’ remuneration, governance and performance: The case of Malaysian banks</b:Title>
    <b:JournalName>Managerial Finance</b:JournalName>
    <b:Year>2015</b:Year>
    <b:Pages>26-44</b:Pages>
    <b:Volume>41</b:Volume>
    <b:Issue>1</b:Issue>
    <b:RefOrder>61</b:RefOrder>
  </b:Source>
  <b:Source>
    <b:Tag>Roo08</b:Tag>
    <b:SourceType>JournalArticle</b:SourceType>
    <b:Guid>{6764719D-6ACC-4928-9BF6-0F1970E40430}</b:Guid>
    <b:Author>
      <b:Author>
        <b:NameList>
          <b:Person>
            <b:Last>Roos</b:Last>
            <b:First>W.</b:First>
          </b:Person>
          <b:Person>
            <b:Last>Van Eeden</b:Last>
            <b:First>R.</b:First>
          </b:Person>
        </b:NameList>
      </b:Author>
    </b:Author>
    <b:Title>The relationship between employee motivation, job satisfaction and corporate culture</b:Title>
    <b:JournalName>SA Journal of Industrial Psychology</b:JournalName>
    <b:Year>2008</b:Year>
    <b:Pages>54-63</b:Pages>
    <b:Volume>34</b:Volume>
    <b:Issue>1</b:Issue>
    <b:RefOrder>62</b:RefOrder>
  </b:Source>
  <b:Source>
    <b:Tag>Ben07</b:Tag>
    <b:SourceType>JournalArticle</b:SourceType>
    <b:Guid>{DA2C1319-A016-4E44-A304-E22C0D41646C}</b:Guid>
    <b:Title>Onwards and upwards: Why companies change their executive remuneration schemes, and why this leads to increases in pay</b:Title>
    <b:Year>2007</b:Year>
    <b:Author>
      <b:Author>
        <b:NameList>
          <b:Person>
            <b:Last>Bender</b:Last>
            <b:First>R.</b:First>
          </b:Person>
        </b:NameList>
      </b:Author>
    </b:Author>
    <b:JournalName>Corporate Governance: An International Review</b:JournalName>
    <b:Pages>709-723</b:Pages>
    <b:Volume>15</b:Volume>
    <b:Issue>5</b:Issue>
    <b:RefOrder>2</b:RefOrder>
  </b:Source>
  <b:Source>
    <b:Tag>Ber102</b:Tag>
    <b:SourceType>JournalArticle</b:SourceType>
    <b:Guid>{27ECA5BA-60FF-44AA-AD19-1923FA0C37A2}</b:Guid>
    <b:Author>
      <b:Author>
        <b:NameList>
          <b:Person>
            <b:Last>Bernsten</b:Last>
            <b:First>C.</b:First>
          </b:Person>
          <b:Person>
            <b:Last>Andersson</b:Last>
            <b:First>K.</b:First>
          </b:Person>
          <b:Person>
            <b:Last>Gariepy</b:Last>
            <b:First>Y.</b:First>
          </b:Person>
          <b:Person>
            <b:Last>Simoens</b:Last>
            <b:First>S.</b:First>
          </b:Person>
        </b:NameList>
      </b:Author>
    </b:Author>
    <b:Title>A comparative analysis of remuneration models for pharmaceutical professional services</b:Title>
    <b:JournalName>Health policy</b:JournalName>
    <b:Year>2010</b:Year>
    <b:Pages>1-9</b:Pages>
    <b:Volume>95</b:Volume>
    <b:Issue>1</b:Issue>
    <b:RefOrder>63</b:RefOrder>
  </b:Source>
  <b:Source>
    <b:Tag>DeS08</b:Tag>
    <b:SourceType>Report</b:SourceType>
    <b:Guid>{494C18D0-6CA9-4D09-B740-FAA776D9FD72}</b:Guid>
    <b:Author>
      <b:Author>
        <b:NameList>
          <b:Person>
            <b:Last>De Swardt</b:Last>
            <b:First>L.P.</b:First>
          </b:Person>
        </b:NameList>
      </b:Author>
    </b:Author>
    <b:Title>The development and validation of a variable remuneration methodology</b:Title>
    <b:Year>2008</b:Year>
    <b:Publisher>Doctoral dissertation, University of Johannesburg</b:Publisher>
    <b:RefOrder>64</b:RefOrder>
  </b:Source>
  <b:Source>
    <b:Tag>Mar091</b:Tag>
    <b:SourceType>JournalArticle</b:SourceType>
    <b:Guid>{EA60AAEF-6FA7-4D59-98FC-86A85EFBEED0}</b:Guid>
    <b:Author>
      <b:Author>
        <b:NameList>
          <b:Person>
            <b:Last>Margolis</b:Last>
            <b:First>J.D.</b:First>
          </b:Person>
          <b:Person>
            <b:Last>Elfenbein</b:Last>
            <b:First>H.A.</b:First>
          </b:Person>
          <b:Person>
            <b:Last>Walsh</b:Last>
            <b:First>J.P.</b:First>
          </b:Person>
        </b:NameList>
      </b:Author>
    </b:Author>
    <b:Title>Does it pay to be good... and does it matter? A meta-analysis of the relationship between corporate social and financial performance</b:Title>
    <b:Year>2009</b:Year>
    <b:RefOrder>65</b:RefOrder>
  </b:Source>
  <b:Source>
    <b:Tag>Sae15</b:Tag>
    <b:SourceType>JournalArticle</b:SourceType>
    <b:Guid>{90D455CD-2495-4EFF-9B7E-A7A75FB717ED}</b:Guid>
    <b:Author>
      <b:Author>
        <b:NameList>
          <b:Person>
            <b:Last>Saeidi</b:Last>
            <b:First>Sayedeh</b:First>
            <b:Middle>Parastoo</b:Middle>
          </b:Person>
          <b:Person>
            <b:Last>Sofian</b:Last>
            <b:First>Saudah</b:First>
          </b:Person>
          <b:Person>
            <b:Last>Saeidi</b:Last>
            <b:First>Parvaneh</b:First>
          </b:Person>
          <b:Person>
            <b:Last>Saeidi</b:Last>
            <b:First>Sayyedeh</b:First>
            <b:Middle>Parisa</b:Middle>
          </b:Person>
          <b:Person>
            <b:Last>Saaeidi</b:Last>
            <b:First>Seyyed</b:First>
            <b:Middle>Alireza</b:Middle>
          </b:Person>
        </b:NameList>
      </b:Author>
    </b:Author>
    <b:Title>How does corporate social responsibility contribute to firm financial performance? The mediating role of competitive advantage, reputation, and customer satisfaction</b:Title>
    <b:JournalName>Journal of business research</b:JournalName>
    <b:Year>2015</b:Year>
    <b:Pages>341-350</b:Pages>
    <b:Volume>68</b:Volume>
    <b:Issue>2</b:Issue>
    <b:RefOrder>66</b:RefOrder>
  </b:Source>
  <b:Source>
    <b:Tag>Ong131</b:Tag>
    <b:SourceType>JournalArticle</b:SourceType>
    <b:Guid>{5602AE2E-EBF9-42E9-A410-53ABA26D74FE}</b:Guid>
    <b:Author>
      <b:Author>
        <b:NameList>
          <b:Person>
            <b:Last>Ongore</b:Last>
            <b:First>V.O.</b:First>
          </b:Person>
          <b:Person>
            <b:Last>Kusa</b:Last>
            <b:First>G.B.</b:First>
          </b:Person>
        </b:NameList>
      </b:Author>
    </b:Author>
    <b:Title>Determinants of financial performance of commercial banks in Kenya</b:Title>
    <b:JournalName>International Journal of Economics and Financial Issues</b:JournalName>
    <b:Year>2013</b:Year>
    <b:Pages>237-252</b:Pages>
    <b:Volume>3</b:Volume>
    <b:Issue>1</b:Issue>
    <b:RefOrder>67</b:RefOrder>
  </b:Source>
  <b:Source>
    <b:Tag>Gri16</b:Tag>
    <b:SourceType>JournalArticle</b:SourceType>
    <b:Guid>{E67F33D7-FE3E-4C2A-B4B8-303D91630700}</b:Guid>
    <b:Author>
      <b:Author>
        <b:NameList>
          <b:Person>
            <b:Last>Grissom</b:Last>
            <b:First>J.A.</b:First>
          </b:Person>
          <b:Person>
            <b:Last>Mitani</b:Last>
            <b:First>H.</b:First>
          </b:Person>
        </b:NameList>
      </b:Author>
    </b:Author>
    <b:Title>Salary, performance, and superintendent turnover</b:Title>
    <b:JournalName>Educational Administration Quarterly</b:JournalName>
    <b:Year>2016</b:Year>
    <b:Pages>351-391</b:Pages>
    <b:Volume>52</b:Volume>
    <b:Issue>3</b:Issue>
    <b:RefOrder>68</b:RefOrder>
  </b:Source>
  <b:Source>
    <b:Tag>Bus151</b:Tag>
    <b:SourceType>JournalArticle</b:SourceType>
    <b:Guid>{7C5E00EB-A695-4C8B-8DB7-BB2B03DD1A42}</b:Guid>
    <b:Author>
      <b:Author>
        <b:NameList>
          <b:Person>
            <b:Last>Bussin</b:Last>
            <b:First>Mark</b:First>
          </b:Person>
        </b:NameList>
      </b:Author>
    </b:Author>
    <b:Title>CEO pay-performance sensitivity in the South African context</b:Title>
    <b:JournalName>South African Journal of Economic and Management Sciences</b:JournalName>
    <b:Year>2015</b:Year>
    <b:Pages>232-244</b:Pages>
    <b:Volume>18</b:Volume>
    <b:Issue>2</b:Issue>
    <b:RefOrder>69</b:RefOrder>
  </b:Source>
  <b:Source>
    <b:Tag>Dic941</b:Tag>
    <b:SourceType>JournalArticle</b:SourceType>
    <b:Guid>{768DA211-F0EA-4ED5-AF28-80B24B4980BE}</b:Guid>
    <b:Author>
      <b:Author>
        <b:NameList>
          <b:Person>
            <b:Last>Dickinson</b:Last>
            <b:First>J.P.</b:First>
          </b:Person>
          <b:Person>
            <b:Last>Muragu</b:Last>
            <b:First>K.</b:First>
          </b:Person>
        </b:NameList>
      </b:Author>
    </b:Author>
    <b:Title>Market efficiency in developing countries: A case study of the Nairobi Stock Exchange</b:Title>
    <b:JournalName>Journal of Business Finance &amp; Accounting</b:JournalName>
    <b:Year>1994</b:Year>
    <b:Pages>133-150</b:Pages>
    <b:Volume>21</b:Volume>
    <b:Issue>1</b:Issue>
    <b:RefOrder>70</b:RefOrder>
  </b:Source>
  <b:Source>
    <b:Tag>Olw11</b:Tag>
    <b:SourceType>JournalArticle</b:SourceType>
    <b:Guid>{321115F2-6429-4409-98AB-6A16C6B4C78B}</b:Guid>
    <b:Author>
      <b:Author>
        <b:NameList>
          <b:Person>
            <b:Last>Olweny</b:Last>
            <b:First>T.</b:First>
          </b:Person>
          <b:Person>
            <b:Last>Omondi</b:Last>
            <b:First>K.</b:First>
          </b:Person>
        </b:NameList>
      </b:Author>
    </b:Author>
    <b:Title>The effect of macro-economic factors on stock return volatility in the Nairobi stock exchange, Kenya. Economics and Finance review</b:Title>
    <b:JournalName>Economics and Finance review</b:JournalName>
    <b:Year>2011</b:Year>
    <b:Pages>34-48</b:Pages>
    <b:Volume>1</b:Volume>
    <b:Issue>10</b:Issue>
    <b:RefOrder>71</b:RefOrder>
  </b:Source>
  <b:Source>
    <b:Tag>Den041</b:Tag>
    <b:SourceType>JournalArticle</b:SourceType>
    <b:Guid>{437532A0-27D9-4DCA-8281-6FE714B1B8D8}</b:Guid>
    <b:Title>High performance work systems, organisational culture and firm effectiveness</b:Title>
    <b:Year>2004</b:Year>
    <b:Author>
      <b:Author>
        <b:NameList>
          <b:Person>
            <b:Last>Den Hartog</b:Last>
            <b:First>D.N.</b:First>
          </b:Person>
          <b:Person>
            <b:Last>Verburg</b:Last>
            <b:First>R.M.</b:First>
          </b:Person>
        </b:NameList>
      </b:Author>
    </b:Author>
    <b:JournalName>Human Resource Management Journal</b:JournalName>
    <b:Pages>55-78</b:Pages>
    <b:Volume>14</b:Volume>
    <b:Issue>1</b:Issue>
    <b:RefOrder>72</b:RefOrder>
  </b:Source>
  <b:Source>
    <b:Tag>Zam14</b:Tag>
    <b:SourceType>JournalArticle</b:SourceType>
    <b:Guid>{7EFC96F2-F913-417B-A133-7D828B4069A5}</b:Guid>
    <b:Author>
      <b:Author>
        <b:NameList>
          <b:Person>
            <b:Last>Zameer</b:Last>
            <b:First>H.</b:First>
          </b:Person>
          <b:Person>
            <b:Last>Ali</b:Last>
            <b:First>S.</b:First>
          </b:Person>
          <b:Person>
            <b:Last>Nisar</b:Last>
            <b:First>W.</b:First>
          </b:Person>
          <b:Person>
            <b:Last>Amir</b:Last>
            <b:First>M.</b:First>
          </b:Person>
        </b:NameList>
      </b:Author>
    </b:Author>
    <b:Title>The impact of the motivation on the employee’s performance in beverage industry of Pakistan</b:Title>
    <b:JournalName> International Journal of Academic Research in Accounting, Finance and Management Sciences</b:JournalName>
    <b:Year>2014</b:Year>
    <b:Pages>293-298</b:Pages>
    <b:Volume>4</b:Volume>
    <b:Issue>1</b:Issue>
    <b:RefOrder>73</b:RefOrder>
  </b:Source>
  <b:Source>
    <b:Tag>Nya16</b:Tag>
    <b:SourceType>JournalArticle</b:SourceType>
    <b:Guid>{C424D732-1B7A-4001-A1B5-6FAA15E89880}</b:Guid>
    <b:Author>
      <b:Author>
        <b:NameList>
          <b:Person>
            <b:Last>Nyaribo</b:Last>
            <b:First>O.L.</b:First>
          </b:Person>
        </b:NameList>
      </b:Author>
    </b:Author>
    <b:Title>The effect of non-financial compensation on employee performance of micro-finance institutions: A case of Wakenya Pamoja Sacco, Kisii County, Kenya</b:Title>
    <b:JournalName>Imperial Journal of Interdisciplinary Research</b:JournalName>
    <b:Year>2016</b:Year>
    <b:Volume>2</b:Volume>
    <b:Issue>6</b:Issue>
    <b:RefOrder>74</b:RefOrder>
  </b:Source>
  <b:Source>
    <b:Tag>Shi15</b:Tag>
    <b:SourceType>Book</b:SourceType>
    <b:Guid>{1A172F7A-23DA-4895-8FEE-89C5F30A48E2}</b:Guid>
    <b:Title>Managing employee performance &amp; reward: Concepts, practices, strategies</b:Title>
    <b:Year>2015</b:Year>
    <b:Author>
      <b:Author>
        <b:NameList>
          <b:Person>
            <b:Last>Shields</b:Last>
            <b:First>J.</b:First>
          </b:Person>
          <b:Person>
            <b:Last>Brown</b:Last>
            <b:First>M.</b:First>
          </b:Person>
          <b:Person>
            <b:Last>Kaine</b:Last>
            <b:First>S.</b:First>
          </b:Person>
          <b:Person>
            <b:Last>Dolle-Samuel</b:Last>
            <b:First>C.</b:First>
          </b:Person>
          <b:Person>
            <b:Last>North-Samardzic</b:Last>
            <b:First>A.</b:First>
          </b:Person>
          <b:Person>
            <b:Last>McLean</b:Last>
            <b:First>P.</b:First>
          </b:Person>
          <b:Person>
            <b:Last>Johns</b:Last>
            <b:First>R.</b:First>
          </b:Person>
          <b:Person>
            <b:Last>O'Leary</b:Last>
            <b:First>P.</b:First>
          </b:Person>
          <b:Person>
            <b:Last>Robinson</b:Last>
            <b:First>J.</b:First>
          </b:Person>
          <b:Person>
            <b:Last>Plimmer</b:Last>
            <b:First>G.</b:First>
          </b:Person>
        </b:NameList>
      </b:Author>
    </b:Author>
    <b:Publisher>Cambridge University Press</b:Publisher>
    <b:RefOrder>75</b:RefOrder>
  </b:Source>
  <b:Source>
    <b:Tag>Kim04</b:Tag>
    <b:SourceType>JournalArticle</b:SourceType>
    <b:Guid>{B61DD4FD-95D7-4EF9-B635-5DEF305C5DD9}</b:Guid>
    <b:Title>Financial stress, pay satisfaction and workplace performance</b:Title>
    <b:Year>2004</b:Year>
    <b:Author>
      <b:Author>
        <b:NameList>
          <b:Person>
            <b:Last>Kim</b:Last>
            <b:First>J.</b:First>
          </b:Person>
          <b:Person>
            <b:Last>Garman</b:Last>
            <b:First>E.T.</b:First>
          </b:Person>
        </b:NameList>
      </b:Author>
    </b:Author>
    <b:JournalName>Compensation &amp; Benefits Review</b:JournalName>
    <b:Pages>69-76</b:Pages>
    <b:Volume>36</b:Volume>
    <b:Issue>1</b:Issue>
    <b:RefOrder>76</b:RefOrder>
  </b:Source>
  <b:Source>
    <b:Tag>Mag05</b:Tag>
    <b:SourceType>JournalArticle</b:SourceType>
    <b:Guid>{F6FDEFA0-B1C8-4879-9604-9041809CE8BA}</b:Guid>
    <b:Author>
      <b:Author>
        <b:NameList>
          <b:Person>
            <b:Last>Magnan</b:Last>
            <b:First>M.</b:First>
          </b:Person>
          <b:Person>
            <b:Last>St‐Onge</b:Last>
            <b:First>S.</b:First>
          </b:Person>
        </b:NameList>
      </b:Author>
    </b:Author>
    <b:Title>The impact of profit sharing on the performance of financial services firms</b:Title>
    <b:JournalName>Journal of Management Studies</b:JournalName>
    <b:Year>2005</b:Year>
    <b:Pages>761-791</b:Pages>
    <b:Volume>42</b:Volume>
    <b:Issue>4</b:Issue>
    <b:RefOrder>77</b:RefOrder>
  </b:Source>
  <b:Source>
    <b:Tag>Cad07</b:Tag>
    <b:SourceType>JournalArticle</b:SourceType>
    <b:Guid>{B54349C8-20FB-40CF-B45F-A5EE0A529333}</b:Guid>
    <b:Author>
      <b:Author>
        <b:NameList>
          <b:Person>
            <b:Last>Cadsby</b:Last>
            <b:First>C.</b:First>
            <b:Middle>Bram</b:Middle>
          </b:Person>
          <b:Person>
            <b:Last>Song</b:Last>
            <b:First>Fei</b:First>
          </b:Person>
          <b:Person>
            <b:Last>Tapon</b:Last>
            <b:First>Francis</b:First>
          </b:Person>
        </b:NameList>
      </b:Author>
    </b:Author>
    <b:Title>Sorting and incentive effects of pay for performance: An experimental investigation</b:Title>
    <b:JournalName>Academy of management journal</b:JournalName>
    <b:Year>2007</b:Year>
    <b:Pages>387-405</b:Pages>
    <b:Volume>50</b:Volume>
    <b:Issue>2</b:Issue>
    <b:RefOrder>78</b:RefOrder>
  </b:Source>
  <b:Source>
    <b:Tag>Chi021</b:Tag>
    <b:SourceType>JournalArticle</b:SourceType>
    <b:Guid>{86FD2ABF-3F71-4347-9FF7-BF7D8A4711D5}</b:Guid>
    <b:Author>
      <b:Author>
        <b:NameList>
          <b:Person>
            <b:Last>Chiu</b:Last>
            <b:First>R.K.</b:First>
          </b:Person>
          <b:Person>
            <b:Last>Wai-Mei Luk</b:Last>
            <b:First>V.</b:First>
          </b:Person>
          <b:Person>
            <b:Last>Li-Ping Tang</b:Last>
            <b:First>T</b:First>
          </b:Person>
        </b:NameList>
      </b:Author>
    </b:Author>
    <b:Title>Retaining and motivating employees: Compensation preferences in Hong Kong and China</b:Title>
    <b:JournalName>Personnel Review</b:JournalName>
    <b:Year>2002</b:Year>
    <b:Pages>402-431</b:Pages>
    <b:Volume>31</b:Volume>
    <b:Issue>4</b:Issue>
    <b:RefOrder>79</b:RefOrder>
  </b:Source>
  <b:Source>
    <b:Tag>Akt12</b:Tag>
    <b:SourceType>JournalArticle</b:SourceType>
    <b:Guid>{8E7CB47B-3E33-4F65-A449-418F3CCDBF43}</b:Guid>
    <b:Author>
      <b:Author>
        <b:NameList>
          <b:Person>
            <b:Last>Aktar</b:Last>
            <b:First>S.</b:First>
          </b:Person>
          <b:Person>
            <b:Last>Sachu</b:Last>
            <b:First>M.K.</b:First>
          </b:Person>
          <b:Person>
            <b:Last>Ali</b:Last>
            <b:First>M.E.</b:First>
          </b:Person>
        </b:NameList>
      </b:Author>
    </b:Author>
    <b:Title> The impact of rewards on employee performance in commercial banks of Bangladesh: An empirical study</b:Title>
    <b:JournalName>Journal of Business and Management</b:JournalName>
    <b:Year>2012</b:Year>
    <b:Pages>9-15</b:Pages>
    <b:Volume>6</b:Volume>
    <b:Issue>2</b:Issue>
    <b:RefOrder>80</b:RefOrder>
  </b:Source>
  <b:Source>
    <b:Tag>Saj13</b:Tag>
    <b:SourceType>JournalArticle</b:SourceType>
    <b:Guid>{13458E16-1E91-4622-8350-C6EFCDC6D0EB}</b:Guid>
    <b:Author>
      <b:Author>
        <b:NameList>
          <b:Person>
            <b:Last>Sajuyigbe</b:Last>
            <b:First>A.</b:First>
            <b:Middle>S.</b:Middle>
          </b:Person>
          <b:Person>
            <b:Last>Olaoye</b:Last>
            <b:First>B.</b:First>
            <b:Middle>O.</b:Middle>
          </b:Person>
          <b:Person>
            <b:Last>Adeyemi</b:Last>
            <b:First>M.</b:First>
            <b:Middle>A.</b:Middle>
          </b:Person>
        </b:NameList>
      </b:Author>
    </b:Author>
    <b:Title>Impact of reward on employees performance in a selected manufacturing companies in Ibadan, Oyo state, Nigeria</b:Title>
    <b:JournalName>International Journal of Arts and Commerce</b:JournalName>
    <b:Year>2013</b:Year>
    <b:Pages>27-32</b:Pages>
    <b:Volume>2</b:Volume>
    <b:Issue>2</b:Issue>
    <b:RefOrder>81</b:RefOrder>
  </b:Source>
  <b:Source>
    <b:Tag>Kin06</b:Tag>
    <b:SourceType>JournalArticle</b:SourceType>
    <b:Guid>{B5960843-03EF-4669-B30F-F3B863743316}</b:Guid>
    <b:Author>
      <b:Author>
        <b:NameList>
          <b:Person>
            <b:Last>King-Kauanui</b:Last>
            <b:First>S.</b:First>
          </b:Person>
          <b:Person>
            <b:Last>Ngoc</b:Last>
            <b:First>S.D.</b:First>
          </b:Person>
          <b:Person>
            <b:Last>Ashley-Cotleur</b:Last>
            <b:First>C.</b:First>
          </b:Person>
        </b:NameList>
      </b:Author>
    </b:Author>
    <b:Title>Impact of human resource management: SME performance in Vietnam</b:Title>
    <b:JournalName>Journal of developmental entrepreneurship</b:JournalName>
    <b:Year>2006</b:Year>
    <b:Pages>79-95</b:Pages>
    <b:Volume>11</b:Volume>
    <b:Issue>01</b:Issue>
    <b:RefOrder>82</b:RefOrder>
  </b:Source>
  <b:Source>
    <b:Tag>Shi08</b:Tag>
    <b:SourceType>JournalArticle</b:SourceType>
    <b:Guid>{74CFFFCE-775D-4689-999E-63DDE6950ABC}</b:Guid>
    <b:Author>
      <b:Author>
        <b:NameList>
          <b:Person>
            <b:Last>Shieh</b:Last>
            <b:First>C.J.</b:First>
          </b:Person>
        </b:NameList>
      </b:Author>
    </b:Author>
    <b:Title> Effect of corporate compensation design on organizational performance</b:Title>
    <b:JournalName>Social Behavior and Personality: an international journal</b:JournalName>
    <b:Year>2008</b:Year>
    <b:Pages>827-840</b:Pages>
    <b:Volume>36</b:Volume>
    <b:Issue>6</b:Issue>
    <b:RefOrder>83</b:RefOrder>
  </b:Source>
  <b:Source>
    <b:Tag>Itt03</b:Tag>
    <b:SourceType>JournalArticle</b:SourceType>
    <b:Guid>{39B49B93-BB29-4E6F-B186-501D33CCF943}</b:Guid>
    <b:Author>
      <b:Author>
        <b:NameList>
          <b:Person>
            <b:Last>Ittner</b:Last>
            <b:First>C.D.</b:First>
          </b:Person>
          <b:Person>
            <b:Last>Lambert</b:Last>
            <b:First>R.A.</b:First>
          </b:Person>
          <b:Person>
            <b:Last>Larcker</b:Last>
            <b:First>D.F.</b:First>
          </b:Person>
        </b:NameList>
      </b:Author>
    </b:Author>
    <b:Title>The structure and performance consequences of equity grants to employees of new economy firms</b:Title>
    <b:JournalName>Journal of Accounting and Economics</b:JournalName>
    <b:Year>2003</b:Year>
    <b:Pages>89-127</b:Pages>
    <b:Volume>34</b:Volume>
    <b:Issue>1</b:Issue>
    <b:RefOrder>84</b:RefOrder>
  </b:Source>
  <b:Source>
    <b:Tag>Gua02</b:Tag>
    <b:SourceType>JournalArticle</b:SourceType>
    <b:Guid>{EB6D9668-927D-4762-A180-2346BEF30058}</b:Guid>
    <b:Author>
      <b:Author>
        <b:NameList>
          <b:Person>
            <b:Last>Guay</b:Last>
            <b:First>W.</b:First>
          </b:Person>
          <b:Person>
            <b:Last>Core</b:Last>
            <b:First>J.</b:First>
          </b:Person>
          <b:Person>
            <b:Last>Larcker</b:Last>
            <b:First>D.</b:First>
          </b:Person>
        </b:NameList>
      </b:Author>
    </b:Author>
    <b:Title>Executive equity compensation and incentives: A survey</b:Title>
    <b:Year>2002</b:Year>
    <b:RefOrder>85</b:RefOrder>
  </b:Source>
  <b:Source>
    <b:Tag>Vel95</b:Tag>
    <b:SourceType>JournalArticle</b:SourceType>
    <b:Guid>{1F18DCD5-723B-4986-A0B1-8BA776891A54}</b:Guid>
    <b:Author>
      <b:Author>
        <b:NameList>
          <b:Person>
            <b:Last>Veliyath</b:Last>
            <b:First>R.</b:First>
          </b:Person>
          <b:Person>
            <b:Last>Bishop</b:Last>
            <b:First>J.W.</b:First>
          </b:Person>
        </b:NameList>
      </b:Author>
    </b:Author>
    <b:Title>Relationship between CEO compensation and firm performance: empirical evidence of labor market norms</b:Title>
    <b:JournalName>The International Journal of Organizational Analysis</b:JournalName>
    <b:Year>1995</b:Year>
    <b:Pages>268-283</b:Pages>
    <b:Volume>3</b:Volume>
    <b:Issue>3</b:Issue>
    <b:RefOrder>86</b:RefOrder>
  </b:Source>
  <b:Source>
    <b:Tag>Dur99</b:Tag>
    <b:SourceType>JournalArticle</b:SourceType>
    <b:Guid>{46900647-C625-4570-AA2D-9B83267D4A67}</b:Guid>
    <b:Author>
      <b:Author>
        <b:NameList>
          <b:Person>
            <b:Last>Duru</b:Last>
            <b:First>A.I.</b:First>
          </b:Person>
          <b:Person>
            <b:Last>Iyengar</b:Last>
            <b:First>R.J.</b:First>
          </b:Person>
        </b:NameList>
      </b:Author>
    </b:Author>
    <b:Title>Linking CEO pay to firm performance: empirical evidence from the electric utility industry</b:Title>
    <b:JournalName>Managerial Finance</b:JournalName>
    <b:Year>1999</b:Year>
    <b:Pages>21-33</b:Pages>
    <b:Volume>25</b:Volume>
    <b:Issue>9</b:Issue>
    <b:RefOrder>87</b:RefOrder>
  </b:Source>
  <b:Source>
    <b:Tag>Qur10</b:Tag>
    <b:SourceType>JournalArticle</b:SourceType>
    <b:Guid>{CB46A60B-8BA3-44C8-9A3D-716EAD913BD6}</b:Guid>
    <b:Author>
      <b:Author>
        <b:NameList>
          <b:Person>
            <b:Last>Quresh</b:Last>
            <b:First>T.M.</b:First>
          </b:Person>
          <b:Person>
            <b:Last>Akbar</b:Last>
            <b:First>A.</b:First>
          </b:Person>
          <b:Person>
            <b:Last>Khan</b:Last>
            <b:First>M.A.</b:First>
          </b:Person>
          <b:Person>
            <b:Last>Sheikh</b:Last>
            <b:First>R.A.</b:First>
          </b:Person>
          <b:Person>
            <b:Last>Hijazi</b:Last>
            <b:First>S.T.</b:First>
          </b:Person>
        </b:NameList>
      </b:Author>
    </b:Author>
    <b:Title>Do human resource management practices have an impact on financial performance of banks?., 4(7), pp.</b:Title>
    <b:JournalName>African Journal of Business Management</b:JournalName>
    <b:Year>2010</b:Year>
    <b:Pages>1281-1288</b:Pages>
    <b:Volume>4</b:Volume>
    <b:Issue>7</b:Issue>
    <b:RefOrder>88</b:RefOrder>
  </b:Source>
  <b:Source>
    <b:Tag>Cho06</b:Tag>
    <b:SourceType>JournalArticle</b:SourceType>
    <b:Guid>{B2DAFF47-AA33-4C8B-9D71-33B8A6E06C0D}</b:Guid>
    <b:Author>
      <b:Author>
        <b:NameList>
          <b:Person>
            <b:Last>Cho</b:Last>
            <b:First>S.</b:First>
          </b:Person>
          <b:Person>
            <b:Last>Woods</b:Last>
            <b:First>R.H.</b:First>
          </b:Person>
          <b:Person>
            <b:Last>Jang</b:Last>
            <b:First>S.S.</b:First>
          </b:Person>
          <b:Person>
            <b:Last>Erdem</b:Last>
            <b:First>M.</b:First>
          </b:Person>
        </b:NameList>
      </b:Author>
    </b:Author>
    <b:Title>Measuring the impact of human resource management practices on hospitality firms’ performances</b:Title>
    <b:JournalName>International Journal of Hospitality Management</b:JournalName>
    <b:Year>2006</b:Year>
    <b:Pages>262-277</b:Pages>
    <b:Volume>25</b:Volume>
    <b:Issue>2</b:Issue>
    <b:RefOrder>89</b:RefOrder>
  </b:Source>
  <b:Source>
    <b:Tag>Hoi04</b:Tag>
    <b:SourceType>JournalArticle</b:SourceType>
    <b:Guid>{3EFC9C97-26A3-436F-A324-8CEC0FA7F34A}</b:Guid>
    <b:Author>
      <b:Author>
        <b:NameList>
          <b:Person>
            <b:Last>Hoi</b:Last>
            <b:First>C.K.</b:First>
          </b:Person>
          <b:Person>
            <b:Last>Robin</b:Last>
            <b:First>A.</b:First>
          </b:Person>
        </b:NameList>
      </b:Author>
    </b:Author>
    <b:Title>The design of incentive compensation for directors</b:Title>
    <b:JournalName>Corporate Governance: The international journal of business in society</b:JournalName>
    <b:Year>2004</b:Year>
    <b:Pages>47-53</b:Pages>
    <b:Volume>4</b:Volume>
    <b:Issue>3</b:Issue>
    <b:RefOrder>90</b:RefOrder>
  </b:Source>
  <b:Source>
    <b:Tag>Man163</b:Tag>
    <b:SourceType>BookSection</b:SourceType>
    <b:Guid>{81382417-2166-44E1-B006-8903A6E913CA}</b:Guid>
    <b:Title> Directors’ Remuneration in Spain</b:Title>
    <b:Year>2016</b:Year>
    <b:Pages>157-183</b:Pages>
    <b:Author>
      <b:Author>
        <b:NameList>
          <b:Person>
            <b:Last>Manzaneque</b:Last>
            <b:First>M.</b:First>
          </b:Person>
          <b:Person>
            <b:Last>Merino</b:Last>
            <b:First>E.</b:First>
          </b:Person>
          <b:Person>
            <b:Last>Banegas</b:Last>
            <b:First>R.</b:First>
          </b:Person>
        </b:NameList>
      </b:Author>
    </b:Author>
    <b:BookTitle>The Theory and Practice of Directors’ Remuneration: New Challenges and Opportunities</b:BookTitle>
    <b:Publisher> Emerald Group Publishing Limited</b:Publisher>
    <b:RefOrder>3</b:RefOrder>
  </b:Source>
  <b:Source>
    <b:Tag>Mbu11</b:Tag>
    <b:SourceType>Report</b:SourceType>
    <b:Guid>{A1B1F9F5-1399-4307-9738-C2E950CDB015}</b:Guid>
    <b:Title>The role and impact of Capital Markets in developing economies a case study of Nairobi Stock Exchange </b:Title>
    <b:Year>2011</b:Year>
    <b:Publisher>Doctoral dissertation, University of Nairobi, Kenya</b:Publisher>
    <b:Author>
      <b:Author>
        <b:NameList>
          <b:Person>
            <b:Last>Mbugua</b:Last>
            <b:First>A.W.</b:First>
          </b:Person>
        </b:NameList>
      </b:Author>
    </b:Author>
    <b:RefOrder>1</b:RefOrder>
  </b:Source>
</b:Sources>
</file>

<file path=customXml/itemProps1.xml><?xml version="1.0" encoding="utf-8"?>
<ds:datastoreItem xmlns:ds="http://schemas.openxmlformats.org/officeDocument/2006/customXml" ds:itemID="{CFFD06AA-392E-49E3-981D-DC2785EEFA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93</Pages>
  <Words>78621</Words>
  <Characters>448146</Characters>
  <Application>Microsoft Office Word</Application>
  <DocSecurity>0</DocSecurity>
  <Lines>3734</Lines>
  <Paragraphs>1051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525716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Richard Omondi</cp:lastModifiedBy>
  <cp:revision>2</cp:revision>
  <dcterms:created xsi:type="dcterms:W3CDTF">2021-07-30T03:49:00Z</dcterms:created>
  <dcterms:modified xsi:type="dcterms:W3CDTF">2021-07-30T03:49:00Z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-1470205008</vt:i4>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 11th edition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7th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 6th edition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17th edition (author-date)</vt:lpwstr>
  </property>
  <property fmtid="{D5CDD505-2E9C-101B-9397-08002B2CF9AE}" pid="13" name="Mendeley Recent Style Id 5_1">
    <vt:lpwstr>http://www.zotero.org/styles/harvard-cite-them-right</vt:lpwstr>
  </property>
  <property fmtid="{D5CDD505-2E9C-101B-9397-08002B2CF9AE}" pid="14" name="Mendeley Recent Style Name 5_1">
    <vt:lpwstr>Cite Them Right 10th edition - Harvard</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8th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endeley Document_1">
    <vt:lpwstr>True</vt:lpwstr>
  </property>
  <property fmtid="{D5CDD505-2E9C-101B-9397-08002B2CF9AE}" pid="24" name="Mendeley Unique User Id_1">
    <vt:lpwstr>aa441684-a85a-3277-b40d-228b94266823</vt:lpwstr>
  </property>
  <property fmtid="{D5CDD505-2E9C-101B-9397-08002B2CF9AE}" pid="25" name="Mendeley Citation Style_1">
    <vt:lpwstr>http://www.zotero.org/styles/apa</vt:lpwstr>
  </property>
</Properties>
</file>