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BAA589" w14:textId="77777777" w:rsidR="0087334E" w:rsidRDefault="0087334E" w:rsidP="0087334E">
      <w:pPr>
        <w:spacing w:after="0" w:line="360" w:lineRule="auto"/>
        <w:rPr>
          <w:rFonts w:asciiTheme="majorHAnsi" w:hAnsiTheme="majorHAnsi" w:cstheme="majorHAnsi"/>
          <w:sz w:val="32"/>
          <w:szCs w:val="32"/>
        </w:rPr>
      </w:pPr>
    </w:p>
    <w:p w14:paraId="3735BF76" w14:textId="22EE8D97" w:rsidR="0075186E" w:rsidRPr="00BD12A1" w:rsidRDefault="0075186E" w:rsidP="00685046">
      <w:pPr>
        <w:spacing w:after="0" w:line="360" w:lineRule="auto"/>
        <w:jc w:val="center"/>
        <w:rPr>
          <w:rFonts w:asciiTheme="majorHAnsi" w:hAnsiTheme="majorHAnsi" w:cstheme="majorHAnsi"/>
          <w:b/>
          <w:bCs/>
          <w:sz w:val="32"/>
          <w:szCs w:val="32"/>
        </w:rPr>
      </w:pPr>
      <w:r w:rsidRPr="00BD12A1">
        <w:rPr>
          <w:rFonts w:asciiTheme="majorHAnsi" w:hAnsiTheme="majorHAnsi" w:cstheme="majorHAnsi"/>
          <w:b/>
          <w:bCs/>
          <w:sz w:val="32"/>
          <w:szCs w:val="32"/>
        </w:rPr>
        <w:t>THE RELATIONSHIP BETWEEN SOLVENCY AND PROFITABILITY OF COMMERCIAL BANKS IN KENYA</w:t>
      </w:r>
    </w:p>
    <w:p w14:paraId="1858C14E" w14:textId="666ABC38" w:rsidR="0075186E" w:rsidRPr="00BD12A1" w:rsidRDefault="0075186E" w:rsidP="00685046">
      <w:pPr>
        <w:tabs>
          <w:tab w:val="left" w:pos="6555"/>
        </w:tabs>
        <w:spacing w:after="0" w:line="360" w:lineRule="auto"/>
        <w:rPr>
          <w:rFonts w:asciiTheme="majorHAnsi" w:hAnsiTheme="majorHAnsi" w:cstheme="majorHAnsi"/>
          <w:b/>
          <w:bCs/>
          <w:sz w:val="24"/>
          <w:szCs w:val="24"/>
        </w:rPr>
      </w:pPr>
    </w:p>
    <w:p w14:paraId="1FFC88AE" w14:textId="77777777" w:rsidR="0075186E" w:rsidRPr="00BD12A1" w:rsidRDefault="0075186E" w:rsidP="00685046">
      <w:pPr>
        <w:spacing w:after="0" w:line="360" w:lineRule="auto"/>
        <w:jc w:val="center"/>
        <w:rPr>
          <w:rFonts w:asciiTheme="majorHAnsi" w:hAnsiTheme="majorHAnsi" w:cstheme="majorHAnsi"/>
          <w:b/>
          <w:bCs/>
          <w:sz w:val="24"/>
          <w:szCs w:val="24"/>
        </w:rPr>
      </w:pPr>
    </w:p>
    <w:p w14:paraId="4440AEB5" w14:textId="77777777" w:rsidR="0075186E" w:rsidRPr="00BD12A1" w:rsidRDefault="0075186E" w:rsidP="0087334E">
      <w:pPr>
        <w:spacing w:after="0" w:line="360" w:lineRule="auto"/>
        <w:rPr>
          <w:rFonts w:asciiTheme="majorHAnsi" w:hAnsiTheme="majorHAnsi" w:cstheme="majorHAnsi"/>
          <w:b/>
          <w:bCs/>
          <w:sz w:val="24"/>
          <w:szCs w:val="24"/>
        </w:rPr>
      </w:pPr>
    </w:p>
    <w:p w14:paraId="63FE11C5" w14:textId="77777777" w:rsidR="00B375C0" w:rsidRPr="00BD12A1" w:rsidRDefault="00330526" w:rsidP="00685046">
      <w:pPr>
        <w:spacing w:after="0" w:line="360" w:lineRule="auto"/>
        <w:jc w:val="center"/>
        <w:rPr>
          <w:rFonts w:asciiTheme="majorHAnsi" w:hAnsiTheme="majorHAnsi" w:cstheme="majorHAnsi"/>
          <w:b/>
          <w:bCs/>
          <w:sz w:val="32"/>
          <w:szCs w:val="32"/>
        </w:rPr>
      </w:pPr>
      <w:r w:rsidRPr="00BD12A1">
        <w:rPr>
          <w:rFonts w:asciiTheme="majorHAnsi" w:hAnsiTheme="majorHAnsi" w:cstheme="majorHAnsi"/>
          <w:b/>
          <w:bCs/>
          <w:sz w:val="32"/>
          <w:szCs w:val="32"/>
        </w:rPr>
        <w:t>A Thesis Submitted to the Department of Management</w:t>
      </w:r>
    </w:p>
    <w:p w14:paraId="06EE7241" w14:textId="4929CF2F" w:rsidR="00330526" w:rsidRPr="00BD12A1" w:rsidRDefault="00330526" w:rsidP="00685046">
      <w:pPr>
        <w:spacing w:after="0" w:line="360" w:lineRule="auto"/>
        <w:jc w:val="center"/>
        <w:rPr>
          <w:rFonts w:asciiTheme="majorHAnsi" w:hAnsiTheme="majorHAnsi" w:cstheme="majorHAnsi"/>
          <w:b/>
          <w:bCs/>
          <w:sz w:val="32"/>
          <w:szCs w:val="32"/>
        </w:rPr>
      </w:pPr>
      <w:r w:rsidRPr="00BD12A1">
        <w:rPr>
          <w:rFonts w:asciiTheme="majorHAnsi" w:hAnsiTheme="majorHAnsi" w:cstheme="majorHAnsi"/>
          <w:b/>
          <w:bCs/>
          <w:sz w:val="32"/>
          <w:szCs w:val="32"/>
        </w:rPr>
        <w:t xml:space="preserve">School of Business </w:t>
      </w:r>
    </w:p>
    <w:p w14:paraId="04A1E6EE" w14:textId="77777777" w:rsidR="00330526" w:rsidRPr="00BD12A1" w:rsidRDefault="00330526" w:rsidP="00685046">
      <w:pPr>
        <w:spacing w:after="0" w:line="360" w:lineRule="auto"/>
        <w:jc w:val="center"/>
        <w:rPr>
          <w:rFonts w:asciiTheme="majorHAnsi" w:hAnsiTheme="majorHAnsi" w:cstheme="majorHAnsi"/>
          <w:b/>
          <w:bCs/>
          <w:sz w:val="32"/>
          <w:szCs w:val="32"/>
        </w:rPr>
      </w:pPr>
      <w:r w:rsidRPr="00BD12A1">
        <w:rPr>
          <w:rFonts w:asciiTheme="majorHAnsi" w:hAnsiTheme="majorHAnsi" w:cstheme="majorHAnsi"/>
          <w:b/>
          <w:bCs/>
          <w:sz w:val="32"/>
          <w:szCs w:val="32"/>
        </w:rPr>
        <w:t>University of Eastern Africa, Baraton</w:t>
      </w:r>
    </w:p>
    <w:p w14:paraId="5224FE98" w14:textId="03FC7585" w:rsidR="00330526" w:rsidRPr="00BD12A1" w:rsidRDefault="00330526" w:rsidP="00330526">
      <w:pPr>
        <w:spacing w:line="480" w:lineRule="auto"/>
        <w:jc w:val="center"/>
        <w:rPr>
          <w:rFonts w:asciiTheme="majorHAnsi" w:hAnsiTheme="majorHAnsi" w:cstheme="majorHAnsi"/>
          <w:b/>
          <w:bCs/>
          <w:sz w:val="32"/>
          <w:szCs w:val="32"/>
        </w:rPr>
      </w:pPr>
    </w:p>
    <w:p w14:paraId="07351370" w14:textId="77777777" w:rsidR="0087334E" w:rsidRPr="00BD12A1" w:rsidRDefault="0087334E" w:rsidP="00330526">
      <w:pPr>
        <w:spacing w:line="480" w:lineRule="auto"/>
        <w:jc w:val="center"/>
        <w:rPr>
          <w:rFonts w:asciiTheme="majorHAnsi" w:hAnsiTheme="majorHAnsi" w:cstheme="majorHAnsi"/>
          <w:b/>
          <w:bCs/>
          <w:sz w:val="32"/>
          <w:szCs w:val="32"/>
        </w:rPr>
      </w:pPr>
    </w:p>
    <w:p w14:paraId="0106FBF4" w14:textId="77777777" w:rsidR="0087334E" w:rsidRPr="00BD12A1" w:rsidRDefault="0087334E" w:rsidP="00330526">
      <w:pPr>
        <w:spacing w:line="480" w:lineRule="auto"/>
        <w:jc w:val="center"/>
        <w:rPr>
          <w:rFonts w:asciiTheme="majorHAnsi" w:hAnsiTheme="majorHAnsi" w:cstheme="majorHAnsi"/>
          <w:b/>
          <w:bCs/>
          <w:sz w:val="32"/>
          <w:szCs w:val="32"/>
        </w:rPr>
      </w:pPr>
    </w:p>
    <w:p w14:paraId="382EDF10" w14:textId="77777777" w:rsidR="00C37390" w:rsidRPr="00BD12A1" w:rsidRDefault="00330526" w:rsidP="00685046">
      <w:pPr>
        <w:spacing w:after="0" w:line="360" w:lineRule="auto"/>
        <w:jc w:val="center"/>
        <w:rPr>
          <w:rFonts w:asciiTheme="majorHAnsi" w:hAnsiTheme="majorHAnsi" w:cstheme="majorHAnsi"/>
          <w:b/>
          <w:bCs/>
          <w:sz w:val="32"/>
          <w:szCs w:val="32"/>
        </w:rPr>
      </w:pPr>
      <w:r w:rsidRPr="00BD12A1">
        <w:rPr>
          <w:rFonts w:asciiTheme="majorHAnsi" w:hAnsiTheme="majorHAnsi" w:cstheme="majorHAnsi"/>
          <w:b/>
          <w:bCs/>
          <w:sz w:val="32"/>
          <w:szCs w:val="32"/>
        </w:rPr>
        <w:t>In Partial Fulfillment of the Requirements for</w:t>
      </w:r>
    </w:p>
    <w:p w14:paraId="4B0117C5" w14:textId="03F9CD97" w:rsidR="00C37390" w:rsidRPr="00BD12A1" w:rsidRDefault="00330526" w:rsidP="00685046">
      <w:pPr>
        <w:spacing w:after="0" w:line="360" w:lineRule="auto"/>
        <w:jc w:val="center"/>
        <w:rPr>
          <w:rFonts w:asciiTheme="majorHAnsi" w:hAnsiTheme="majorHAnsi" w:cstheme="majorHAnsi"/>
          <w:b/>
          <w:bCs/>
          <w:sz w:val="32"/>
          <w:szCs w:val="32"/>
        </w:rPr>
      </w:pPr>
      <w:r w:rsidRPr="00BD12A1">
        <w:rPr>
          <w:rFonts w:asciiTheme="majorHAnsi" w:hAnsiTheme="majorHAnsi" w:cstheme="majorHAnsi"/>
          <w:b/>
          <w:bCs/>
          <w:sz w:val="32"/>
          <w:szCs w:val="32"/>
        </w:rPr>
        <w:t>the Degree of</w:t>
      </w:r>
    </w:p>
    <w:p w14:paraId="118EFB17" w14:textId="2150D859" w:rsidR="00330526" w:rsidRPr="00BD12A1" w:rsidRDefault="00330526" w:rsidP="00685046">
      <w:pPr>
        <w:spacing w:after="0" w:line="360" w:lineRule="auto"/>
        <w:jc w:val="center"/>
        <w:rPr>
          <w:rFonts w:asciiTheme="majorHAnsi" w:hAnsiTheme="majorHAnsi" w:cstheme="majorHAnsi"/>
          <w:b/>
          <w:bCs/>
          <w:sz w:val="32"/>
          <w:szCs w:val="32"/>
        </w:rPr>
      </w:pPr>
      <w:r w:rsidRPr="00BD12A1">
        <w:rPr>
          <w:rFonts w:asciiTheme="majorHAnsi" w:hAnsiTheme="majorHAnsi" w:cstheme="majorHAnsi"/>
          <w:b/>
          <w:bCs/>
          <w:sz w:val="32"/>
          <w:szCs w:val="32"/>
        </w:rPr>
        <w:t>Master of Business Administration</w:t>
      </w:r>
    </w:p>
    <w:p w14:paraId="354359ED" w14:textId="77777777" w:rsidR="00330526" w:rsidRPr="00BD12A1" w:rsidRDefault="00330526" w:rsidP="00685046">
      <w:pPr>
        <w:tabs>
          <w:tab w:val="left" w:pos="6555"/>
        </w:tabs>
        <w:spacing w:after="0" w:line="360" w:lineRule="auto"/>
        <w:rPr>
          <w:rFonts w:asciiTheme="majorHAnsi" w:hAnsiTheme="majorHAnsi" w:cstheme="majorHAnsi"/>
          <w:b/>
          <w:bCs/>
          <w:sz w:val="32"/>
          <w:szCs w:val="32"/>
        </w:rPr>
      </w:pPr>
    </w:p>
    <w:p w14:paraId="1BF289AE" w14:textId="6AC20E7A" w:rsidR="00330526" w:rsidRPr="00BD12A1" w:rsidRDefault="00330526" w:rsidP="00B375C0">
      <w:pPr>
        <w:spacing w:after="0" w:line="480" w:lineRule="auto"/>
        <w:rPr>
          <w:rFonts w:asciiTheme="majorHAnsi" w:hAnsiTheme="majorHAnsi" w:cstheme="majorHAnsi"/>
          <w:b/>
          <w:bCs/>
          <w:sz w:val="32"/>
          <w:szCs w:val="32"/>
        </w:rPr>
      </w:pPr>
      <w:r w:rsidRPr="00BD12A1">
        <w:rPr>
          <w:rFonts w:asciiTheme="majorHAnsi" w:hAnsiTheme="majorHAnsi" w:cstheme="majorHAnsi"/>
          <w:b/>
          <w:bCs/>
          <w:sz w:val="32"/>
          <w:szCs w:val="32"/>
        </w:rPr>
        <w:t xml:space="preserve">  </w:t>
      </w:r>
    </w:p>
    <w:p w14:paraId="429899A0" w14:textId="4A2A79C0" w:rsidR="00330526" w:rsidRPr="00BD12A1" w:rsidRDefault="00330526" w:rsidP="00685046">
      <w:pPr>
        <w:spacing w:after="0" w:line="360" w:lineRule="auto"/>
        <w:jc w:val="center"/>
        <w:rPr>
          <w:rFonts w:asciiTheme="majorHAnsi" w:hAnsiTheme="majorHAnsi" w:cstheme="majorHAnsi"/>
          <w:b/>
          <w:bCs/>
          <w:sz w:val="32"/>
          <w:szCs w:val="32"/>
        </w:rPr>
      </w:pPr>
      <w:r w:rsidRPr="00BD12A1">
        <w:rPr>
          <w:rFonts w:asciiTheme="majorHAnsi" w:hAnsiTheme="majorHAnsi" w:cstheme="majorHAnsi"/>
          <w:b/>
          <w:bCs/>
          <w:sz w:val="32"/>
          <w:szCs w:val="32"/>
        </w:rPr>
        <w:t>BENJAMIN KIPROP</w:t>
      </w:r>
      <w:r w:rsidR="006603A6" w:rsidRPr="00BD12A1">
        <w:rPr>
          <w:rFonts w:asciiTheme="majorHAnsi" w:hAnsiTheme="majorHAnsi" w:cstheme="majorHAnsi"/>
          <w:b/>
          <w:bCs/>
          <w:sz w:val="32"/>
          <w:szCs w:val="32"/>
        </w:rPr>
        <w:t xml:space="preserve"> (SKIPBE1911)</w:t>
      </w:r>
      <w:r w:rsidRPr="00BD12A1">
        <w:rPr>
          <w:rFonts w:asciiTheme="majorHAnsi" w:hAnsiTheme="majorHAnsi" w:cstheme="majorHAnsi"/>
          <w:b/>
          <w:bCs/>
          <w:sz w:val="32"/>
          <w:szCs w:val="32"/>
        </w:rPr>
        <w:t xml:space="preserve"> </w:t>
      </w:r>
    </w:p>
    <w:p w14:paraId="2732DF6E" w14:textId="2BA7A37A" w:rsidR="002E707F" w:rsidRPr="00BD12A1" w:rsidRDefault="00330526" w:rsidP="0087334E">
      <w:pPr>
        <w:spacing w:after="0" w:line="360" w:lineRule="auto"/>
        <w:jc w:val="center"/>
        <w:rPr>
          <w:rFonts w:asciiTheme="majorHAnsi" w:hAnsiTheme="majorHAnsi" w:cstheme="majorHAnsi"/>
          <w:b/>
          <w:bCs/>
          <w:sz w:val="32"/>
          <w:szCs w:val="32"/>
        </w:rPr>
      </w:pPr>
      <w:r w:rsidRPr="00BD12A1">
        <w:rPr>
          <w:rFonts w:asciiTheme="majorHAnsi" w:hAnsiTheme="majorHAnsi" w:cstheme="majorHAnsi"/>
          <w:b/>
          <w:bCs/>
          <w:sz w:val="32"/>
          <w:szCs w:val="32"/>
        </w:rPr>
        <w:t xml:space="preserve"> Ju</w:t>
      </w:r>
      <w:r w:rsidR="007B570B" w:rsidRPr="00BD12A1">
        <w:rPr>
          <w:rFonts w:asciiTheme="majorHAnsi" w:hAnsiTheme="majorHAnsi" w:cstheme="majorHAnsi"/>
          <w:b/>
          <w:bCs/>
          <w:sz w:val="32"/>
          <w:szCs w:val="32"/>
        </w:rPr>
        <w:t>ly,</w:t>
      </w:r>
      <w:r w:rsidRPr="00BD12A1">
        <w:rPr>
          <w:rFonts w:asciiTheme="majorHAnsi" w:hAnsiTheme="majorHAnsi" w:cstheme="majorHAnsi"/>
          <w:b/>
          <w:bCs/>
          <w:sz w:val="32"/>
          <w:szCs w:val="32"/>
        </w:rPr>
        <w:t xml:space="preserve"> 2021</w:t>
      </w:r>
    </w:p>
    <w:p w14:paraId="41A6C4D7" w14:textId="77777777" w:rsidR="002E707F" w:rsidRPr="00BD12A1" w:rsidRDefault="002E707F" w:rsidP="0087334E">
      <w:pPr>
        <w:spacing w:after="0" w:line="240" w:lineRule="auto"/>
        <w:rPr>
          <w:rFonts w:asciiTheme="majorHAnsi" w:hAnsiTheme="majorHAnsi" w:cstheme="majorHAnsi"/>
          <w:b/>
          <w:bCs/>
          <w:sz w:val="32"/>
          <w:szCs w:val="32"/>
        </w:rPr>
      </w:pPr>
    </w:p>
    <w:p w14:paraId="657BD0FA" w14:textId="77777777" w:rsidR="00330526" w:rsidRPr="00012E7A" w:rsidRDefault="00330526" w:rsidP="002E707F">
      <w:pPr>
        <w:pStyle w:val="Heading1"/>
        <w:spacing w:before="0" w:after="0" w:line="480" w:lineRule="auto"/>
        <w:rPr>
          <w:rFonts w:asciiTheme="majorHAnsi" w:hAnsiTheme="majorHAnsi" w:cstheme="majorHAnsi"/>
          <w:sz w:val="32"/>
          <w:szCs w:val="32"/>
          <w:u w:val="none"/>
        </w:rPr>
      </w:pPr>
      <w:bookmarkStart w:id="0" w:name="_Toc78205760"/>
      <w:r w:rsidRPr="00012E7A">
        <w:rPr>
          <w:rFonts w:asciiTheme="majorHAnsi" w:hAnsiTheme="majorHAnsi" w:cstheme="majorHAnsi"/>
          <w:sz w:val="32"/>
          <w:szCs w:val="32"/>
          <w:u w:val="none"/>
        </w:rPr>
        <w:lastRenderedPageBreak/>
        <w:t>APPROVAL SHEET</w:t>
      </w:r>
      <w:bookmarkEnd w:id="0"/>
    </w:p>
    <w:p w14:paraId="5A0D06B9" w14:textId="659CA970" w:rsidR="00330526" w:rsidRPr="0022305D" w:rsidRDefault="00330526" w:rsidP="00330526">
      <w:pPr>
        <w:spacing w:after="0" w:line="480" w:lineRule="auto"/>
        <w:jc w:val="center"/>
        <w:rPr>
          <w:rFonts w:asciiTheme="majorHAnsi" w:hAnsiTheme="majorHAnsi" w:cstheme="majorHAnsi"/>
          <w:bCs/>
          <w:sz w:val="24"/>
          <w:szCs w:val="24"/>
        </w:rPr>
      </w:pPr>
      <w:r w:rsidRPr="0022305D">
        <w:rPr>
          <w:rFonts w:asciiTheme="majorHAnsi" w:hAnsiTheme="majorHAnsi" w:cstheme="majorHAnsi"/>
          <w:bCs/>
          <w:sz w:val="24"/>
          <w:szCs w:val="24"/>
        </w:rPr>
        <w:t xml:space="preserve">This thesis entitled THE RELATIONSHIP BETWEEN SOLVENCY AND PROFITABILITY OF COMMERCIAL BANKS IN KENYA written and submitted by BENJAMIN KIPROP in partial fulfilment of the requirements for the degree </w:t>
      </w:r>
      <w:r w:rsidR="003335F3">
        <w:rPr>
          <w:rFonts w:asciiTheme="majorHAnsi" w:hAnsiTheme="majorHAnsi" w:cstheme="majorHAnsi"/>
          <w:bCs/>
          <w:sz w:val="24"/>
          <w:szCs w:val="24"/>
        </w:rPr>
        <w:t>of</w:t>
      </w:r>
      <w:r w:rsidRPr="0022305D">
        <w:rPr>
          <w:rFonts w:asciiTheme="majorHAnsi" w:hAnsiTheme="majorHAnsi" w:cstheme="majorHAnsi"/>
          <w:bCs/>
          <w:sz w:val="24"/>
          <w:szCs w:val="24"/>
        </w:rPr>
        <w:t xml:space="preserve"> </w:t>
      </w:r>
      <w:r w:rsidR="003335F3">
        <w:rPr>
          <w:rFonts w:asciiTheme="majorHAnsi" w:hAnsiTheme="majorHAnsi" w:cstheme="majorHAnsi"/>
          <w:bCs/>
          <w:sz w:val="24"/>
          <w:szCs w:val="24"/>
        </w:rPr>
        <w:t>M</w:t>
      </w:r>
      <w:r w:rsidRPr="0022305D">
        <w:rPr>
          <w:rFonts w:asciiTheme="majorHAnsi" w:hAnsiTheme="majorHAnsi" w:cstheme="majorHAnsi"/>
          <w:bCs/>
          <w:sz w:val="24"/>
          <w:szCs w:val="24"/>
        </w:rPr>
        <w:t xml:space="preserve">aster of Business </w:t>
      </w:r>
      <w:r w:rsidR="003335F3">
        <w:rPr>
          <w:rFonts w:asciiTheme="majorHAnsi" w:hAnsiTheme="majorHAnsi" w:cstheme="majorHAnsi"/>
          <w:bCs/>
          <w:sz w:val="24"/>
          <w:szCs w:val="24"/>
        </w:rPr>
        <w:t>A</w:t>
      </w:r>
      <w:r w:rsidRPr="0022305D">
        <w:rPr>
          <w:rFonts w:asciiTheme="majorHAnsi" w:hAnsiTheme="majorHAnsi" w:cstheme="majorHAnsi"/>
          <w:bCs/>
          <w:sz w:val="24"/>
          <w:szCs w:val="24"/>
        </w:rPr>
        <w:t>dministration is hereby accepted and approved.</w:t>
      </w:r>
    </w:p>
    <w:p w14:paraId="40C7C35E" w14:textId="77777777" w:rsidR="00330526" w:rsidRPr="0022305D" w:rsidRDefault="00330526" w:rsidP="00330526">
      <w:pPr>
        <w:spacing w:after="0" w:line="480" w:lineRule="auto"/>
        <w:rPr>
          <w:rFonts w:asciiTheme="majorHAnsi" w:hAnsiTheme="majorHAnsi" w:cstheme="majorHAnsi"/>
          <w:bCs/>
          <w:sz w:val="24"/>
          <w:szCs w:val="24"/>
        </w:rPr>
      </w:pPr>
    </w:p>
    <w:p w14:paraId="4A9ED706" w14:textId="606A9390" w:rsidR="00330526" w:rsidRPr="0022305D" w:rsidRDefault="00330526" w:rsidP="00330526">
      <w:pPr>
        <w:spacing w:after="0" w:line="240" w:lineRule="auto"/>
        <w:rPr>
          <w:rFonts w:asciiTheme="majorHAnsi" w:hAnsiTheme="majorHAnsi" w:cstheme="majorHAnsi"/>
          <w:bCs/>
          <w:sz w:val="24"/>
          <w:szCs w:val="24"/>
        </w:rPr>
      </w:pPr>
      <w:r w:rsidRPr="0022305D">
        <w:rPr>
          <w:rFonts w:asciiTheme="majorHAnsi" w:hAnsiTheme="majorHAnsi" w:cstheme="majorHAnsi"/>
          <w:bCs/>
          <w:sz w:val="24"/>
          <w:szCs w:val="24"/>
        </w:rPr>
        <w:t>____________________________</w:t>
      </w:r>
      <w:r w:rsidRPr="0022305D">
        <w:rPr>
          <w:rFonts w:asciiTheme="majorHAnsi" w:hAnsiTheme="majorHAnsi" w:cstheme="majorHAnsi"/>
          <w:bCs/>
          <w:sz w:val="24"/>
          <w:szCs w:val="24"/>
        </w:rPr>
        <w:tab/>
      </w:r>
      <w:r w:rsidRPr="0022305D">
        <w:rPr>
          <w:rFonts w:asciiTheme="majorHAnsi" w:hAnsiTheme="majorHAnsi" w:cstheme="majorHAnsi"/>
          <w:bCs/>
          <w:sz w:val="24"/>
          <w:szCs w:val="24"/>
        </w:rPr>
        <w:tab/>
      </w:r>
      <w:r w:rsidRPr="0022305D">
        <w:rPr>
          <w:rFonts w:asciiTheme="majorHAnsi" w:hAnsiTheme="majorHAnsi" w:cstheme="majorHAnsi"/>
          <w:bCs/>
          <w:sz w:val="24"/>
          <w:szCs w:val="24"/>
        </w:rPr>
        <w:tab/>
        <w:t>______________________________</w:t>
      </w:r>
    </w:p>
    <w:p w14:paraId="4AABCDE8" w14:textId="193D36D7" w:rsidR="00330526" w:rsidRPr="0022305D" w:rsidRDefault="00330526" w:rsidP="00DE2846">
      <w:pPr>
        <w:spacing w:after="0" w:line="240" w:lineRule="auto"/>
        <w:rPr>
          <w:rFonts w:asciiTheme="majorHAnsi" w:hAnsiTheme="majorHAnsi" w:cstheme="majorHAnsi"/>
          <w:bCs/>
          <w:sz w:val="24"/>
          <w:szCs w:val="24"/>
        </w:rPr>
      </w:pPr>
      <w:r w:rsidRPr="0022305D">
        <w:rPr>
          <w:rFonts w:asciiTheme="majorHAnsi" w:hAnsiTheme="majorHAnsi" w:cstheme="majorHAnsi"/>
          <w:bCs/>
          <w:sz w:val="24"/>
          <w:szCs w:val="24"/>
        </w:rPr>
        <w:t>D. Jackson Oyaro Ong’eta, PhD</w:t>
      </w:r>
      <w:r w:rsidR="0087334E">
        <w:rPr>
          <w:rFonts w:asciiTheme="majorHAnsi" w:hAnsiTheme="majorHAnsi" w:cstheme="majorHAnsi"/>
          <w:bCs/>
          <w:sz w:val="24"/>
          <w:szCs w:val="24"/>
        </w:rPr>
        <w:t xml:space="preserve">             </w:t>
      </w:r>
      <w:r w:rsidR="00DE2846">
        <w:rPr>
          <w:rFonts w:asciiTheme="majorHAnsi" w:hAnsiTheme="majorHAnsi" w:cstheme="majorHAnsi"/>
          <w:bCs/>
          <w:sz w:val="24"/>
          <w:szCs w:val="24"/>
        </w:rPr>
        <w:t xml:space="preserve">             </w:t>
      </w:r>
      <w:r w:rsidR="0087334E">
        <w:rPr>
          <w:rFonts w:asciiTheme="majorHAnsi" w:hAnsiTheme="majorHAnsi" w:cstheme="majorHAnsi"/>
          <w:bCs/>
          <w:sz w:val="24"/>
          <w:szCs w:val="24"/>
        </w:rPr>
        <w:t xml:space="preserve">        </w:t>
      </w:r>
      <w:r w:rsidRPr="0022305D">
        <w:rPr>
          <w:rFonts w:asciiTheme="majorHAnsi" w:hAnsiTheme="majorHAnsi" w:cstheme="majorHAnsi"/>
          <w:bCs/>
          <w:sz w:val="24"/>
          <w:szCs w:val="24"/>
        </w:rPr>
        <w:t>Dr. Moses</w:t>
      </w:r>
      <w:r w:rsidR="0087334E">
        <w:rPr>
          <w:rFonts w:asciiTheme="majorHAnsi" w:hAnsiTheme="majorHAnsi" w:cstheme="majorHAnsi"/>
          <w:bCs/>
          <w:sz w:val="24"/>
          <w:szCs w:val="24"/>
        </w:rPr>
        <w:t xml:space="preserve"> </w:t>
      </w:r>
      <w:r w:rsidRPr="0022305D">
        <w:rPr>
          <w:rFonts w:asciiTheme="majorHAnsi" w:hAnsiTheme="majorHAnsi" w:cstheme="majorHAnsi"/>
          <w:bCs/>
          <w:sz w:val="24"/>
          <w:szCs w:val="24"/>
        </w:rPr>
        <w:t>Mpiima Kibirango, PhD</w:t>
      </w:r>
    </w:p>
    <w:p w14:paraId="3C07171F" w14:textId="399E8A8D" w:rsidR="00330526" w:rsidRPr="0022305D" w:rsidRDefault="00330526" w:rsidP="00330526">
      <w:pPr>
        <w:spacing w:after="0" w:line="360" w:lineRule="auto"/>
        <w:ind w:left="720"/>
        <w:rPr>
          <w:rFonts w:asciiTheme="majorHAnsi" w:hAnsiTheme="majorHAnsi" w:cstheme="majorHAnsi"/>
          <w:bCs/>
          <w:sz w:val="24"/>
          <w:szCs w:val="24"/>
        </w:rPr>
      </w:pPr>
      <w:r w:rsidRPr="0022305D">
        <w:rPr>
          <w:rFonts w:asciiTheme="majorHAnsi" w:hAnsiTheme="majorHAnsi" w:cstheme="majorHAnsi"/>
          <w:bCs/>
          <w:sz w:val="24"/>
          <w:szCs w:val="24"/>
        </w:rPr>
        <w:t>(Supervisor)</w:t>
      </w:r>
      <w:r w:rsidRPr="0022305D">
        <w:rPr>
          <w:rFonts w:asciiTheme="majorHAnsi" w:hAnsiTheme="majorHAnsi" w:cstheme="majorHAnsi"/>
          <w:bCs/>
          <w:sz w:val="24"/>
          <w:szCs w:val="24"/>
        </w:rPr>
        <w:tab/>
      </w:r>
      <w:r w:rsidRPr="0022305D">
        <w:rPr>
          <w:rFonts w:asciiTheme="majorHAnsi" w:hAnsiTheme="majorHAnsi" w:cstheme="majorHAnsi"/>
          <w:bCs/>
          <w:sz w:val="24"/>
          <w:szCs w:val="24"/>
        </w:rPr>
        <w:tab/>
      </w:r>
      <w:r w:rsidRPr="0022305D">
        <w:rPr>
          <w:rFonts w:asciiTheme="majorHAnsi" w:hAnsiTheme="majorHAnsi" w:cstheme="majorHAnsi"/>
          <w:bCs/>
          <w:sz w:val="24"/>
          <w:szCs w:val="24"/>
        </w:rPr>
        <w:tab/>
      </w:r>
      <w:r w:rsidRPr="0022305D">
        <w:rPr>
          <w:rFonts w:asciiTheme="majorHAnsi" w:hAnsiTheme="majorHAnsi" w:cstheme="majorHAnsi"/>
          <w:bCs/>
          <w:sz w:val="24"/>
          <w:szCs w:val="24"/>
        </w:rPr>
        <w:tab/>
      </w:r>
      <w:r w:rsidRPr="0022305D">
        <w:rPr>
          <w:rFonts w:asciiTheme="majorHAnsi" w:hAnsiTheme="majorHAnsi" w:cstheme="majorHAnsi"/>
          <w:bCs/>
          <w:sz w:val="24"/>
          <w:szCs w:val="24"/>
        </w:rPr>
        <w:tab/>
      </w:r>
      <w:r w:rsidRPr="0022305D">
        <w:rPr>
          <w:rFonts w:asciiTheme="majorHAnsi" w:hAnsiTheme="majorHAnsi" w:cstheme="majorHAnsi"/>
          <w:bCs/>
          <w:sz w:val="24"/>
          <w:szCs w:val="24"/>
        </w:rPr>
        <w:tab/>
        <w:t>(Supervisor)</w:t>
      </w:r>
      <w:r w:rsidRPr="0022305D">
        <w:rPr>
          <w:rFonts w:asciiTheme="majorHAnsi" w:hAnsiTheme="majorHAnsi" w:cstheme="majorHAnsi"/>
          <w:bCs/>
          <w:sz w:val="24"/>
          <w:szCs w:val="24"/>
        </w:rPr>
        <w:tab/>
      </w:r>
    </w:p>
    <w:p w14:paraId="770ED1EE" w14:textId="12362635" w:rsidR="00330526" w:rsidRPr="0022305D" w:rsidRDefault="00330526" w:rsidP="00330526">
      <w:pPr>
        <w:spacing w:after="0" w:line="240" w:lineRule="auto"/>
        <w:rPr>
          <w:rFonts w:asciiTheme="majorHAnsi" w:hAnsiTheme="majorHAnsi" w:cstheme="majorHAnsi"/>
          <w:bCs/>
          <w:sz w:val="24"/>
          <w:szCs w:val="24"/>
        </w:rPr>
      </w:pPr>
      <w:r w:rsidRPr="0022305D">
        <w:rPr>
          <w:rFonts w:asciiTheme="majorHAnsi" w:hAnsiTheme="majorHAnsi" w:cstheme="majorHAnsi"/>
          <w:bCs/>
          <w:sz w:val="24"/>
          <w:szCs w:val="24"/>
        </w:rPr>
        <w:t>____________________</w:t>
      </w:r>
      <w:r w:rsidRPr="0022305D">
        <w:rPr>
          <w:rFonts w:asciiTheme="majorHAnsi" w:hAnsiTheme="majorHAnsi" w:cstheme="majorHAnsi"/>
          <w:bCs/>
          <w:sz w:val="24"/>
          <w:szCs w:val="24"/>
        </w:rPr>
        <w:tab/>
      </w:r>
      <w:r w:rsidRPr="0022305D">
        <w:rPr>
          <w:rFonts w:asciiTheme="majorHAnsi" w:hAnsiTheme="majorHAnsi" w:cstheme="majorHAnsi"/>
          <w:bCs/>
          <w:sz w:val="24"/>
          <w:szCs w:val="24"/>
        </w:rPr>
        <w:tab/>
      </w:r>
      <w:r w:rsidRPr="0022305D">
        <w:rPr>
          <w:rFonts w:asciiTheme="majorHAnsi" w:hAnsiTheme="majorHAnsi" w:cstheme="majorHAnsi"/>
          <w:bCs/>
          <w:sz w:val="24"/>
          <w:szCs w:val="24"/>
        </w:rPr>
        <w:tab/>
      </w:r>
      <w:r w:rsidRPr="0022305D">
        <w:rPr>
          <w:rFonts w:asciiTheme="majorHAnsi" w:hAnsiTheme="majorHAnsi" w:cstheme="majorHAnsi"/>
          <w:bCs/>
          <w:sz w:val="24"/>
          <w:szCs w:val="24"/>
        </w:rPr>
        <w:tab/>
      </w:r>
      <w:r w:rsidRPr="0022305D">
        <w:rPr>
          <w:rFonts w:asciiTheme="majorHAnsi" w:hAnsiTheme="majorHAnsi" w:cstheme="majorHAnsi"/>
          <w:bCs/>
          <w:sz w:val="24"/>
          <w:szCs w:val="24"/>
        </w:rPr>
        <w:tab/>
        <w:t>_____________________</w:t>
      </w:r>
    </w:p>
    <w:p w14:paraId="0E989738" w14:textId="426470B5" w:rsidR="00330526" w:rsidRDefault="00330526" w:rsidP="00330526">
      <w:pPr>
        <w:spacing w:after="0" w:line="480" w:lineRule="auto"/>
        <w:ind w:firstLine="720"/>
        <w:rPr>
          <w:rFonts w:asciiTheme="majorHAnsi" w:hAnsiTheme="majorHAnsi" w:cstheme="majorHAnsi"/>
          <w:bCs/>
          <w:sz w:val="24"/>
          <w:szCs w:val="24"/>
        </w:rPr>
      </w:pPr>
      <w:r w:rsidRPr="0022305D">
        <w:rPr>
          <w:rFonts w:asciiTheme="majorHAnsi" w:hAnsiTheme="majorHAnsi" w:cstheme="majorHAnsi"/>
          <w:bCs/>
          <w:sz w:val="24"/>
          <w:szCs w:val="24"/>
        </w:rPr>
        <w:t>Date</w:t>
      </w:r>
      <w:r w:rsidRPr="0022305D">
        <w:rPr>
          <w:rFonts w:asciiTheme="majorHAnsi" w:hAnsiTheme="majorHAnsi" w:cstheme="majorHAnsi"/>
          <w:bCs/>
          <w:sz w:val="24"/>
          <w:szCs w:val="24"/>
        </w:rPr>
        <w:tab/>
      </w:r>
      <w:r w:rsidRPr="0022305D">
        <w:rPr>
          <w:rFonts w:asciiTheme="majorHAnsi" w:hAnsiTheme="majorHAnsi" w:cstheme="majorHAnsi"/>
          <w:bCs/>
          <w:sz w:val="24"/>
          <w:szCs w:val="24"/>
        </w:rPr>
        <w:tab/>
      </w:r>
      <w:r w:rsidRPr="0022305D">
        <w:rPr>
          <w:rFonts w:asciiTheme="majorHAnsi" w:hAnsiTheme="majorHAnsi" w:cstheme="majorHAnsi"/>
          <w:bCs/>
          <w:sz w:val="24"/>
          <w:szCs w:val="24"/>
        </w:rPr>
        <w:tab/>
      </w:r>
      <w:r w:rsidRPr="0022305D">
        <w:rPr>
          <w:rFonts w:asciiTheme="majorHAnsi" w:hAnsiTheme="majorHAnsi" w:cstheme="majorHAnsi"/>
          <w:bCs/>
          <w:sz w:val="24"/>
          <w:szCs w:val="24"/>
        </w:rPr>
        <w:tab/>
      </w:r>
      <w:r w:rsidRPr="0022305D">
        <w:rPr>
          <w:rFonts w:asciiTheme="majorHAnsi" w:hAnsiTheme="majorHAnsi" w:cstheme="majorHAnsi"/>
          <w:bCs/>
          <w:sz w:val="24"/>
          <w:szCs w:val="24"/>
        </w:rPr>
        <w:tab/>
      </w:r>
      <w:r w:rsidRPr="0022305D">
        <w:rPr>
          <w:rFonts w:asciiTheme="majorHAnsi" w:hAnsiTheme="majorHAnsi" w:cstheme="majorHAnsi"/>
          <w:bCs/>
          <w:sz w:val="24"/>
          <w:szCs w:val="24"/>
        </w:rPr>
        <w:tab/>
      </w:r>
      <w:r w:rsidRPr="0022305D">
        <w:rPr>
          <w:rFonts w:asciiTheme="majorHAnsi" w:hAnsiTheme="majorHAnsi" w:cstheme="majorHAnsi"/>
          <w:bCs/>
          <w:sz w:val="24"/>
          <w:szCs w:val="24"/>
        </w:rPr>
        <w:tab/>
      </w:r>
      <w:r w:rsidRPr="0022305D">
        <w:rPr>
          <w:rFonts w:asciiTheme="majorHAnsi" w:hAnsiTheme="majorHAnsi" w:cstheme="majorHAnsi"/>
          <w:bCs/>
          <w:sz w:val="24"/>
          <w:szCs w:val="24"/>
        </w:rPr>
        <w:tab/>
      </w:r>
      <w:r w:rsidRPr="0022305D">
        <w:rPr>
          <w:rFonts w:asciiTheme="majorHAnsi" w:hAnsiTheme="majorHAnsi" w:cstheme="majorHAnsi"/>
          <w:bCs/>
          <w:sz w:val="24"/>
          <w:szCs w:val="24"/>
        </w:rPr>
        <w:tab/>
        <w:t>Date</w:t>
      </w:r>
    </w:p>
    <w:p w14:paraId="2244A519" w14:textId="3E7E85A7" w:rsidR="0087334E" w:rsidRDefault="0087334E" w:rsidP="00330526">
      <w:pPr>
        <w:spacing w:after="0" w:line="480" w:lineRule="auto"/>
        <w:ind w:firstLine="720"/>
        <w:rPr>
          <w:rFonts w:asciiTheme="majorHAnsi" w:hAnsiTheme="majorHAnsi" w:cstheme="majorHAnsi"/>
          <w:bCs/>
          <w:sz w:val="24"/>
          <w:szCs w:val="24"/>
        </w:rPr>
      </w:pPr>
    </w:p>
    <w:p w14:paraId="6BEC71A6" w14:textId="77777777" w:rsidR="0087334E" w:rsidRPr="0022305D" w:rsidRDefault="0087334E" w:rsidP="00330526">
      <w:pPr>
        <w:spacing w:after="0" w:line="480" w:lineRule="auto"/>
        <w:ind w:firstLine="720"/>
        <w:rPr>
          <w:rFonts w:asciiTheme="majorHAnsi" w:hAnsiTheme="majorHAnsi" w:cstheme="majorHAnsi"/>
          <w:bCs/>
          <w:sz w:val="24"/>
          <w:szCs w:val="24"/>
        </w:rPr>
      </w:pPr>
    </w:p>
    <w:p w14:paraId="0EEDE749" w14:textId="77777777" w:rsidR="00330526" w:rsidRPr="0022305D" w:rsidRDefault="00330526" w:rsidP="00330526">
      <w:pPr>
        <w:spacing w:after="0" w:line="480" w:lineRule="auto"/>
        <w:rPr>
          <w:rFonts w:asciiTheme="majorHAnsi" w:hAnsiTheme="majorHAnsi" w:cstheme="majorHAnsi"/>
          <w:bCs/>
          <w:sz w:val="24"/>
          <w:szCs w:val="24"/>
        </w:rPr>
      </w:pPr>
      <w:r w:rsidRPr="0022305D">
        <w:rPr>
          <w:rFonts w:asciiTheme="majorHAnsi" w:hAnsiTheme="majorHAnsi" w:cstheme="majorHAnsi"/>
          <w:bCs/>
          <w:sz w:val="24"/>
          <w:szCs w:val="24"/>
        </w:rPr>
        <w:t>Accepted in partial fulfilment of the requirements for the degree of Master of Business Administration.</w:t>
      </w:r>
    </w:p>
    <w:p w14:paraId="57CE87E0" w14:textId="77777777" w:rsidR="00330526" w:rsidRPr="0022305D" w:rsidRDefault="00330526" w:rsidP="00330526">
      <w:pPr>
        <w:spacing w:after="0" w:line="480" w:lineRule="auto"/>
        <w:ind w:firstLine="720"/>
        <w:rPr>
          <w:rFonts w:asciiTheme="majorHAnsi" w:hAnsiTheme="majorHAnsi" w:cstheme="majorHAnsi"/>
          <w:bCs/>
          <w:sz w:val="24"/>
          <w:szCs w:val="24"/>
        </w:rPr>
      </w:pPr>
    </w:p>
    <w:p w14:paraId="293F8A99" w14:textId="77777777" w:rsidR="00330526" w:rsidRPr="0022305D" w:rsidRDefault="00330526" w:rsidP="006603A6">
      <w:pPr>
        <w:spacing w:after="0" w:line="240" w:lineRule="auto"/>
        <w:ind w:left="720" w:firstLine="720"/>
        <w:rPr>
          <w:rFonts w:asciiTheme="majorHAnsi" w:hAnsiTheme="majorHAnsi" w:cstheme="majorHAnsi"/>
          <w:bCs/>
          <w:sz w:val="24"/>
          <w:szCs w:val="24"/>
        </w:rPr>
      </w:pPr>
      <w:r w:rsidRPr="0022305D">
        <w:rPr>
          <w:rFonts w:asciiTheme="majorHAnsi" w:hAnsiTheme="majorHAnsi" w:cstheme="majorHAnsi"/>
          <w:bCs/>
          <w:sz w:val="24"/>
          <w:szCs w:val="24"/>
        </w:rPr>
        <w:t>____________________________________________</w:t>
      </w:r>
    </w:p>
    <w:p w14:paraId="03C87B52" w14:textId="0AB182A7" w:rsidR="00330526" w:rsidRDefault="00B44883" w:rsidP="00177853">
      <w:pPr>
        <w:spacing w:after="0" w:line="240" w:lineRule="auto"/>
        <w:ind w:left="1440" w:firstLine="720"/>
        <w:rPr>
          <w:rFonts w:asciiTheme="majorHAnsi" w:hAnsiTheme="majorHAnsi" w:cstheme="majorHAnsi"/>
          <w:bCs/>
          <w:sz w:val="24"/>
          <w:szCs w:val="24"/>
        </w:rPr>
      </w:pPr>
      <w:r>
        <w:rPr>
          <w:rFonts w:asciiTheme="majorHAnsi" w:hAnsiTheme="majorHAnsi" w:cstheme="majorHAnsi"/>
          <w:bCs/>
          <w:sz w:val="24"/>
          <w:szCs w:val="24"/>
        </w:rPr>
        <w:t xml:space="preserve">Dr. Jackson Oyaro </w:t>
      </w:r>
      <w:r w:rsidR="00D22138">
        <w:rPr>
          <w:rFonts w:asciiTheme="majorHAnsi" w:hAnsiTheme="majorHAnsi" w:cstheme="majorHAnsi"/>
          <w:bCs/>
          <w:sz w:val="24"/>
          <w:szCs w:val="24"/>
        </w:rPr>
        <w:t xml:space="preserve"> Ong'eta, PhD</w:t>
      </w:r>
    </w:p>
    <w:p w14:paraId="5F05B657" w14:textId="2FDF56AA" w:rsidR="00D22138" w:rsidRPr="0022305D" w:rsidRDefault="00177853" w:rsidP="00177853">
      <w:pPr>
        <w:spacing w:after="0" w:line="240" w:lineRule="auto"/>
        <w:ind w:left="1440" w:firstLine="720"/>
        <w:rPr>
          <w:rFonts w:asciiTheme="majorHAnsi" w:hAnsiTheme="majorHAnsi" w:cstheme="majorHAnsi"/>
          <w:bCs/>
          <w:sz w:val="24"/>
          <w:szCs w:val="24"/>
        </w:rPr>
      </w:pPr>
      <w:r>
        <w:rPr>
          <w:rFonts w:asciiTheme="majorHAnsi" w:hAnsiTheme="majorHAnsi" w:cstheme="majorHAnsi"/>
          <w:bCs/>
          <w:sz w:val="24"/>
          <w:szCs w:val="24"/>
        </w:rPr>
        <w:t xml:space="preserve">             </w:t>
      </w:r>
      <w:bookmarkStart w:id="1" w:name="_GoBack"/>
      <w:bookmarkEnd w:id="1"/>
      <w:r>
        <w:rPr>
          <w:rFonts w:asciiTheme="majorHAnsi" w:hAnsiTheme="majorHAnsi" w:cstheme="majorHAnsi"/>
          <w:bCs/>
          <w:sz w:val="24"/>
          <w:szCs w:val="24"/>
        </w:rPr>
        <w:t xml:space="preserve"> </w:t>
      </w:r>
      <w:r w:rsidR="00D22138">
        <w:rPr>
          <w:rFonts w:asciiTheme="majorHAnsi" w:hAnsiTheme="majorHAnsi" w:cstheme="majorHAnsi"/>
          <w:bCs/>
          <w:sz w:val="24"/>
          <w:szCs w:val="24"/>
        </w:rPr>
        <w:t>School dean</w:t>
      </w:r>
    </w:p>
    <w:p w14:paraId="3D2FB9D4" w14:textId="3193A914" w:rsidR="00330526" w:rsidRPr="0022305D" w:rsidRDefault="00177853" w:rsidP="006603A6">
      <w:pPr>
        <w:spacing w:after="0" w:line="240" w:lineRule="auto"/>
        <w:ind w:left="1440" w:firstLine="720"/>
        <w:rPr>
          <w:rFonts w:asciiTheme="majorHAnsi" w:hAnsiTheme="majorHAnsi" w:cstheme="majorHAnsi"/>
          <w:bCs/>
          <w:sz w:val="24"/>
          <w:szCs w:val="24"/>
        </w:rPr>
      </w:pPr>
      <w:r>
        <w:rPr>
          <w:rFonts w:asciiTheme="majorHAnsi" w:hAnsiTheme="majorHAnsi" w:cstheme="majorHAnsi"/>
          <w:bCs/>
          <w:sz w:val="24"/>
          <w:szCs w:val="24"/>
        </w:rPr>
        <w:t xml:space="preserve">        </w:t>
      </w:r>
      <w:r w:rsidR="00330526" w:rsidRPr="0022305D">
        <w:rPr>
          <w:rFonts w:asciiTheme="majorHAnsi" w:hAnsiTheme="majorHAnsi" w:cstheme="majorHAnsi"/>
          <w:bCs/>
          <w:sz w:val="24"/>
          <w:szCs w:val="24"/>
        </w:rPr>
        <w:t>________________</w:t>
      </w:r>
    </w:p>
    <w:p w14:paraId="6AF8C6F7" w14:textId="6A5CD261" w:rsidR="00330526" w:rsidRPr="0022305D" w:rsidRDefault="00177853" w:rsidP="006603A6">
      <w:pPr>
        <w:spacing w:after="0" w:line="480" w:lineRule="auto"/>
        <w:ind w:left="2160" w:firstLine="720"/>
        <w:rPr>
          <w:rFonts w:asciiTheme="majorHAnsi" w:hAnsiTheme="majorHAnsi" w:cstheme="majorHAnsi"/>
          <w:bCs/>
          <w:sz w:val="24"/>
          <w:szCs w:val="24"/>
        </w:rPr>
      </w:pPr>
      <w:r>
        <w:rPr>
          <w:rFonts w:asciiTheme="majorHAnsi" w:hAnsiTheme="majorHAnsi" w:cstheme="majorHAnsi"/>
          <w:bCs/>
          <w:sz w:val="24"/>
          <w:szCs w:val="24"/>
        </w:rPr>
        <w:t xml:space="preserve">     </w:t>
      </w:r>
      <w:r w:rsidR="00330526" w:rsidRPr="0022305D">
        <w:rPr>
          <w:rFonts w:asciiTheme="majorHAnsi" w:hAnsiTheme="majorHAnsi" w:cstheme="majorHAnsi"/>
          <w:bCs/>
          <w:sz w:val="24"/>
          <w:szCs w:val="24"/>
        </w:rPr>
        <w:t>Date</w:t>
      </w:r>
    </w:p>
    <w:p w14:paraId="64F5E079" w14:textId="77777777" w:rsidR="00330526" w:rsidRPr="0022305D" w:rsidRDefault="00330526" w:rsidP="00330526">
      <w:pPr>
        <w:spacing w:after="0" w:line="480" w:lineRule="auto"/>
        <w:ind w:left="5040"/>
        <w:rPr>
          <w:rFonts w:asciiTheme="majorHAnsi" w:hAnsiTheme="majorHAnsi" w:cstheme="majorHAnsi"/>
          <w:bCs/>
          <w:sz w:val="24"/>
          <w:szCs w:val="24"/>
        </w:rPr>
      </w:pPr>
    </w:p>
    <w:p w14:paraId="47B16DC7" w14:textId="77777777" w:rsidR="00330526" w:rsidRPr="0022305D" w:rsidRDefault="00330526" w:rsidP="00330526">
      <w:pPr>
        <w:spacing w:after="0" w:line="480" w:lineRule="auto"/>
        <w:ind w:left="5040"/>
        <w:rPr>
          <w:rFonts w:asciiTheme="majorHAnsi" w:hAnsiTheme="majorHAnsi" w:cstheme="majorHAnsi"/>
          <w:bCs/>
          <w:sz w:val="24"/>
          <w:szCs w:val="24"/>
        </w:rPr>
      </w:pPr>
    </w:p>
    <w:p w14:paraId="7CCD53BD" w14:textId="77777777" w:rsidR="00330526" w:rsidRPr="0022305D" w:rsidRDefault="00330526" w:rsidP="006603A6">
      <w:pPr>
        <w:spacing w:after="0" w:line="240" w:lineRule="auto"/>
        <w:ind w:left="720" w:firstLine="720"/>
        <w:rPr>
          <w:rFonts w:asciiTheme="majorHAnsi" w:hAnsiTheme="majorHAnsi" w:cstheme="majorHAnsi"/>
          <w:bCs/>
          <w:sz w:val="24"/>
          <w:szCs w:val="24"/>
        </w:rPr>
      </w:pPr>
      <w:r w:rsidRPr="0022305D">
        <w:rPr>
          <w:rFonts w:asciiTheme="majorHAnsi" w:hAnsiTheme="majorHAnsi" w:cstheme="majorHAnsi"/>
          <w:bCs/>
          <w:sz w:val="24"/>
          <w:szCs w:val="24"/>
        </w:rPr>
        <w:t>_____________________________________________</w:t>
      </w:r>
    </w:p>
    <w:p w14:paraId="6C1281CD" w14:textId="77777777" w:rsidR="00330526" w:rsidRPr="0022305D" w:rsidRDefault="00330526" w:rsidP="006603A6">
      <w:pPr>
        <w:spacing w:after="0" w:line="240" w:lineRule="auto"/>
        <w:ind w:left="1440" w:firstLine="720"/>
        <w:rPr>
          <w:rFonts w:asciiTheme="majorHAnsi" w:hAnsiTheme="majorHAnsi" w:cstheme="majorHAnsi"/>
          <w:bCs/>
          <w:sz w:val="24"/>
          <w:szCs w:val="24"/>
        </w:rPr>
      </w:pPr>
      <w:r w:rsidRPr="0022305D">
        <w:rPr>
          <w:rFonts w:asciiTheme="majorHAnsi" w:hAnsiTheme="majorHAnsi" w:cstheme="majorHAnsi"/>
          <w:bCs/>
          <w:sz w:val="24"/>
          <w:szCs w:val="24"/>
        </w:rPr>
        <w:t>Dr. Moses Mpiima Kibirango, PhD</w:t>
      </w:r>
    </w:p>
    <w:p w14:paraId="1D0A9753" w14:textId="77777777" w:rsidR="00330526" w:rsidRPr="0022305D" w:rsidRDefault="00330526" w:rsidP="006603A6">
      <w:pPr>
        <w:spacing w:after="0" w:line="480" w:lineRule="auto"/>
        <w:ind w:left="1440" w:firstLine="720"/>
        <w:rPr>
          <w:rFonts w:asciiTheme="majorHAnsi" w:hAnsiTheme="majorHAnsi" w:cstheme="majorHAnsi"/>
          <w:bCs/>
          <w:sz w:val="24"/>
          <w:szCs w:val="24"/>
        </w:rPr>
      </w:pPr>
      <w:r w:rsidRPr="0022305D">
        <w:rPr>
          <w:rFonts w:asciiTheme="majorHAnsi" w:hAnsiTheme="majorHAnsi" w:cstheme="majorHAnsi"/>
          <w:bCs/>
          <w:sz w:val="24"/>
          <w:szCs w:val="24"/>
        </w:rPr>
        <w:t>Director of Graduate Studies and Research</w:t>
      </w:r>
    </w:p>
    <w:p w14:paraId="3A5C1CC0" w14:textId="77777777" w:rsidR="00330526" w:rsidRPr="0022305D" w:rsidRDefault="00330526" w:rsidP="006603A6">
      <w:pPr>
        <w:spacing w:after="0" w:line="240" w:lineRule="auto"/>
        <w:ind w:left="2160" w:firstLine="720"/>
        <w:rPr>
          <w:rFonts w:asciiTheme="majorHAnsi" w:hAnsiTheme="majorHAnsi" w:cstheme="majorHAnsi"/>
          <w:bCs/>
          <w:sz w:val="24"/>
          <w:szCs w:val="24"/>
        </w:rPr>
      </w:pPr>
      <w:r w:rsidRPr="0022305D">
        <w:rPr>
          <w:rFonts w:asciiTheme="majorHAnsi" w:hAnsiTheme="majorHAnsi" w:cstheme="majorHAnsi"/>
          <w:bCs/>
          <w:sz w:val="24"/>
          <w:szCs w:val="24"/>
        </w:rPr>
        <w:t>_______________</w:t>
      </w:r>
    </w:p>
    <w:p w14:paraId="7EF3CB88" w14:textId="6987D2B7" w:rsidR="00F66BAF" w:rsidRPr="0022305D" w:rsidRDefault="00330526" w:rsidP="006603A6">
      <w:pPr>
        <w:spacing w:after="0" w:line="480" w:lineRule="auto"/>
        <w:ind w:left="2880" w:firstLine="720"/>
        <w:rPr>
          <w:rFonts w:asciiTheme="majorHAnsi" w:hAnsiTheme="majorHAnsi" w:cstheme="majorHAnsi"/>
          <w:bCs/>
          <w:sz w:val="24"/>
          <w:szCs w:val="24"/>
        </w:rPr>
      </w:pPr>
      <w:r w:rsidRPr="0022305D">
        <w:rPr>
          <w:rFonts w:asciiTheme="majorHAnsi" w:hAnsiTheme="majorHAnsi" w:cstheme="majorHAnsi"/>
          <w:bCs/>
          <w:sz w:val="24"/>
          <w:szCs w:val="24"/>
        </w:rPr>
        <w:t>Date</w:t>
      </w:r>
    </w:p>
    <w:p w14:paraId="0261BAC7" w14:textId="659E24B9" w:rsidR="00F66BAF" w:rsidRPr="00012E7A" w:rsidRDefault="00F66BAF" w:rsidP="00304421">
      <w:pPr>
        <w:pStyle w:val="Heading1"/>
        <w:spacing w:line="480" w:lineRule="auto"/>
        <w:rPr>
          <w:rFonts w:asciiTheme="majorHAnsi" w:hAnsiTheme="majorHAnsi" w:cstheme="majorHAnsi"/>
          <w:sz w:val="32"/>
          <w:szCs w:val="32"/>
          <w:u w:val="none"/>
        </w:rPr>
      </w:pPr>
      <w:bookmarkStart w:id="2" w:name="_Toc78205761"/>
      <w:r w:rsidRPr="00012E7A">
        <w:rPr>
          <w:rFonts w:asciiTheme="majorHAnsi" w:hAnsiTheme="majorHAnsi" w:cstheme="majorHAnsi"/>
          <w:sz w:val="32"/>
          <w:szCs w:val="32"/>
          <w:u w:val="none"/>
        </w:rPr>
        <w:lastRenderedPageBreak/>
        <w:t>DECLARATION BY THE CANDIDATE</w:t>
      </w:r>
      <w:bookmarkEnd w:id="2"/>
    </w:p>
    <w:p w14:paraId="7A47258D" w14:textId="1A44F5EE" w:rsidR="00F66BAF" w:rsidRPr="0022305D" w:rsidRDefault="00F66BAF" w:rsidP="000B6A12">
      <w:pPr>
        <w:spacing w:after="0" w:line="480" w:lineRule="auto"/>
        <w:rPr>
          <w:rFonts w:asciiTheme="majorHAnsi" w:hAnsiTheme="majorHAnsi" w:cstheme="majorHAnsi"/>
          <w:sz w:val="24"/>
          <w:szCs w:val="24"/>
        </w:rPr>
      </w:pPr>
      <w:r w:rsidRPr="0022305D">
        <w:rPr>
          <w:rFonts w:asciiTheme="majorHAnsi" w:hAnsiTheme="majorHAnsi" w:cstheme="majorHAnsi"/>
          <w:sz w:val="24"/>
          <w:szCs w:val="24"/>
        </w:rPr>
        <w:t xml:space="preserve"> This thesis is my original work and to the best of my knowledge this work has not been published and/or </w:t>
      </w:r>
      <w:r w:rsidR="00F538CD" w:rsidRPr="0022305D">
        <w:rPr>
          <w:rFonts w:asciiTheme="majorHAnsi" w:hAnsiTheme="majorHAnsi" w:cstheme="majorHAnsi"/>
          <w:sz w:val="24"/>
          <w:szCs w:val="24"/>
        </w:rPr>
        <w:t>presented to</w:t>
      </w:r>
      <w:r w:rsidRPr="0022305D">
        <w:rPr>
          <w:rFonts w:asciiTheme="majorHAnsi" w:hAnsiTheme="majorHAnsi" w:cstheme="majorHAnsi"/>
          <w:sz w:val="24"/>
          <w:szCs w:val="24"/>
        </w:rPr>
        <w:t xml:space="preserve"> any University for an award of a degree.</w:t>
      </w:r>
    </w:p>
    <w:p w14:paraId="16789A73" w14:textId="77777777" w:rsidR="00F66BAF" w:rsidRPr="0022305D" w:rsidRDefault="00F66BAF" w:rsidP="00F66BAF">
      <w:pPr>
        <w:spacing w:after="0" w:line="240" w:lineRule="auto"/>
        <w:rPr>
          <w:rFonts w:asciiTheme="majorHAnsi" w:hAnsiTheme="majorHAnsi" w:cstheme="majorHAnsi"/>
          <w:sz w:val="24"/>
          <w:szCs w:val="24"/>
        </w:rPr>
      </w:pPr>
      <w:r w:rsidRPr="0022305D">
        <w:rPr>
          <w:rFonts w:asciiTheme="majorHAnsi" w:hAnsiTheme="majorHAnsi" w:cstheme="majorHAnsi"/>
          <w:sz w:val="24"/>
          <w:szCs w:val="24"/>
        </w:rPr>
        <w:t xml:space="preserve"> ______________________________________</w:t>
      </w:r>
      <w:r w:rsidRPr="0022305D">
        <w:rPr>
          <w:rFonts w:asciiTheme="majorHAnsi" w:hAnsiTheme="majorHAnsi" w:cstheme="majorHAnsi"/>
          <w:sz w:val="24"/>
          <w:szCs w:val="24"/>
        </w:rPr>
        <w:tab/>
      </w:r>
      <w:r w:rsidRPr="0022305D">
        <w:rPr>
          <w:rFonts w:asciiTheme="majorHAnsi" w:hAnsiTheme="majorHAnsi" w:cstheme="majorHAnsi"/>
          <w:sz w:val="24"/>
          <w:szCs w:val="24"/>
        </w:rPr>
        <w:tab/>
        <w:t xml:space="preserve">______________________ </w:t>
      </w:r>
    </w:p>
    <w:p w14:paraId="330D52F8" w14:textId="11D32507" w:rsidR="000B6A12" w:rsidRPr="0022305D" w:rsidRDefault="000B6A12" w:rsidP="000B6A12">
      <w:pPr>
        <w:spacing w:after="0" w:line="240" w:lineRule="auto"/>
        <w:ind w:firstLine="720"/>
        <w:rPr>
          <w:rFonts w:asciiTheme="majorHAnsi" w:hAnsiTheme="majorHAnsi" w:cstheme="majorHAnsi"/>
          <w:sz w:val="24"/>
          <w:szCs w:val="24"/>
        </w:rPr>
      </w:pPr>
      <w:r w:rsidRPr="0022305D">
        <w:rPr>
          <w:rFonts w:asciiTheme="majorHAnsi" w:hAnsiTheme="majorHAnsi" w:cstheme="majorHAnsi"/>
          <w:sz w:val="24"/>
          <w:szCs w:val="24"/>
        </w:rPr>
        <w:t>Benjamin Kiprop</w:t>
      </w:r>
    </w:p>
    <w:p w14:paraId="2BC9DA83" w14:textId="730F5A77" w:rsidR="00F66BAF" w:rsidRPr="0022305D" w:rsidRDefault="00F66BAF" w:rsidP="00F66BAF">
      <w:pPr>
        <w:spacing w:after="0" w:line="480" w:lineRule="auto"/>
        <w:ind w:firstLine="720"/>
        <w:rPr>
          <w:rFonts w:asciiTheme="majorHAnsi" w:hAnsiTheme="majorHAnsi" w:cstheme="majorHAnsi"/>
          <w:sz w:val="24"/>
          <w:szCs w:val="24"/>
        </w:rPr>
      </w:pPr>
      <w:r w:rsidRPr="0022305D">
        <w:rPr>
          <w:rFonts w:asciiTheme="majorHAnsi" w:hAnsiTheme="majorHAnsi" w:cstheme="majorHAnsi"/>
          <w:sz w:val="24"/>
          <w:szCs w:val="24"/>
        </w:rPr>
        <w:t xml:space="preserve">(Student) </w:t>
      </w:r>
      <w:r w:rsidRPr="0022305D">
        <w:rPr>
          <w:rFonts w:asciiTheme="majorHAnsi" w:hAnsiTheme="majorHAnsi" w:cstheme="majorHAnsi"/>
          <w:sz w:val="24"/>
          <w:szCs w:val="24"/>
        </w:rPr>
        <w:tab/>
      </w:r>
      <w:r w:rsidRPr="0022305D">
        <w:rPr>
          <w:rFonts w:asciiTheme="majorHAnsi" w:hAnsiTheme="majorHAnsi" w:cstheme="majorHAnsi"/>
          <w:sz w:val="24"/>
          <w:szCs w:val="24"/>
        </w:rPr>
        <w:tab/>
      </w:r>
      <w:r w:rsidRPr="0022305D">
        <w:rPr>
          <w:rFonts w:asciiTheme="majorHAnsi" w:hAnsiTheme="majorHAnsi" w:cstheme="majorHAnsi"/>
          <w:sz w:val="24"/>
          <w:szCs w:val="24"/>
        </w:rPr>
        <w:tab/>
      </w:r>
      <w:r w:rsidRPr="0022305D">
        <w:rPr>
          <w:rFonts w:asciiTheme="majorHAnsi" w:hAnsiTheme="majorHAnsi" w:cstheme="majorHAnsi"/>
          <w:sz w:val="24"/>
          <w:szCs w:val="24"/>
        </w:rPr>
        <w:tab/>
      </w:r>
      <w:r w:rsidRPr="0022305D">
        <w:rPr>
          <w:rFonts w:asciiTheme="majorHAnsi" w:hAnsiTheme="majorHAnsi" w:cstheme="majorHAnsi"/>
          <w:sz w:val="24"/>
          <w:szCs w:val="24"/>
        </w:rPr>
        <w:tab/>
      </w:r>
      <w:r w:rsidRPr="0022305D">
        <w:rPr>
          <w:rFonts w:asciiTheme="majorHAnsi" w:hAnsiTheme="majorHAnsi" w:cstheme="majorHAnsi"/>
          <w:sz w:val="24"/>
          <w:szCs w:val="24"/>
        </w:rPr>
        <w:tab/>
        <w:t>(Date)</w:t>
      </w:r>
    </w:p>
    <w:p w14:paraId="79D097EC" w14:textId="77777777" w:rsidR="00F66BAF" w:rsidRPr="0022305D" w:rsidRDefault="00F66BAF" w:rsidP="00F66BAF">
      <w:pPr>
        <w:spacing w:after="0" w:line="480" w:lineRule="auto"/>
        <w:jc w:val="center"/>
        <w:rPr>
          <w:rFonts w:asciiTheme="majorHAnsi" w:hAnsiTheme="majorHAnsi" w:cstheme="majorHAnsi"/>
          <w:sz w:val="24"/>
          <w:szCs w:val="24"/>
        </w:rPr>
      </w:pPr>
    </w:p>
    <w:p w14:paraId="52612BC0" w14:textId="77777777" w:rsidR="00F66BAF" w:rsidRPr="0022305D" w:rsidRDefault="00F66BAF" w:rsidP="00F66BAF">
      <w:pPr>
        <w:spacing w:after="0" w:line="480" w:lineRule="auto"/>
        <w:jc w:val="center"/>
        <w:rPr>
          <w:rFonts w:asciiTheme="majorHAnsi" w:hAnsiTheme="majorHAnsi" w:cstheme="majorHAnsi"/>
          <w:sz w:val="24"/>
          <w:szCs w:val="24"/>
        </w:rPr>
      </w:pPr>
    </w:p>
    <w:p w14:paraId="74D837B1" w14:textId="77777777" w:rsidR="00F66BAF" w:rsidRPr="0022305D" w:rsidRDefault="00F66BAF" w:rsidP="00F66BAF">
      <w:pPr>
        <w:spacing w:after="0" w:line="480" w:lineRule="auto"/>
        <w:jc w:val="center"/>
        <w:rPr>
          <w:rFonts w:asciiTheme="majorHAnsi" w:hAnsiTheme="majorHAnsi" w:cstheme="majorHAnsi"/>
          <w:sz w:val="24"/>
          <w:szCs w:val="24"/>
        </w:rPr>
      </w:pPr>
    </w:p>
    <w:p w14:paraId="25DD846D" w14:textId="00C3C1C0" w:rsidR="00F66BAF" w:rsidRDefault="00F66BAF" w:rsidP="00F66BAF">
      <w:pPr>
        <w:spacing w:after="0" w:line="480" w:lineRule="auto"/>
        <w:jc w:val="center"/>
        <w:rPr>
          <w:rFonts w:asciiTheme="majorHAnsi" w:hAnsiTheme="majorHAnsi" w:cstheme="majorHAnsi"/>
          <w:sz w:val="24"/>
          <w:szCs w:val="24"/>
        </w:rPr>
      </w:pPr>
    </w:p>
    <w:p w14:paraId="70EC872A" w14:textId="3D0A3ABD" w:rsidR="008F2614" w:rsidRDefault="008F2614" w:rsidP="00F66BAF">
      <w:pPr>
        <w:spacing w:after="0" w:line="480" w:lineRule="auto"/>
        <w:jc w:val="center"/>
        <w:rPr>
          <w:rFonts w:asciiTheme="majorHAnsi" w:hAnsiTheme="majorHAnsi" w:cstheme="majorHAnsi"/>
          <w:sz w:val="24"/>
          <w:szCs w:val="24"/>
        </w:rPr>
      </w:pPr>
    </w:p>
    <w:p w14:paraId="4C7C3A01" w14:textId="54CA0DEE" w:rsidR="008F2614" w:rsidRDefault="008F2614" w:rsidP="00F66BAF">
      <w:pPr>
        <w:spacing w:after="0" w:line="480" w:lineRule="auto"/>
        <w:jc w:val="center"/>
        <w:rPr>
          <w:rFonts w:asciiTheme="majorHAnsi" w:hAnsiTheme="majorHAnsi" w:cstheme="majorHAnsi"/>
          <w:sz w:val="24"/>
          <w:szCs w:val="24"/>
        </w:rPr>
      </w:pPr>
    </w:p>
    <w:p w14:paraId="66854DEF" w14:textId="230BA7F0" w:rsidR="008F2614" w:rsidRDefault="008F2614" w:rsidP="00F66BAF">
      <w:pPr>
        <w:spacing w:after="0" w:line="480" w:lineRule="auto"/>
        <w:jc w:val="center"/>
        <w:rPr>
          <w:rFonts w:asciiTheme="majorHAnsi" w:hAnsiTheme="majorHAnsi" w:cstheme="majorHAnsi"/>
          <w:sz w:val="24"/>
          <w:szCs w:val="24"/>
        </w:rPr>
      </w:pPr>
    </w:p>
    <w:p w14:paraId="11365B10" w14:textId="6D50231E" w:rsidR="008F2614" w:rsidRDefault="008F2614" w:rsidP="00F66BAF">
      <w:pPr>
        <w:spacing w:after="0" w:line="480" w:lineRule="auto"/>
        <w:jc w:val="center"/>
        <w:rPr>
          <w:rFonts w:asciiTheme="majorHAnsi" w:hAnsiTheme="majorHAnsi" w:cstheme="majorHAnsi"/>
          <w:sz w:val="24"/>
          <w:szCs w:val="24"/>
        </w:rPr>
      </w:pPr>
    </w:p>
    <w:p w14:paraId="3660197B" w14:textId="1FBE4699" w:rsidR="008F2614" w:rsidRDefault="008F2614" w:rsidP="00F66BAF">
      <w:pPr>
        <w:spacing w:after="0" w:line="480" w:lineRule="auto"/>
        <w:jc w:val="center"/>
        <w:rPr>
          <w:rFonts w:asciiTheme="majorHAnsi" w:hAnsiTheme="majorHAnsi" w:cstheme="majorHAnsi"/>
          <w:sz w:val="24"/>
          <w:szCs w:val="24"/>
        </w:rPr>
      </w:pPr>
    </w:p>
    <w:p w14:paraId="61A716EC" w14:textId="6227568A" w:rsidR="008F2614" w:rsidRDefault="008F2614" w:rsidP="00F66BAF">
      <w:pPr>
        <w:spacing w:after="0" w:line="480" w:lineRule="auto"/>
        <w:jc w:val="center"/>
        <w:rPr>
          <w:rFonts w:asciiTheme="majorHAnsi" w:hAnsiTheme="majorHAnsi" w:cstheme="majorHAnsi"/>
          <w:sz w:val="24"/>
          <w:szCs w:val="24"/>
        </w:rPr>
      </w:pPr>
    </w:p>
    <w:p w14:paraId="1A2FE12C" w14:textId="39DE242F" w:rsidR="008F2614" w:rsidRDefault="008F2614" w:rsidP="00F66BAF">
      <w:pPr>
        <w:spacing w:after="0" w:line="480" w:lineRule="auto"/>
        <w:jc w:val="center"/>
        <w:rPr>
          <w:rFonts w:asciiTheme="majorHAnsi" w:hAnsiTheme="majorHAnsi" w:cstheme="majorHAnsi"/>
          <w:sz w:val="24"/>
          <w:szCs w:val="24"/>
        </w:rPr>
      </w:pPr>
    </w:p>
    <w:p w14:paraId="1A1EF8B1" w14:textId="31375B12" w:rsidR="008F2614" w:rsidRDefault="008F2614" w:rsidP="00F66BAF">
      <w:pPr>
        <w:spacing w:after="0" w:line="480" w:lineRule="auto"/>
        <w:jc w:val="center"/>
        <w:rPr>
          <w:rFonts w:asciiTheme="majorHAnsi" w:hAnsiTheme="majorHAnsi" w:cstheme="majorHAnsi"/>
          <w:sz w:val="24"/>
          <w:szCs w:val="24"/>
        </w:rPr>
      </w:pPr>
    </w:p>
    <w:p w14:paraId="46937958" w14:textId="2B2C0B3D" w:rsidR="008F2614" w:rsidRDefault="008F2614" w:rsidP="00516230">
      <w:pPr>
        <w:pStyle w:val="Heading1"/>
        <w:spacing w:line="480" w:lineRule="auto"/>
        <w:jc w:val="left"/>
        <w:rPr>
          <w:rFonts w:asciiTheme="majorHAnsi" w:hAnsiTheme="majorHAnsi" w:cstheme="majorHAnsi"/>
          <w:bCs/>
          <w:sz w:val="24"/>
          <w:szCs w:val="24"/>
        </w:rPr>
      </w:pPr>
    </w:p>
    <w:p w14:paraId="53B7F8CD" w14:textId="53D0C1EA" w:rsidR="00516230" w:rsidRDefault="00516230" w:rsidP="00516230"/>
    <w:p w14:paraId="0AAC0800" w14:textId="77777777" w:rsidR="00516230" w:rsidRPr="00516230" w:rsidRDefault="00516230" w:rsidP="00516230"/>
    <w:p w14:paraId="3532DAAB" w14:textId="6C34DEAD" w:rsidR="00F66BAF" w:rsidRPr="00012E7A" w:rsidRDefault="00F66BAF" w:rsidP="00012E7A">
      <w:pPr>
        <w:pStyle w:val="Heading1"/>
        <w:spacing w:line="480" w:lineRule="auto"/>
        <w:rPr>
          <w:sz w:val="32"/>
          <w:szCs w:val="32"/>
          <w:u w:val="none"/>
        </w:rPr>
      </w:pPr>
      <w:bookmarkStart w:id="3" w:name="_Toc78205762"/>
      <w:r w:rsidRPr="00012E7A">
        <w:rPr>
          <w:sz w:val="32"/>
          <w:szCs w:val="32"/>
          <w:u w:val="none"/>
        </w:rPr>
        <w:lastRenderedPageBreak/>
        <w:t>A</w:t>
      </w:r>
      <w:r w:rsidR="00012E7A" w:rsidRPr="00012E7A">
        <w:rPr>
          <w:sz w:val="32"/>
          <w:szCs w:val="32"/>
          <w:u w:val="none"/>
        </w:rPr>
        <w:t>B</w:t>
      </w:r>
      <w:r w:rsidR="00012E7A">
        <w:rPr>
          <w:sz w:val="32"/>
          <w:szCs w:val="32"/>
          <w:u w:val="none"/>
        </w:rPr>
        <w:t>S</w:t>
      </w:r>
      <w:r w:rsidR="00012E7A" w:rsidRPr="00012E7A">
        <w:rPr>
          <w:sz w:val="32"/>
          <w:szCs w:val="32"/>
          <w:u w:val="none"/>
        </w:rPr>
        <w:t>TRACT</w:t>
      </w:r>
      <w:bookmarkEnd w:id="3"/>
    </w:p>
    <w:p w14:paraId="7AFBAE0E" w14:textId="5AD0B498" w:rsidR="00F66BAF" w:rsidRPr="0022305D" w:rsidRDefault="00F66BAF" w:rsidP="00F66BAF">
      <w:pPr>
        <w:spacing w:after="0" w:line="480" w:lineRule="auto"/>
        <w:ind w:firstLine="720"/>
        <w:rPr>
          <w:rFonts w:asciiTheme="majorHAnsi" w:hAnsiTheme="majorHAnsi" w:cstheme="majorHAnsi"/>
          <w:sz w:val="24"/>
          <w:szCs w:val="24"/>
        </w:rPr>
      </w:pPr>
      <w:bookmarkStart w:id="4" w:name="_Hlk75088806"/>
      <w:bookmarkStart w:id="5" w:name="_Hlk75088546"/>
      <w:r w:rsidRPr="0022305D">
        <w:rPr>
          <w:rFonts w:asciiTheme="majorHAnsi" w:hAnsiTheme="majorHAnsi" w:cstheme="majorHAnsi"/>
          <w:sz w:val="24"/>
          <w:szCs w:val="24"/>
        </w:rPr>
        <w:t>The significant role performed by commercial banks in country’s economic development depends entirely on their level of profitability. Low level of profitability hurts the economy and causes stakeholders to incur losses. This study sought to examine the relationship between solvency and profitability of commercial banks in Kenya. Th</w:t>
      </w:r>
      <w:r w:rsidR="00BC2958">
        <w:rPr>
          <w:rFonts w:asciiTheme="majorHAnsi" w:hAnsiTheme="majorHAnsi" w:cstheme="majorHAnsi"/>
          <w:sz w:val="24"/>
          <w:szCs w:val="24"/>
        </w:rPr>
        <w:t>is</w:t>
      </w:r>
      <w:r w:rsidRPr="0022305D">
        <w:rPr>
          <w:rFonts w:asciiTheme="majorHAnsi" w:hAnsiTheme="majorHAnsi" w:cstheme="majorHAnsi"/>
          <w:sz w:val="24"/>
          <w:szCs w:val="24"/>
        </w:rPr>
        <w:t xml:space="preserve"> </w:t>
      </w:r>
      <w:r w:rsidR="00BC2958">
        <w:rPr>
          <w:rFonts w:asciiTheme="majorHAnsi" w:hAnsiTheme="majorHAnsi" w:cstheme="majorHAnsi"/>
          <w:sz w:val="24"/>
          <w:szCs w:val="24"/>
        </w:rPr>
        <w:t>research</w:t>
      </w:r>
      <w:r w:rsidRPr="0022305D">
        <w:rPr>
          <w:rFonts w:asciiTheme="majorHAnsi" w:hAnsiTheme="majorHAnsi" w:cstheme="majorHAnsi"/>
          <w:sz w:val="24"/>
          <w:szCs w:val="24"/>
        </w:rPr>
        <w:t xml:space="preserve"> used secondary data </w:t>
      </w:r>
      <w:r w:rsidRPr="00665E01">
        <w:rPr>
          <w:rFonts w:asciiTheme="majorHAnsi" w:hAnsiTheme="majorHAnsi" w:cstheme="majorHAnsi"/>
          <w:sz w:val="24"/>
          <w:szCs w:val="24"/>
        </w:rPr>
        <w:t xml:space="preserve">from audited </w:t>
      </w:r>
      <w:r w:rsidR="00BC2958" w:rsidRPr="00665E01">
        <w:rPr>
          <w:rFonts w:asciiTheme="majorHAnsi" w:hAnsiTheme="majorHAnsi" w:cstheme="majorHAnsi"/>
          <w:sz w:val="24"/>
          <w:szCs w:val="24"/>
        </w:rPr>
        <w:t xml:space="preserve">and published </w:t>
      </w:r>
      <w:r w:rsidR="00845747" w:rsidRPr="00665E01">
        <w:rPr>
          <w:rFonts w:asciiTheme="majorHAnsi" w:hAnsiTheme="majorHAnsi" w:cstheme="majorHAnsi"/>
          <w:sz w:val="24"/>
          <w:szCs w:val="24"/>
        </w:rPr>
        <w:t>financial statement</w:t>
      </w:r>
      <w:r w:rsidRPr="00665E01">
        <w:rPr>
          <w:rFonts w:asciiTheme="majorHAnsi" w:hAnsiTheme="majorHAnsi" w:cstheme="majorHAnsi"/>
          <w:sz w:val="24"/>
          <w:szCs w:val="24"/>
        </w:rPr>
        <w:t xml:space="preserve">s </w:t>
      </w:r>
      <w:r w:rsidR="00BC2958" w:rsidRPr="00665E01">
        <w:rPr>
          <w:rFonts w:asciiTheme="majorHAnsi" w:hAnsiTheme="majorHAnsi" w:cstheme="majorHAnsi"/>
          <w:sz w:val="24"/>
          <w:szCs w:val="24"/>
        </w:rPr>
        <w:t>such as statement of financial position, income statement and statement of</w:t>
      </w:r>
      <w:r w:rsidR="00BC2958">
        <w:rPr>
          <w:rFonts w:asciiTheme="majorHAnsi" w:hAnsiTheme="majorHAnsi" w:cstheme="majorHAnsi"/>
          <w:sz w:val="24"/>
          <w:szCs w:val="24"/>
        </w:rPr>
        <w:t xml:space="preserve"> changes in equity. </w:t>
      </w:r>
      <w:r w:rsidR="00F538CD">
        <w:rPr>
          <w:rFonts w:asciiTheme="majorHAnsi" w:hAnsiTheme="majorHAnsi" w:cstheme="majorHAnsi"/>
          <w:sz w:val="24"/>
          <w:szCs w:val="24"/>
        </w:rPr>
        <w:t xml:space="preserve">The </w:t>
      </w:r>
      <w:r w:rsidR="00F538CD" w:rsidRPr="0022305D">
        <w:rPr>
          <w:rFonts w:asciiTheme="majorHAnsi" w:hAnsiTheme="majorHAnsi" w:cstheme="majorHAnsi"/>
          <w:sz w:val="24"/>
          <w:szCs w:val="24"/>
        </w:rPr>
        <w:t>target</w:t>
      </w:r>
      <w:r w:rsidRPr="0022305D">
        <w:rPr>
          <w:rFonts w:asciiTheme="majorHAnsi" w:hAnsiTheme="majorHAnsi" w:cstheme="majorHAnsi"/>
          <w:sz w:val="24"/>
          <w:szCs w:val="24"/>
        </w:rPr>
        <w:t xml:space="preserve"> population </w:t>
      </w:r>
      <w:r w:rsidR="00BC2958">
        <w:rPr>
          <w:rFonts w:asciiTheme="majorHAnsi" w:hAnsiTheme="majorHAnsi" w:cstheme="majorHAnsi"/>
          <w:sz w:val="24"/>
          <w:szCs w:val="24"/>
        </w:rPr>
        <w:t>was</w:t>
      </w:r>
      <w:r w:rsidRPr="0022305D">
        <w:rPr>
          <w:rFonts w:asciiTheme="majorHAnsi" w:hAnsiTheme="majorHAnsi" w:cstheme="majorHAnsi"/>
          <w:sz w:val="24"/>
          <w:szCs w:val="24"/>
        </w:rPr>
        <w:t xml:space="preserve"> </w:t>
      </w:r>
      <w:r w:rsidR="00BC2958">
        <w:rPr>
          <w:rFonts w:asciiTheme="majorHAnsi" w:hAnsiTheme="majorHAnsi" w:cstheme="majorHAnsi"/>
          <w:sz w:val="24"/>
          <w:szCs w:val="24"/>
        </w:rPr>
        <w:t xml:space="preserve">all the </w:t>
      </w:r>
      <w:r w:rsidRPr="0022305D">
        <w:rPr>
          <w:rFonts w:asciiTheme="majorHAnsi" w:hAnsiTheme="majorHAnsi" w:cstheme="majorHAnsi"/>
          <w:sz w:val="24"/>
          <w:szCs w:val="24"/>
        </w:rPr>
        <w:t xml:space="preserve">43 commercial banks in Kenya. </w:t>
      </w:r>
      <w:r w:rsidR="00C16B18">
        <w:rPr>
          <w:rFonts w:asciiTheme="majorHAnsi" w:hAnsiTheme="majorHAnsi" w:cstheme="majorHAnsi"/>
          <w:sz w:val="24"/>
          <w:szCs w:val="24"/>
        </w:rPr>
        <w:t>Census</w:t>
      </w:r>
      <w:r w:rsidR="007A1878">
        <w:rPr>
          <w:rFonts w:asciiTheme="majorHAnsi" w:hAnsiTheme="majorHAnsi" w:cstheme="majorHAnsi"/>
          <w:sz w:val="24"/>
          <w:szCs w:val="24"/>
        </w:rPr>
        <w:t xml:space="preserve"> of all the 43 commercial banks in Kenya</w:t>
      </w:r>
      <w:r w:rsidR="008E4D03">
        <w:rPr>
          <w:rFonts w:asciiTheme="majorHAnsi" w:hAnsiTheme="majorHAnsi" w:cstheme="majorHAnsi"/>
          <w:sz w:val="24"/>
          <w:szCs w:val="24"/>
        </w:rPr>
        <w:t xml:space="preserve"> was used for this study whereby </w:t>
      </w:r>
      <w:r w:rsidR="00845747">
        <w:rPr>
          <w:rFonts w:asciiTheme="majorHAnsi" w:hAnsiTheme="majorHAnsi" w:cstheme="majorHAnsi"/>
          <w:sz w:val="24"/>
          <w:szCs w:val="24"/>
        </w:rPr>
        <w:t>audited financial statement</w:t>
      </w:r>
      <w:r w:rsidRPr="0022305D">
        <w:rPr>
          <w:rFonts w:asciiTheme="majorHAnsi" w:hAnsiTheme="majorHAnsi" w:cstheme="majorHAnsi"/>
          <w:sz w:val="24"/>
          <w:szCs w:val="24"/>
        </w:rPr>
        <w:t>s for the period 2011-2020</w:t>
      </w:r>
      <w:r w:rsidR="008E4D03">
        <w:rPr>
          <w:rFonts w:asciiTheme="majorHAnsi" w:hAnsiTheme="majorHAnsi" w:cstheme="majorHAnsi"/>
          <w:sz w:val="24"/>
          <w:szCs w:val="24"/>
        </w:rPr>
        <w:t xml:space="preserve"> was </w:t>
      </w:r>
      <w:r w:rsidR="00516230">
        <w:rPr>
          <w:rFonts w:asciiTheme="majorHAnsi" w:hAnsiTheme="majorHAnsi" w:cstheme="majorHAnsi"/>
          <w:sz w:val="24"/>
          <w:szCs w:val="24"/>
        </w:rPr>
        <w:t>analyzed</w:t>
      </w:r>
      <w:r w:rsidRPr="0022305D">
        <w:rPr>
          <w:rFonts w:asciiTheme="majorHAnsi" w:hAnsiTheme="majorHAnsi" w:cstheme="majorHAnsi"/>
          <w:sz w:val="24"/>
          <w:szCs w:val="24"/>
        </w:rPr>
        <w:t>.</w:t>
      </w:r>
      <w:r w:rsidR="008041CE">
        <w:rPr>
          <w:rFonts w:asciiTheme="majorHAnsi" w:hAnsiTheme="majorHAnsi" w:cstheme="majorHAnsi"/>
          <w:sz w:val="24"/>
          <w:szCs w:val="24"/>
        </w:rPr>
        <w:t xml:space="preserve"> </w:t>
      </w:r>
      <w:r w:rsidRPr="0022305D">
        <w:rPr>
          <w:rFonts w:asciiTheme="majorHAnsi" w:hAnsiTheme="majorHAnsi" w:cstheme="majorHAnsi"/>
          <w:sz w:val="24"/>
          <w:szCs w:val="24"/>
        </w:rPr>
        <w:t xml:space="preserve">The study used descriptive research design as well as inferential and descriptive statistics to analyze data. </w:t>
      </w:r>
      <w:r w:rsidRPr="0022305D">
        <w:rPr>
          <w:rFonts w:asciiTheme="majorHAnsi" w:eastAsia="Times New Roman" w:hAnsiTheme="majorHAnsi" w:cstheme="majorHAnsi"/>
          <w:sz w:val="24"/>
          <w:szCs w:val="24"/>
        </w:rPr>
        <w:t xml:space="preserve">The study revealed a </w:t>
      </w:r>
      <w:r w:rsidRPr="0022305D">
        <w:rPr>
          <w:rFonts w:asciiTheme="majorHAnsi" w:hAnsiTheme="majorHAnsi" w:cstheme="majorHAnsi"/>
          <w:sz w:val="24"/>
          <w:szCs w:val="24"/>
        </w:rPr>
        <w:t xml:space="preserve">p-value of 0.001 &lt; 0.05 level of significance cut off point which was a strong evidence against null hypothesis (Ho), hence the null hypothesis was rejected. The regression analysis revealed that that 37.8% of variation in profitability can be explained by solvency while the remaining 62.2% is attributed to other factors outside the model.  The study further revealed that </w:t>
      </w:r>
      <w:r w:rsidR="00CB2CDC">
        <w:rPr>
          <w:rFonts w:asciiTheme="majorHAnsi" w:hAnsiTheme="majorHAnsi" w:cstheme="majorHAnsi"/>
          <w:sz w:val="24"/>
          <w:szCs w:val="24"/>
        </w:rPr>
        <w:t>total debt to total assets ratio</w:t>
      </w:r>
      <w:r w:rsidRPr="0022305D">
        <w:rPr>
          <w:rFonts w:asciiTheme="majorHAnsi" w:hAnsiTheme="majorHAnsi" w:cstheme="majorHAnsi"/>
          <w:sz w:val="24"/>
          <w:szCs w:val="24"/>
        </w:rPr>
        <w:t xml:space="preserve"> has significant negative relationship with profitability while </w:t>
      </w:r>
      <w:r w:rsidR="00BE06BC">
        <w:rPr>
          <w:rFonts w:asciiTheme="majorHAnsi" w:hAnsiTheme="majorHAnsi" w:cstheme="majorHAnsi"/>
          <w:sz w:val="24"/>
          <w:szCs w:val="24"/>
        </w:rPr>
        <w:t>total debt to equity</w:t>
      </w:r>
      <w:r w:rsidRPr="0022305D">
        <w:rPr>
          <w:rFonts w:asciiTheme="majorHAnsi" w:hAnsiTheme="majorHAnsi" w:cstheme="majorHAnsi"/>
          <w:sz w:val="24"/>
          <w:szCs w:val="24"/>
        </w:rPr>
        <w:t xml:space="preserve"> ratio has positively relationship with profitability of commercial banks in Kenya. The study recommends that the commercial banks regulating body (the central bank of Kenya) as well as the commercial banks management should formulate and implement policies which ensures that all banks operate within a minimum level of solvency.</w:t>
      </w:r>
    </w:p>
    <w:bookmarkEnd w:id="4"/>
    <w:p w14:paraId="24514A6C" w14:textId="77777777" w:rsidR="00F66BAF" w:rsidRPr="0022305D" w:rsidRDefault="00F66BAF" w:rsidP="00F66BAF">
      <w:pPr>
        <w:autoSpaceDE w:val="0"/>
        <w:autoSpaceDN w:val="0"/>
        <w:adjustRightInd w:val="0"/>
        <w:spacing w:after="0" w:line="480" w:lineRule="auto"/>
        <w:ind w:firstLine="720"/>
        <w:rPr>
          <w:rFonts w:asciiTheme="majorHAnsi" w:hAnsiTheme="majorHAnsi" w:cstheme="majorHAnsi"/>
          <w:sz w:val="24"/>
          <w:szCs w:val="24"/>
        </w:rPr>
      </w:pPr>
    </w:p>
    <w:bookmarkEnd w:id="5"/>
    <w:p w14:paraId="5CBD9E54" w14:textId="08FAC460" w:rsidR="00330526" w:rsidRPr="0022305D" w:rsidRDefault="00330526" w:rsidP="008376B5">
      <w:pPr>
        <w:pStyle w:val="Default"/>
        <w:spacing w:line="480" w:lineRule="auto"/>
        <w:rPr>
          <w:rFonts w:asciiTheme="majorHAnsi" w:hAnsiTheme="majorHAnsi" w:cstheme="majorHAnsi"/>
          <w:bCs/>
          <w:iCs/>
          <w:color w:val="auto"/>
        </w:rPr>
      </w:pPr>
    </w:p>
    <w:p w14:paraId="3124E7B7" w14:textId="5C2B4195" w:rsidR="00F66BAF" w:rsidRPr="00012E7A" w:rsidRDefault="00012E7A" w:rsidP="00012E7A">
      <w:pPr>
        <w:pStyle w:val="Heading1"/>
        <w:spacing w:line="480" w:lineRule="auto"/>
        <w:rPr>
          <w:sz w:val="32"/>
          <w:szCs w:val="32"/>
          <w:u w:val="none"/>
        </w:rPr>
      </w:pPr>
      <w:bookmarkStart w:id="6" w:name="_Toc78205763"/>
      <w:r w:rsidRPr="00012E7A">
        <w:rPr>
          <w:sz w:val="32"/>
          <w:szCs w:val="32"/>
          <w:u w:val="none"/>
        </w:rPr>
        <w:lastRenderedPageBreak/>
        <w:t>ACKNOWLEDGEMENT</w:t>
      </w:r>
      <w:bookmarkEnd w:id="6"/>
    </w:p>
    <w:p w14:paraId="6FDA197D" w14:textId="025F13CC" w:rsidR="00F66BAF" w:rsidRPr="0022305D" w:rsidRDefault="00F66BAF" w:rsidP="00F66BAF">
      <w:pPr>
        <w:spacing w:after="0" w:line="480" w:lineRule="auto"/>
        <w:ind w:firstLine="720"/>
        <w:rPr>
          <w:rFonts w:asciiTheme="majorHAnsi" w:hAnsiTheme="majorHAnsi" w:cstheme="majorHAnsi"/>
          <w:sz w:val="24"/>
          <w:szCs w:val="24"/>
        </w:rPr>
      </w:pPr>
      <w:r w:rsidRPr="0022305D">
        <w:rPr>
          <w:rFonts w:asciiTheme="majorHAnsi" w:hAnsiTheme="majorHAnsi" w:cstheme="majorHAnsi"/>
          <w:sz w:val="24"/>
          <w:szCs w:val="24"/>
        </w:rPr>
        <w:t xml:space="preserve">I thank the Almighty God for the gift of life and good health during the entire research. I sincerely thank my supervisors, Dr. Jackson Oyaro Ong’eta and Dr. Moses Mpiima Kibirango, for their continuous guidance all through my study. I am very grateful to all my friends, colleagues, my broader family and the University of Eastern Africa, Baraton administration for supporting me in their various capacities. </w:t>
      </w:r>
    </w:p>
    <w:p w14:paraId="14872C4A" w14:textId="20BAC8B0" w:rsidR="00F66BAF" w:rsidRPr="0022305D" w:rsidRDefault="00F66BAF" w:rsidP="00F66BAF">
      <w:pPr>
        <w:spacing w:after="0" w:line="480" w:lineRule="auto"/>
        <w:ind w:firstLine="720"/>
        <w:rPr>
          <w:rFonts w:asciiTheme="majorHAnsi" w:hAnsiTheme="majorHAnsi" w:cstheme="majorHAnsi"/>
          <w:sz w:val="24"/>
          <w:szCs w:val="24"/>
        </w:rPr>
      </w:pPr>
    </w:p>
    <w:p w14:paraId="38B1BC17" w14:textId="15898205" w:rsidR="00F66BAF" w:rsidRPr="0022305D" w:rsidRDefault="00F66BAF" w:rsidP="00F66BAF">
      <w:pPr>
        <w:spacing w:after="0" w:line="480" w:lineRule="auto"/>
        <w:ind w:firstLine="720"/>
        <w:rPr>
          <w:rFonts w:asciiTheme="majorHAnsi" w:hAnsiTheme="majorHAnsi" w:cstheme="majorHAnsi"/>
          <w:sz w:val="24"/>
          <w:szCs w:val="24"/>
        </w:rPr>
      </w:pPr>
    </w:p>
    <w:p w14:paraId="574DAE1E" w14:textId="5A1D867E" w:rsidR="00F66BAF" w:rsidRPr="0022305D" w:rsidRDefault="00F66BAF" w:rsidP="00F66BAF">
      <w:pPr>
        <w:spacing w:after="0" w:line="480" w:lineRule="auto"/>
        <w:ind w:firstLine="720"/>
        <w:rPr>
          <w:rFonts w:asciiTheme="majorHAnsi" w:hAnsiTheme="majorHAnsi" w:cstheme="majorHAnsi"/>
          <w:sz w:val="24"/>
          <w:szCs w:val="24"/>
        </w:rPr>
      </w:pPr>
    </w:p>
    <w:p w14:paraId="39BD888F" w14:textId="372CA84C" w:rsidR="00F66BAF" w:rsidRPr="0022305D" w:rsidRDefault="00F66BAF" w:rsidP="00F66BAF">
      <w:pPr>
        <w:spacing w:after="0" w:line="480" w:lineRule="auto"/>
        <w:ind w:firstLine="720"/>
        <w:rPr>
          <w:rFonts w:asciiTheme="majorHAnsi" w:hAnsiTheme="majorHAnsi" w:cstheme="majorHAnsi"/>
          <w:sz w:val="24"/>
          <w:szCs w:val="24"/>
        </w:rPr>
      </w:pPr>
    </w:p>
    <w:p w14:paraId="474136FD" w14:textId="2BE75769" w:rsidR="00F66BAF" w:rsidRPr="0022305D" w:rsidRDefault="00F66BAF" w:rsidP="00F66BAF">
      <w:pPr>
        <w:spacing w:after="0" w:line="480" w:lineRule="auto"/>
        <w:ind w:firstLine="720"/>
        <w:rPr>
          <w:rFonts w:asciiTheme="majorHAnsi" w:hAnsiTheme="majorHAnsi" w:cstheme="majorHAnsi"/>
          <w:sz w:val="24"/>
          <w:szCs w:val="24"/>
        </w:rPr>
      </w:pPr>
    </w:p>
    <w:p w14:paraId="65112644" w14:textId="5DF5F7B6" w:rsidR="00F66BAF" w:rsidRPr="0022305D" w:rsidRDefault="00F66BAF" w:rsidP="00F66BAF">
      <w:pPr>
        <w:spacing w:after="0" w:line="480" w:lineRule="auto"/>
        <w:ind w:firstLine="720"/>
        <w:rPr>
          <w:rFonts w:asciiTheme="majorHAnsi" w:hAnsiTheme="majorHAnsi" w:cstheme="majorHAnsi"/>
          <w:sz w:val="24"/>
          <w:szCs w:val="24"/>
        </w:rPr>
      </w:pPr>
    </w:p>
    <w:p w14:paraId="402CE85E" w14:textId="15DB4388" w:rsidR="00F66BAF" w:rsidRPr="0022305D" w:rsidRDefault="00F66BAF" w:rsidP="00F66BAF">
      <w:pPr>
        <w:spacing w:after="0" w:line="480" w:lineRule="auto"/>
        <w:ind w:firstLine="720"/>
        <w:rPr>
          <w:rFonts w:asciiTheme="majorHAnsi" w:hAnsiTheme="majorHAnsi" w:cstheme="majorHAnsi"/>
          <w:sz w:val="24"/>
          <w:szCs w:val="24"/>
        </w:rPr>
      </w:pPr>
    </w:p>
    <w:p w14:paraId="17BA62AB" w14:textId="6467FEAE" w:rsidR="00F66BAF" w:rsidRPr="0022305D" w:rsidRDefault="00F66BAF" w:rsidP="00F66BAF">
      <w:pPr>
        <w:spacing w:after="0" w:line="480" w:lineRule="auto"/>
        <w:ind w:firstLine="720"/>
        <w:rPr>
          <w:rFonts w:asciiTheme="majorHAnsi" w:hAnsiTheme="majorHAnsi" w:cstheme="majorHAnsi"/>
          <w:sz w:val="24"/>
          <w:szCs w:val="24"/>
        </w:rPr>
      </w:pPr>
    </w:p>
    <w:p w14:paraId="04A23AC6" w14:textId="5EB55E13" w:rsidR="00F66BAF" w:rsidRPr="0022305D" w:rsidRDefault="00F66BAF" w:rsidP="00F66BAF">
      <w:pPr>
        <w:spacing w:after="0" w:line="480" w:lineRule="auto"/>
        <w:ind w:firstLine="720"/>
        <w:rPr>
          <w:rFonts w:asciiTheme="majorHAnsi" w:hAnsiTheme="majorHAnsi" w:cstheme="majorHAnsi"/>
          <w:sz w:val="24"/>
          <w:szCs w:val="24"/>
        </w:rPr>
      </w:pPr>
    </w:p>
    <w:p w14:paraId="6EE6D5D1" w14:textId="28A5A7BE" w:rsidR="00F66BAF" w:rsidRPr="0022305D" w:rsidRDefault="00F66BAF" w:rsidP="00F66BAF">
      <w:pPr>
        <w:spacing w:after="0" w:line="480" w:lineRule="auto"/>
        <w:ind w:firstLine="720"/>
        <w:rPr>
          <w:rFonts w:asciiTheme="majorHAnsi" w:hAnsiTheme="majorHAnsi" w:cstheme="majorHAnsi"/>
          <w:sz w:val="24"/>
          <w:szCs w:val="24"/>
        </w:rPr>
      </w:pPr>
    </w:p>
    <w:p w14:paraId="7620DE64" w14:textId="66008F46" w:rsidR="00F66BAF" w:rsidRPr="0022305D" w:rsidRDefault="00F66BAF" w:rsidP="00F66BAF">
      <w:pPr>
        <w:spacing w:after="0" w:line="480" w:lineRule="auto"/>
        <w:ind w:firstLine="720"/>
        <w:rPr>
          <w:rFonts w:asciiTheme="majorHAnsi" w:hAnsiTheme="majorHAnsi" w:cstheme="majorHAnsi"/>
          <w:sz w:val="24"/>
          <w:szCs w:val="24"/>
        </w:rPr>
      </w:pPr>
    </w:p>
    <w:p w14:paraId="3E854E77" w14:textId="1B200380" w:rsidR="00F66BAF" w:rsidRPr="0022305D" w:rsidRDefault="00F66BAF" w:rsidP="00F66BAF">
      <w:pPr>
        <w:spacing w:after="0" w:line="480" w:lineRule="auto"/>
        <w:ind w:firstLine="720"/>
        <w:rPr>
          <w:rFonts w:asciiTheme="majorHAnsi" w:hAnsiTheme="majorHAnsi" w:cstheme="majorHAnsi"/>
          <w:sz w:val="24"/>
          <w:szCs w:val="24"/>
        </w:rPr>
      </w:pPr>
    </w:p>
    <w:p w14:paraId="3632F7ED" w14:textId="5C5E224D" w:rsidR="00F66BAF" w:rsidRPr="0022305D" w:rsidRDefault="00F66BAF" w:rsidP="00F66BAF">
      <w:pPr>
        <w:spacing w:after="0" w:line="480" w:lineRule="auto"/>
        <w:ind w:firstLine="720"/>
        <w:rPr>
          <w:rFonts w:asciiTheme="majorHAnsi" w:hAnsiTheme="majorHAnsi" w:cstheme="majorHAnsi"/>
          <w:sz w:val="24"/>
          <w:szCs w:val="24"/>
        </w:rPr>
      </w:pPr>
    </w:p>
    <w:p w14:paraId="2256D0B2" w14:textId="779105A4" w:rsidR="00F66BAF" w:rsidRPr="0022305D" w:rsidRDefault="00F66BAF" w:rsidP="00F66BAF">
      <w:pPr>
        <w:spacing w:after="0" w:line="480" w:lineRule="auto"/>
        <w:ind w:firstLine="720"/>
        <w:rPr>
          <w:rFonts w:asciiTheme="majorHAnsi" w:hAnsiTheme="majorHAnsi" w:cstheme="majorHAnsi"/>
          <w:sz w:val="24"/>
          <w:szCs w:val="24"/>
        </w:rPr>
      </w:pPr>
    </w:p>
    <w:p w14:paraId="119261A3" w14:textId="37B863D6" w:rsidR="00F66BAF" w:rsidRPr="0022305D" w:rsidRDefault="00F66BAF" w:rsidP="00F66BAF">
      <w:pPr>
        <w:spacing w:after="0" w:line="480" w:lineRule="auto"/>
        <w:ind w:firstLine="720"/>
        <w:rPr>
          <w:rFonts w:asciiTheme="majorHAnsi" w:hAnsiTheme="majorHAnsi" w:cstheme="majorHAnsi"/>
          <w:sz w:val="24"/>
          <w:szCs w:val="24"/>
        </w:rPr>
      </w:pPr>
    </w:p>
    <w:p w14:paraId="37DAD65E" w14:textId="77777777" w:rsidR="00F66BAF" w:rsidRPr="0022305D" w:rsidRDefault="00F66BAF" w:rsidP="00F66BAF">
      <w:pPr>
        <w:spacing w:after="0" w:line="480" w:lineRule="auto"/>
        <w:ind w:firstLine="720"/>
        <w:rPr>
          <w:rFonts w:asciiTheme="majorHAnsi" w:hAnsiTheme="majorHAnsi" w:cstheme="majorHAnsi"/>
          <w:b/>
          <w:sz w:val="24"/>
          <w:szCs w:val="24"/>
        </w:rPr>
      </w:pPr>
    </w:p>
    <w:p w14:paraId="336FFDA8" w14:textId="0F023A4D" w:rsidR="00F66BAF" w:rsidRPr="00012E7A" w:rsidRDefault="00012E7A" w:rsidP="00012E7A">
      <w:pPr>
        <w:pStyle w:val="Heading1"/>
        <w:rPr>
          <w:sz w:val="32"/>
          <w:szCs w:val="32"/>
          <w:u w:val="none"/>
        </w:rPr>
      </w:pPr>
      <w:bookmarkStart w:id="7" w:name="_Toc78205764"/>
      <w:r w:rsidRPr="00012E7A">
        <w:rPr>
          <w:sz w:val="32"/>
          <w:szCs w:val="32"/>
          <w:u w:val="none"/>
        </w:rPr>
        <w:lastRenderedPageBreak/>
        <w:t>DEDICATION</w:t>
      </w:r>
      <w:bookmarkEnd w:id="7"/>
    </w:p>
    <w:p w14:paraId="6A62F6D6" w14:textId="77777777" w:rsidR="00F66BAF" w:rsidRPr="0022305D" w:rsidRDefault="00F66BAF" w:rsidP="00F66BAF">
      <w:pPr>
        <w:spacing w:after="0" w:line="480" w:lineRule="auto"/>
        <w:jc w:val="center"/>
        <w:rPr>
          <w:rFonts w:asciiTheme="majorHAnsi" w:hAnsiTheme="majorHAnsi" w:cstheme="majorHAnsi"/>
          <w:b/>
          <w:sz w:val="24"/>
          <w:szCs w:val="24"/>
        </w:rPr>
      </w:pPr>
      <w:r w:rsidRPr="0022305D">
        <w:rPr>
          <w:rFonts w:asciiTheme="majorHAnsi" w:hAnsiTheme="majorHAnsi" w:cstheme="majorHAnsi"/>
          <w:sz w:val="24"/>
          <w:szCs w:val="24"/>
        </w:rPr>
        <w:t>This thesis is dedicated to my dear wife, Margaret Lagat, my daughter Shantel Lagat and my son Heman Rop for their unconditional support during the entire research.</w:t>
      </w:r>
    </w:p>
    <w:p w14:paraId="71A463A7" w14:textId="77777777" w:rsidR="00F66BAF" w:rsidRPr="0022305D" w:rsidRDefault="00F66BAF" w:rsidP="00F66BAF">
      <w:pPr>
        <w:spacing w:after="0" w:line="480" w:lineRule="auto"/>
        <w:jc w:val="center"/>
        <w:rPr>
          <w:rFonts w:asciiTheme="majorHAnsi" w:hAnsiTheme="majorHAnsi" w:cstheme="majorHAnsi"/>
          <w:b/>
          <w:sz w:val="24"/>
          <w:szCs w:val="24"/>
        </w:rPr>
      </w:pPr>
    </w:p>
    <w:p w14:paraId="4A8FFDCC" w14:textId="44B2359B" w:rsidR="00F66BAF" w:rsidRPr="0022305D" w:rsidRDefault="00F66BAF" w:rsidP="00F66BAF">
      <w:pPr>
        <w:spacing w:after="0" w:line="480" w:lineRule="auto"/>
        <w:jc w:val="center"/>
        <w:rPr>
          <w:rFonts w:asciiTheme="majorHAnsi" w:hAnsiTheme="majorHAnsi" w:cstheme="majorHAnsi"/>
          <w:b/>
          <w:sz w:val="24"/>
          <w:szCs w:val="24"/>
        </w:rPr>
      </w:pPr>
    </w:p>
    <w:p w14:paraId="03BF4EC8" w14:textId="416AF41B" w:rsidR="008376B5" w:rsidRPr="0022305D" w:rsidRDefault="008376B5" w:rsidP="00F66BAF">
      <w:pPr>
        <w:spacing w:after="0" w:line="480" w:lineRule="auto"/>
        <w:jc w:val="center"/>
        <w:rPr>
          <w:rFonts w:asciiTheme="majorHAnsi" w:hAnsiTheme="majorHAnsi" w:cstheme="majorHAnsi"/>
          <w:b/>
          <w:sz w:val="24"/>
          <w:szCs w:val="24"/>
        </w:rPr>
      </w:pPr>
    </w:p>
    <w:p w14:paraId="3F239A5B" w14:textId="53E57A23" w:rsidR="008376B5" w:rsidRPr="0022305D" w:rsidRDefault="008376B5" w:rsidP="00F66BAF">
      <w:pPr>
        <w:spacing w:after="0" w:line="480" w:lineRule="auto"/>
        <w:jc w:val="center"/>
        <w:rPr>
          <w:rFonts w:asciiTheme="majorHAnsi" w:hAnsiTheme="majorHAnsi" w:cstheme="majorHAnsi"/>
          <w:b/>
          <w:sz w:val="24"/>
          <w:szCs w:val="24"/>
        </w:rPr>
      </w:pPr>
    </w:p>
    <w:p w14:paraId="258B6BD4" w14:textId="70B4790E" w:rsidR="008376B5" w:rsidRPr="00392CA8" w:rsidRDefault="008376B5" w:rsidP="00F66BAF">
      <w:pPr>
        <w:spacing w:after="0" w:line="480" w:lineRule="auto"/>
        <w:jc w:val="center"/>
        <w:rPr>
          <w:rFonts w:asciiTheme="majorHAnsi" w:hAnsiTheme="majorHAnsi" w:cstheme="majorHAnsi"/>
          <w:b/>
          <w:sz w:val="24"/>
          <w:szCs w:val="24"/>
        </w:rPr>
      </w:pPr>
    </w:p>
    <w:p w14:paraId="56951482" w14:textId="304093F9" w:rsidR="008376B5" w:rsidRPr="00392CA8" w:rsidRDefault="008376B5" w:rsidP="00F66BAF">
      <w:pPr>
        <w:spacing w:after="0" w:line="480" w:lineRule="auto"/>
        <w:jc w:val="center"/>
        <w:rPr>
          <w:rFonts w:asciiTheme="majorHAnsi" w:hAnsiTheme="majorHAnsi" w:cstheme="majorHAnsi"/>
          <w:b/>
          <w:sz w:val="24"/>
          <w:szCs w:val="24"/>
        </w:rPr>
      </w:pPr>
    </w:p>
    <w:p w14:paraId="38797BA4" w14:textId="278927A9" w:rsidR="008376B5" w:rsidRPr="00392CA8" w:rsidRDefault="008376B5" w:rsidP="00F66BAF">
      <w:pPr>
        <w:spacing w:after="0" w:line="480" w:lineRule="auto"/>
        <w:jc w:val="center"/>
        <w:rPr>
          <w:rFonts w:asciiTheme="majorHAnsi" w:hAnsiTheme="majorHAnsi" w:cstheme="majorHAnsi"/>
          <w:b/>
          <w:sz w:val="24"/>
          <w:szCs w:val="24"/>
        </w:rPr>
      </w:pPr>
    </w:p>
    <w:p w14:paraId="53C33325" w14:textId="028DE77D" w:rsidR="008376B5" w:rsidRPr="00392CA8" w:rsidRDefault="008376B5" w:rsidP="00F66BAF">
      <w:pPr>
        <w:spacing w:after="0" w:line="480" w:lineRule="auto"/>
        <w:jc w:val="center"/>
        <w:rPr>
          <w:rFonts w:asciiTheme="majorHAnsi" w:hAnsiTheme="majorHAnsi" w:cstheme="majorHAnsi"/>
          <w:b/>
          <w:sz w:val="24"/>
          <w:szCs w:val="24"/>
        </w:rPr>
      </w:pPr>
    </w:p>
    <w:p w14:paraId="18F6601C" w14:textId="3ED1C068" w:rsidR="008376B5" w:rsidRPr="00392CA8" w:rsidRDefault="008376B5" w:rsidP="00F66BAF">
      <w:pPr>
        <w:spacing w:after="0" w:line="480" w:lineRule="auto"/>
        <w:jc w:val="center"/>
        <w:rPr>
          <w:rFonts w:asciiTheme="majorHAnsi" w:hAnsiTheme="majorHAnsi" w:cstheme="majorHAnsi"/>
          <w:b/>
          <w:sz w:val="24"/>
          <w:szCs w:val="24"/>
        </w:rPr>
      </w:pPr>
    </w:p>
    <w:p w14:paraId="0FCF2309" w14:textId="187FCE2A" w:rsidR="008376B5" w:rsidRPr="00392CA8" w:rsidRDefault="008376B5" w:rsidP="00F66BAF">
      <w:pPr>
        <w:spacing w:after="0" w:line="480" w:lineRule="auto"/>
        <w:jc w:val="center"/>
        <w:rPr>
          <w:rFonts w:asciiTheme="majorHAnsi" w:hAnsiTheme="majorHAnsi" w:cstheme="majorHAnsi"/>
          <w:b/>
          <w:sz w:val="24"/>
          <w:szCs w:val="24"/>
        </w:rPr>
      </w:pPr>
    </w:p>
    <w:p w14:paraId="7A14D614" w14:textId="0C65BFA5" w:rsidR="008376B5" w:rsidRPr="00392CA8" w:rsidRDefault="008376B5" w:rsidP="00F66BAF">
      <w:pPr>
        <w:spacing w:after="0" w:line="480" w:lineRule="auto"/>
        <w:jc w:val="center"/>
        <w:rPr>
          <w:rFonts w:asciiTheme="majorHAnsi" w:hAnsiTheme="majorHAnsi" w:cstheme="majorHAnsi"/>
          <w:b/>
          <w:sz w:val="24"/>
          <w:szCs w:val="24"/>
        </w:rPr>
      </w:pPr>
    </w:p>
    <w:p w14:paraId="3675D284" w14:textId="6119E6EC" w:rsidR="008376B5" w:rsidRPr="00392CA8" w:rsidRDefault="008376B5" w:rsidP="00F66BAF">
      <w:pPr>
        <w:spacing w:after="0" w:line="480" w:lineRule="auto"/>
        <w:jc w:val="center"/>
        <w:rPr>
          <w:rFonts w:asciiTheme="majorHAnsi" w:hAnsiTheme="majorHAnsi" w:cstheme="majorHAnsi"/>
          <w:b/>
          <w:sz w:val="24"/>
          <w:szCs w:val="24"/>
        </w:rPr>
      </w:pPr>
    </w:p>
    <w:p w14:paraId="39BCC4D3" w14:textId="19D7AB5F" w:rsidR="008376B5" w:rsidRPr="00392CA8" w:rsidRDefault="008376B5" w:rsidP="00F66BAF">
      <w:pPr>
        <w:spacing w:after="0" w:line="480" w:lineRule="auto"/>
        <w:jc w:val="center"/>
        <w:rPr>
          <w:rFonts w:asciiTheme="majorHAnsi" w:hAnsiTheme="majorHAnsi" w:cstheme="majorHAnsi"/>
          <w:b/>
          <w:sz w:val="24"/>
          <w:szCs w:val="24"/>
        </w:rPr>
      </w:pPr>
    </w:p>
    <w:p w14:paraId="01D61164" w14:textId="0C65CD72" w:rsidR="008376B5" w:rsidRPr="00392CA8" w:rsidRDefault="008376B5" w:rsidP="00F66BAF">
      <w:pPr>
        <w:spacing w:after="0" w:line="480" w:lineRule="auto"/>
        <w:jc w:val="center"/>
        <w:rPr>
          <w:rFonts w:asciiTheme="majorHAnsi" w:hAnsiTheme="majorHAnsi" w:cstheme="majorHAnsi"/>
          <w:b/>
          <w:sz w:val="24"/>
          <w:szCs w:val="24"/>
        </w:rPr>
      </w:pPr>
    </w:p>
    <w:p w14:paraId="38875706" w14:textId="3B224C06" w:rsidR="008376B5" w:rsidRPr="00392CA8" w:rsidRDefault="008376B5" w:rsidP="00F66BAF">
      <w:pPr>
        <w:spacing w:after="0" w:line="480" w:lineRule="auto"/>
        <w:jc w:val="center"/>
        <w:rPr>
          <w:rFonts w:asciiTheme="majorHAnsi" w:hAnsiTheme="majorHAnsi" w:cstheme="majorHAnsi"/>
          <w:b/>
          <w:sz w:val="24"/>
          <w:szCs w:val="24"/>
        </w:rPr>
      </w:pPr>
    </w:p>
    <w:p w14:paraId="2DCB5E58" w14:textId="6DEF197A" w:rsidR="008376B5" w:rsidRPr="00392CA8" w:rsidRDefault="008376B5" w:rsidP="00F66BAF">
      <w:pPr>
        <w:spacing w:after="0" w:line="480" w:lineRule="auto"/>
        <w:jc w:val="center"/>
        <w:rPr>
          <w:rFonts w:asciiTheme="majorHAnsi" w:hAnsiTheme="majorHAnsi" w:cstheme="majorHAnsi"/>
          <w:b/>
          <w:sz w:val="24"/>
          <w:szCs w:val="24"/>
        </w:rPr>
      </w:pPr>
    </w:p>
    <w:p w14:paraId="08B1506A" w14:textId="1566A5FD" w:rsidR="008376B5" w:rsidRPr="00392CA8" w:rsidRDefault="008376B5" w:rsidP="00F66BAF">
      <w:pPr>
        <w:spacing w:after="0" w:line="480" w:lineRule="auto"/>
        <w:jc w:val="center"/>
        <w:rPr>
          <w:rFonts w:asciiTheme="majorHAnsi" w:hAnsiTheme="majorHAnsi" w:cstheme="majorHAnsi"/>
          <w:b/>
          <w:sz w:val="24"/>
          <w:szCs w:val="24"/>
        </w:rPr>
      </w:pPr>
    </w:p>
    <w:p w14:paraId="1DFA8639" w14:textId="77777777" w:rsidR="008376B5" w:rsidRPr="00392CA8" w:rsidRDefault="008376B5" w:rsidP="00F66BAF">
      <w:pPr>
        <w:spacing w:after="0" w:line="480" w:lineRule="auto"/>
        <w:jc w:val="center"/>
        <w:rPr>
          <w:rFonts w:asciiTheme="majorHAnsi" w:hAnsiTheme="majorHAnsi" w:cstheme="majorHAnsi"/>
          <w:b/>
          <w:sz w:val="24"/>
          <w:szCs w:val="24"/>
        </w:rPr>
      </w:pPr>
    </w:p>
    <w:p w14:paraId="110845F7" w14:textId="47FC7A83" w:rsidR="00F66BAF" w:rsidRPr="00392CA8" w:rsidRDefault="00F66BAF" w:rsidP="00F66BAF">
      <w:pPr>
        <w:spacing w:after="0" w:line="480" w:lineRule="auto"/>
        <w:jc w:val="center"/>
        <w:rPr>
          <w:rFonts w:asciiTheme="majorHAnsi" w:hAnsiTheme="majorHAnsi" w:cstheme="majorHAnsi"/>
          <w:b/>
          <w:sz w:val="24"/>
          <w:szCs w:val="24"/>
        </w:rPr>
      </w:pPr>
    </w:p>
    <w:sdt>
      <w:sdtPr>
        <w:rPr>
          <w:rFonts w:asciiTheme="majorHAnsi" w:eastAsiaTheme="minorHAnsi" w:hAnsiTheme="majorHAnsi" w:cstheme="majorHAnsi"/>
          <w:b w:val="0"/>
          <w:color w:val="auto"/>
          <w:sz w:val="24"/>
          <w:szCs w:val="24"/>
          <w:u w:val="none"/>
        </w:rPr>
        <w:id w:val="708926471"/>
        <w:docPartObj>
          <w:docPartGallery w:val="Table of Contents"/>
          <w:docPartUnique/>
        </w:docPartObj>
      </w:sdtPr>
      <w:sdtEndPr>
        <w:rPr>
          <w:bCs/>
          <w:noProof/>
        </w:rPr>
      </w:sdtEndPr>
      <w:sdtContent>
        <w:p w14:paraId="7756C34D" w14:textId="06434884" w:rsidR="00304421" w:rsidRPr="002F725E" w:rsidRDefault="006603A6" w:rsidP="00FD6F7D">
          <w:pPr>
            <w:pStyle w:val="TOCHeading"/>
            <w:spacing w:line="480" w:lineRule="auto"/>
            <w:rPr>
              <w:rStyle w:val="Heading1Char"/>
              <w:rFonts w:asciiTheme="majorHAnsi" w:hAnsiTheme="majorHAnsi" w:cstheme="majorHAnsi"/>
              <w:color w:val="auto"/>
              <w:sz w:val="24"/>
              <w:szCs w:val="24"/>
              <w:u w:val="none"/>
            </w:rPr>
          </w:pPr>
          <w:r w:rsidRPr="002F725E">
            <w:rPr>
              <w:rStyle w:val="Heading1Char"/>
              <w:rFonts w:asciiTheme="majorHAnsi" w:hAnsiTheme="majorHAnsi" w:cstheme="majorHAnsi"/>
              <w:color w:val="auto"/>
              <w:sz w:val="24"/>
              <w:szCs w:val="24"/>
              <w:u w:val="none"/>
            </w:rPr>
            <w:t>TABLE OF CONTENTS</w:t>
          </w:r>
        </w:p>
        <w:p w14:paraId="314B3449" w14:textId="04672DF0" w:rsidR="002F725E" w:rsidRPr="002F725E" w:rsidRDefault="00304421">
          <w:pPr>
            <w:pStyle w:val="TOC1"/>
            <w:rPr>
              <w:rFonts w:asciiTheme="majorHAnsi" w:eastAsiaTheme="minorEastAsia" w:hAnsiTheme="majorHAnsi" w:cstheme="majorHAnsi"/>
              <w:sz w:val="24"/>
              <w:szCs w:val="24"/>
            </w:rPr>
          </w:pPr>
          <w:r w:rsidRPr="002F725E">
            <w:rPr>
              <w:rFonts w:asciiTheme="majorHAnsi" w:hAnsiTheme="majorHAnsi" w:cstheme="majorHAnsi"/>
              <w:sz w:val="24"/>
              <w:szCs w:val="24"/>
            </w:rPr>
            <w:fldChar w:fldCharType="begin"/>
          </w:r>
          <w:r w:rsidRPr="002F725E">
            <w:rPr>
              <w:rFonts w:asciiTheme="majorHAnsi" w:hAnsiTheme="majorHAnsi" w:cstheme="majorHAnsi"/>
              <w:sz w:val="24"/>
              <w:szCs w:val="24"/>
            </w:rPr>
            <w:instrText xml:space="preserve"> TOC \o "1-3" \h \z \u </w:instrText>
          </w:r>
          <w:r w:rsidRPr="002F725E">
            <w:rPr>
              <w:rFonts w:asciiTheme="majorHAnsi" w:hAnsiTheme="majorHAnsi" w:cstheme="majorHAnsi"/>
              <w:sz w:val="24"/>
              <w:szCs w:val="24"/>
            </w:rPr>
            <w:fldChar w:fldCharType="separate"/>
          </w:r>
          <w:hyperlink w:anchor="_Toc78205760" w:history="1">
            <w:r w:rsidR="002F725E" w:rsidRPr="002F725E">
              <w:rPr>
                <w:rStyle w:val="Hyperlink"/>
                <w:rFonts w:asciiTheme="majorHAnsi" w:hAnsiTheme="majorHAnsi" w:cstheme="majorHAnsi"/>
                <w:sz w:val="24"/>
                <w:szCs w:val="24"/>
              </w:rPr>
              <w:t>APPROVAL SHEET</w:t>
            </w:r>
            <w:r w:rsidR="002F725E" w:rsidRPr="002F725E">
              <w:rPr>
                <w:rFonts w:asciiTheme="majorHAnsi" w:hAnsiTheme="majorHAnsi" w:cstheme="majorHAnsi"/>
                <w:webHidden/>
                <w:sz w:val="24"/>
                <w:szCs w:val="24"/>
              </w:rPr>
              <w:tab/>
            </w:r>
            <w:r w:rsidR="002F725E" w:rsidRPr="002F725E">
              <w:rPr>
                <w:rFonts w:asciiTheme="majorHAnsi" w:hAnsiTheme="majorHAnsi" w:cstheme="majorHAnsi"/>
                <w:webHidden/>
                <w:sz w:val="24"/>
                <w:szCs w:val="24"/>
              </w:rPr>
              <w:fldChar w:fldCharType="begin"/>
            </w:r>
            <w:r w:rsidR="002F725E" w:rsidRPr="002F725E">
              <w:rPr>
                <w:rFonts w:asciiTheme="majorHAnsi" w:hAnsiTheme="majorHAnsi" w:cstheme="majorHAnsi"/>
                <w:webHidden/>
                <w:sz w:val="24"/>
                <w:szCs w:val="24"/>
              </w:rPr>
              <w:instrText xml:space="preserve"> PAGEREF _Toc78205760 \h </w:instrText>
            </w:r>
            <w:r w:rsidR="002F725E" w:rsidRPr="002F725E">
              <w:rPr>
                <w:rFonts w:asciiTheme="majorHAnsi" w:hAnsiTheme="majorHAnsi" w:cstheme="majorHAnsi"/>
                <w:webHidden/>
                <w:sz w:val="24"/>
                <w:szCs w:val="24"/>
              </w:rPr>
            </w:r>
            <w:r w:rsidR="002F725E" w:rsidRPr="002F725E">
              <w:rPr>
                <w:rFonts w:asciiTheme="majorHAnsi" w:hAnsiTheme="majorHAnsi" w:cstheme="majorHAnsi"/>
                <w:webHidden/>
                <w:sz w:val="24"/>
                <w:szCs w:val="24"/>
              </w:rPr>
              <w:fldChar w:fldCharType="separate"/>
            </w:r>
            <w:r w:rsidR="002F725E" w:rsidRPr="002F725E">
              <w:rPr>
                <w:rFonts w:asciiTheme="majorHAnsi" w:hAnsiTheme="majorHAnsi" w:cstheme="majorHAnsi"/>
                <w:webHidden/>
                <w:sz w:val="24"/>
                <w:szCs w:val="24"/>
              </w:rPr>
              <w:t>i</w:t>
            </w:r>
            <w:r w:rsidR="002F725E" w:rsidRPr="002F725E">
              <w:rPr>
                <w:rFonts w:asciiTheme="majorHAnsi" w:hAnsiTheme="majorHAnsi" w:cstheme="majorHAnsi"/>
                <w:webHidden/>
                <w:sz w:val="24"/>
                <w:szCs w:val="24"/>
              </w:rPr>
              <w:fldChar w:fldCharType="end"/>
            </w:r>
          </w:hyperlink>
        </w:p>
        <w:p w14:paraId="2D2191D0" w14:textId="451669B2" w:rsidR="002F725E" w:rsidRPr="002F725E" w:rsidRDefault="00A759F2">
          <w:pPr>
            <w:pStyle w:val="TOC1"/>
            <w:rPr>
              <w:rFonts w:asciiTheme="majorHAnsi" w:eastAsiaTheme="minorEastAsia" w:hAnsiTheme="majorHAnsi" w:cstheme="majorHAnsi"/>
              <w:sz w:val="24"/>
              <w:szCs w:val="24"/>
            </w:rPr>
          </w:pPr>
          <w:hyperlink w:anchor="_Toc78205761" w:history="1">
            <w:r w:rsidR="002F725E" w:rsidRPr="002F725E">
              <w:rPr>
                <w:rStyle w:val="Hyperlink"/>
                <w:rFonts w:asciiTheme="majorHAnsi" w:hAnsiTheme="majorHAnsi" w:cstheme="majorHAnsi"/>
                <w:sz w:val="24"/>
                <w:szCs w:val="24"/>
              </w:rPr>
              <w:t>DECLARATION BY THE CANDIDATE</w:t>
            </w:r>
            <w:r w:rsidR="002F725E" w:rsidRPr="002F725E">
              <w:rPr>
                <w:rFonts w:asciiTheme="majorHAnsi" w:hAnsiTheme="majorHAnsi" w:cstheme="majorHAnsi"/>
                <w:webHidden/>
                <w:sz w:val="24"/>
                <w:szCs w:val="24"/>
              </w:rPr>
              <w:tab/>
            </w:r>
            <w:r w:rsidR="002F725E" w:rsidRPr="002F725E">
              <w:rPr>
                <w:rFonts w:asciiTheme="majorHAnsi" w:hAnsiTheme="majorHAnsi" w:cstheme="majorHAnsi"/>
                <w:webHidden/>
                <w:sz w:val="24"/>
                <w:szCs w:val="24"/>
              </w:rPr>
              <w:fldChar w:fldCharType="begin"/>
            </w:r>
            <w:r w:rsidR="002F725E" w:rsidRPr="002F725E">
              <w:rPr>
                <w:rFonts w:asciiTheme="majorHAnsi" w:hAnsiTheme="majorHAnsi" w:cstheme="majorHAnsi"/>
                <w:webHidden/>
                <w:sz w:val="24"/>
                <w:szCs w:val="24"/>
              </w:rPr>
              <w:instrText xml:space="preserve"> PAGEREF _Toc78205761 \h </w:instrText>
            </w:r>
            <w:r w:rsidR="002F725E" w:rsidRPr="002F725E">
              <w:rPr>
                <w:rFonts w:asciiTheme="majorHAnsi" w:hAnsiTheme="majorHAnsi" w:cstheme="majorHAnsi"/>
                <w:webHidden/>
                <w:sz w:val="24"/>
                <w:szCs w:val="24"/>
              </w:rPr>
            </w:r>
            <w:r w:rsidR="002F725E" w:rsidRPr="002F725E">
              <w:rPr>
                <w:rFonts w:asciiTheme="majorHAnsi" w:hAnsiTheme="majorHAnsi" w:cstheme="majorHAnsi"/>
                <w:webHidden/>
                <w:sz w:val="24"/>
                <w:szCs w:val="24"/>
              </w:rPr>
              <w:fldChar w:fldCharType="separate"/>
            </w:r>
            <w:r w:rsidR="002F725E" w:rsidRPr="002F725E">
              <w:rPr>
                <w:rFonts w:asciiTheme="majorHAnsi" w:hAnsiTheme="majorHAnsi" w:cstheme="majorHAnsi"/>
                <w:webHidden/>
                <w:sz w:val="24"/>
                <w:szCs w:val="24"/>
              </w:rPr>
              <w:t>ii</w:t>
            </w:r>
            <w:r w:rsidR="002F725E" w:rsidRPr="002F725E">
              <w:rPr>
                <w:rFonts w:asciiTheme="majorHAnsi" w:hAnsiTheme="majorHAnsi" w:cstheme="majorHAnsi"/>
                <w:webHidden/>
                <w:sz w:val="24"/>
                <w:szCs w:val="24"/>
              </w:rPr>
              <w:fldChar w:fldCharType="end"/>
            </w:r>
          </w:hyperlink>
        </w:p>
        <w:p w14:paraId="7BE3A25D" w14:textId="1A58B137" w:rsidR="002F725E" w:rsidRPr="002F725E" w:rsidRDefault="00A759F2">
          <w:pPr>
            <w:pStyle w:val="TOC1"/>
            <w:rPr>
              <w:rFonts w:asciiTheme="majorHAnsi" w:eastAsiaTheme="minorEastAsia" w:hAnsiTheme="majorHAnsi" w:cstheme="majorHAnsi"/>
              <w:sz w:val="24"/>
              <w:szCs w:val="24"/>
            </w:rPr>
          </w:pPr>
          <w:hyperlink w:anchor="_Toc78205762" w:history="1">
            <w:r w:rsidR="002F725E" w:rsidRPr="002F725E">
              <w:rPr>
                <w:rStyle w:val="Hyperlink"/>
                <w:rFonts w:asciiTheme="majorHAnsi" w:hAnsiTheme="majorHAnsi" w:cstheme="majorHAnsi"/>
                <w:sz w:val="24"/>
                <w:szCs w:val="24"/>
              </w:rPr>
              <w:t>ABSTRACT</w:t>
            </w:r>
            <w:r w:rsidR="002F725E" w:rsidRPr="002F725E">
              <w:rPr>
                <w:rFonts w:asciiTheme="majorHAnsi" w:hAnsiTheme="majorHAnsi" w:cstheme="majorHAnsi"/>
                <w:webHidden/>
                <w:sz w:val="24"/>
                <w:szCs w:val="24"/>
              </w:rPr>
              <w:tab/>
            </w:r>
            <w:r w:rsidR="002F725E" w:rsidRPr="002F725E">
              <w:rPr>
                <w:rFonts w:asciiTheme="majorHAnsi" w:hAnsiTheme="majorHAnsi" w:cstheme="majorHAnsi"/>
                <w:webHidden/>
                <w:sz w:val="24"/>
                <w:szCs w:val="24"/>
              </w:rPr>
              <w:fldChar w:fldCharType="begin"/>
            </w:r>
            <w:r w:rsidR="002F725E" w:rsidRPr="002F725E">
              <w:rPr>
                <w:rFonts w:asciiTheme="majorHAnsi" w:hAnsiTheme="majorHAnsi" w:cstheme="majorHAnsi"/>
                <w:webHidden/>
                <w:sz w:val="24"/>
                <w:szCs w:val="24"/>
              </w:rPr>
              <w:instrText xml:space="preserve"> PAGEREF _Toc78205762 \h </w:instrText>
            </w:r>
            <w:r w:rsidR="002F725E" w:rsidRPr="002F725E">
              <w:rPr>
                <w:rFonts w:asciiTheme="majorHAnsi" w:hAnsiTheme="majorHAnsi" w:cstheme="majorHAnsi"/>
                <w:webHidden/>
                <w:sz w:val="24"/>
                <w:szCs w:val="24"/>
              </w:rPr>
            </w:r>
            <w:r w:rsidR="002F725E" w:rsidRPr="002F725E">
              <w:rPr>
                <w:rFonts w:asciiTheme="majorHAnsi" w:hAnsiTheme="majorHAnsi" w:cstheme="majorHAnsi"/>
                <w:webHidden/>
                <w:sz w:val="24"/>
                <w:szCs w:val="24"/>
              </w:rPr>
              <w:fldChar w:fldCharType="separate"/>
            </w:r>
            <w:r w:rsidR="002F725E" w:rsidRPr="002F725E">
              <w:rPr>
                <w:rFonts w:asciiTheme="majorHAnsi" w:hAnsiTheme="majorHAnsi" w:cstheme="majorHAnsi"/>
                <w:webHidden/>
                <w:sz w:val="24"/>
                <w:szCs w:val="24"/>
              </w:rPr>
              <w:t>iii</w:t>
            </w:r>
            <w:r w:rsidR="002F725E" w:rsidRPr="002F725E">
              <w:rPr>
                <w:rFonts w:asciiTheme="majorHAnsi" w:hAnsiTheme="majorHAnsi" w:cstheme="majorHAnsi"/>
                <w:webHidden/>
                <w:sz w:val="24"/>
                <w:szCs w:val="24"/>
              </w:rPr>
              <w:fldChar w:fldCharType="end"/>
            </w:r>
          </w:hyperlink>
        </w:p>
        <w:p w14:paraId="66D8C6C3" w14:textId="21F55FDD" w:rsidR="002F725E" w:rsidRPr="002F725E" w:rsidRDefault="00A759F2">
          <w:pPr>
            <w:pStyle w:val="TOC1"/>
            <w:rPr>
              <w:rFonts w:asciiTheme="majorHAnsi" w:eastAsiaTheme="minorEastAsia" w:hAnsiTheme="majorHAnsi" w:cstheme="majorHAnsi"/>
              <w:sz w:val="24"/>
              <w:szCs w:val="24"/>
            </w:rPr>
          </w:pPr>
          <w:hyperlink w:anchor="_Toc78205763" w:history="1">
            <w:r w:rsidR="002F725E" w:rsidRPr="002F725E">
              <w:rPr>
                <w:rStyle w:val="Hyperlink"/>
                <w:rFonts w:asciiTheme="majorHAnsi" w:hAnsiTheme="majorHAnsi" w:cstheme="majorHAnsi"/>
                <w:sz w:val="24"/>
                <w:szCs w:val="24"/>
              </w:rPr>
              <w:t>ACKNOWLEDGEMENT</w:t>
            </w:r>
            <w:r w:rsidR="002F725E" w:rsidRPr="002F725E">
              <w:rPr>
                <w:rFonts w:asciiTheme="majorHAnsi" w:hAnsiTheme="majorHAnsi" w:cstheme="majorHAnsi"/>
                <w:webHidden/>
                <w:sz w:val="24"/>
                <w:szCs w:val="24"/>
              </w:rPr>
              <w:tab/>
            </w:r>
            <w:r w:rsidR="002F725E" w:rsidRPr="002F725E">
              <w:rPr>
                <w:rFonts w:asciiTheme="majorHAnsi" w:hAnsiTheme="majorHAnsi" w:cstheme="majorHAnsi"/>
                <w:webHidden/>
                <w:sz w:val="24"/>
                <w:szCs w:val="24"/>
              </w:rPr>
              <w:fldChar w:fldCharType="begin"/>
            </w:r>
            <w:r w:rsidR="002F725E" w:rsidRPr="002F725E">
              <w:rPr>
                <w:rFonts w:asciiTheme="majorHAnsi" w:hAnsiTheme="majorHAnsi" w:cstheme="majorHAnsi"/>
                <w:webHidden/>
                <w:sz w:val="24"/>
                <w:szCs w:val="24"/>
              </w:rPr>
              <w:instrText xml:space="preserve"> PAGEREF _Toc78205763 \h </w:instrText>
            </w:r>
            <w:r w:rsidR="002F725E" w:rsidRPr="002F725E">
              <w:rPr>
                <w:rFonts w:asciiTheme="majorHAnsi" w:hAnsiTheme="majorHAnsi" w:cstheme="majorHAnsi"/>
                <w:webHidden/>
                <w:sz w:val="24"/>
                <w:szCs w:val="24"/>
              </w:rPr>
            </w:r>
            <w:r w:rsidR="002F725E" w:rsidRPr="002F725E">
              <w:rPr>
                <w:rFonts w:asciiTheme="majorHAnsi" w:hAnsiTheme="majorHAnsi" w:cstheme="majorHAnsi"/>
                <w:webHidden/>
                <w:sz w:val="24"/>
                <w:szCs w:val="24"/>
              </w:rPr>
              <w:fldChar w:fldCharType="separate"/>
            </w:r>
            <w:r w:rsidR="002F725E" w:rsidRPr="002F725E">
              <w:rPr>
                <w:rFonts w:asciiTheme="majorHAnsi" w:hAnsiTheme="majorHAnsi" w:cstheme="majorHAnsi"/>
                <w:webHidden/>
                <w:sz w:val="24"/>
                <w:szCs w:val="24"/>
              </w:rPr>
              <w:t>iv</w:t>
            </w:r>
            <w:r w:rsidR="002F725E" w:rsidRPr="002F725E">
              <w:rPr>
                <w:rFonts w:asciiTheme="majorHAnsi" w:hAnsiTheme="majorHAnsi" w:cstheme="majorHAnsi"/>
                <w:webHidden/>
                <w:sz w:val="24"/>
                <w:szCs w:val="24"/>
              </w:rPr>
              <w:fldChar w:fldCharType="end"/>
            </w:r>
          </w:hyperlink>
        </w:p>
        <w:p w14:paraId="254E2625" w14:textId="28DB7585" w:rsidR="002F725E" w:rsidRPr="002F725E" w:rsidRDefault="00A759F2">
          <w:pPr>
            <w:pStyle w:val="TOC1"/>
            <w:rPr>
              <w:rFonts w:asciiTheme="majorHAnsi" w:eastAsiaTheme="minorEastAsia" w:hAnsiTheme="majorHAnsi" w:cstheme="majorHAnsi"/>
              <w:sz w:val="24"/>
              <w:szCs w:val="24"/>
            </w:rPr>
          </w:pPr>
          <w:hyperlink w:anchor="_Toc78205764" w:history="1">
            <w:r w:rsidR="002F725E" w:rsidRPr="002F725E">
              <w:rPr>
                <w:rStyle w:val="Hyperlink"/>
                <w:rFonts w:asciiTheme="majorHAnsi" w:hAnsiTheme="majorHAnsi" w:cstheme="majorHAnsi"/>
                <w:sz w:val="24"/>
                <w:szCs w:val="24"/>
              </w:rPr>
              <w:t>DEDICATION</w:t>
            </w:r>
            <w:r w:rsidR="002F725E" w:rsidRPr="002F725E">
              <w:rPr>
                <w:rFonts w:asciiTheme="majorHAnsi" w:hAnsiTheme="majorHAnsi" w:cstheme="majorHAnsi"/>
                <w:webHidden/>
                <w:sz w:val="24"/>
                <w:szCs w:val="24"/>
              </w:rPr>
              <w:tab/>
            </w:r>
            <w:r w:rsidR="002F725E" w:rsidRPr="002F725E">
              <w:rPr>
                <w:rFonts w:asciiTheme="majorHAnsi" w:hAnsiTheme="majorHAnsi" w:cstheme="majorHAnsi"/>
                <w:webHidden/>
                <w:sz w:val="24"/>
                <w:szCs w:val="24"/>
              </w:rPr>
              <w:fldChar w:fldCharType="begin"/>
            </w:r>
            <w:r w:rsidR="002F725E" w:rsidRPr="002F725E">
              <w:rPr>
                <w:rFonts w:asciiTheme="majorHAnsi" w:hAnsiTheme="majorHAnsi" w:cstheme="majorHAnsi"/>
                <w:webHidden/>
                <w:sz w:val="24"/>
                <w:szCs w:val="24"/>
              </w:rPr>
              <w:instrText xml:space="preserve"> PAGEREF _Toc78205764 \h </w:instrText>
            </w:r>
            <w:r w:rsidR="002F725E" w:rsidRPr="002F725E">
              <w:rPr>
                <w:rFonts w:asciiTheme="majorHAnsi" w:hAnsiTheme="majorHAnsi" w:cstheme="majorHAnsi"/>
                <w:webHidden/>
                <w:sz w:val="24"/>
                <w:szCs w:val="24"/>
              </w:rPr>
            </w:r>
            <w:r w:rsidR="002F725E" w:rsidRPr="002F725E">
              <w:rPr>
                <w:rFonts w:asciiTheme="majorHAnsi" w:hAnsiTheme="majorHAnsi" w:cstheme="majorHAnsi"/>
                <w:webHidden/>
                <w:sz w:val="24"/>
                <w:szCs w:val="24"/>
              </w:rPr>
              <w:fldChar w:fldCharType="separate"/>
            </w:r>
            <w:r w:rsidR="002F725E" w:rsidRPr="002F725E">
              <w:rPr>
                <w:rFonts w:asciiTheme="majorHAnsi" w:hAnsiTheme="majorHAnsi" w:cstheme="majorHAnsi"/>
                <w:webHidden/>
                <w:sz w:val="24"/>
                <w:szCs w:val="24"/>
              </w:rPr>
              <w:t>v</w:t>
            </w:r>
            <w:r w:rsidR="002F725E" w:rsidRPr="002F725E">
              <w:rPr>
                <w:rFonts w:asciiTheme="majorHAnsi" w:hAnsiTheme="majorHAnsi" w:cstheme="majorHAnsi"/>
                <w:webHidden/>
                <w:sz w:val="24"/>
                <w:szCs w:val="24"/>
              </w:rPr>
              <w:fldChar w:fldCharType="end"/>
            </w:r>
          </w:hyperlink>
        </w:p>
        <w:p w14:paraId="421A2438" w14:textId="0BDDE34A" w:rsidR="002F725E" w:rsidRPr="002F725E" w:rsidRDefault="00A759F2">
          <w:pPr>
            <w:pStyle w:val="TOC1"/>
            <w:rPr>
              <w:rFonts w:asciiTheme="majorHAnsi" w:eastAsiaTheme="minorEastAsia" w:hAnsiTheme="majorHAnsi" w:cstheme="majorHAnsi"/>
              <w:sz w:val="24"/>
              <w:szCs w:val="24"/>
            </w:rPr>
          </w:pPr>
          <w:hyperlink w:anchor="_Toc78205765" w:history="1">
            <w:r w:rsidR="002F725E" w:rsidRPr="002F725E">
              <w:rPr>
                <w:rStyle w:val="Hyperlink"/>
                <w:rFonts w:asciiTheme="majorHAnsi" w:hAnsiTheme="majorHAnsi" w:cstheme="majorHAnsi"/>
                <w:sz w:val="24"/>
                <w:szCs w:val="24"/>
              </w:rPr>
              <w:t>LIST OF TABLES</w:t>
            </w:r>
            <w:r w:rsidR="002F725E" w:rsidRPr="002F725E">
              <w:rPr>
                <w:rFonts w:asciiTheme="majorHAnsi" w:hAnsiTheme="majorHAnsi" w:cstheme="majorHAnsi"/>
                <w:webHidden/>
                <w:sz w:val="24"/>
                <w:szCs w:val="24"/>
              </w:rPr>
              <w:tab/>
            </w:r>
            <w:r w:rsidR="002F725E" w:rsidRPr="002F725E">
              <w:rPr>
                <w:rFonts w:asciiTheme="majorHAnsi" w:hAnsiTheme="majorHAnsi" w:cstheme="majorHAnsi"/>
                <w:webHidden/>
                <w:sz w:val="24"/>
                <w:szCs w:val="24"/>
              </w:rPr>
              <w:fldChar w:fldCharType="begin"/>
            </w:r>
            <w:r w:rsidR="002F725E" w:rsidRPr="002F725E">
              <w:rPr>
                <w:rFonts w:asciiTheme="majorHAnsi" w:hAnsiTheme="majorHAnsi" w:cstheme="majorHAnsi"/>
                <w:webHidden/>
                <w:sz w:val="24"/>
                <w:szCs w:val="24"/>
              </w:rPr>
              <w:instrText xml:space="preserve"> PAGEREF _Toc78205765 \h </w:instrText>
            </w:r>
            <w:r w:rsidR="002F725E" w:rsidRPr="002F725E">
              <w:rPr>
                <w:rFonts w:asciiTheme="majorHAnsi" w:hAnsiTheme="majorHAnsi" w:cstheme="majorHAnsi"/>
                <w:webHidden/>
                <w:sz w:val="24"/>
                <w:szCs w:val="24"/>
              </w:rPr>
            </w:r>
            <w:r w:rsidR="002F725E" w:rsidRPr="002F725E">
              <w:rPr>
                <w:rFonts w:asciiTheme="majorHAnsi" w:hAnsiTheme="majorHAnsi" w:cstheme="majorHAnsi"/>
                <w:webHidden/>
                <w:sz w:val="24"/>
                <w:szCs w:val="24"/>
              </w:rPr>
              <w:fldChar w:fldCharType="separate"/>
            </w:r>
            <w:r w:rsidR="002F725E" w:rsidRPr="002F725E">
              <w:rPr>
                <w:rFonts w:asciiTheme="majorHAnsi" w:hAnsiTheme="majorHAnsi" w:cstheme="majorHAnsi"/>
                <w:webHidden/>
                <w:sz w:val="24"/>
                <w:szCs w:val="24"/>
              </w:rPr>
              <w:t>viii</w:t>
            </w:r>
            <w:r w:rsidR="002F725E" w:rsidRPr="002F725E">
              <w:rPr>
                <w:rFonts w:asciiTheme="majorHAnsi" w:hAnsiTheme="majorHAnsi" w:cstheme="majorHAnsi"/>
                <w:webHidden/>
                <w:sz w:val="24"/>
                <w:szCs w:val="24"/>
              </w:rPr>
              <w:fldChar w:fldCharType="end"/>
            </w:r>
          </w:hyperlink>
        </w:p>
        <w:p w14:paraId="7FEC5CD2" w14:textId="5A0596C2" w:rsidR="002F725E" w:rsidRPr="002F725E" w:rsidRDefault="00A759F2">
          <w:pPr>
            <w:pStyle w:val="TOC1"/>
            <w:rPr>
              <w:rFonts w:asciiTheme="majorHAnsi" w:eastAsiaTheme="minorEastAsia" w:hAnsiTheme="majorHAnsi" w:cstheme="majorHAnsi"/>
              <w:sz w:val="24"/>
              <w:szCs w:val="24"/>
            </w:rPr>
          </w:pPr>
          <w:hyperlink w:anchor="_Toc78205766" w:history="1">
            <w:r w:rsidR="002F725E" w:rsidRPr="002F725E">
              <w:rPr>
                <w:rStyle w:val="Hyperlink"/>
                <w:rFonts w:asciiTheme="majorHAnsi" w:hAnsiTheme="majorHAnsi" w:cstheme="majorHAnsi"/>
                <w:sz w:val="24"/>
                <w:szCs w:val="24"/>
              </w:rPr>
              <w:t>LIST OF FIGURES</w:t>
            </w:r>
            <w:r w:rsidR="002F725E" w:rsidRPr="002F725E">
              <w:rPr>
                <w:rFonts w:asciiTheme="majorHAnsi" w:hAnsiTheme="majorHAnsi" w:cstheme="majorHAnsi"/>
                <w:webHidden/>
                <w:sz w:val="24"/>
                <w:szCs w:val="24"/>
              </w:rPr>
              <w:tab/>
            </w:r>
            <w:r w:rsidR="002F725E" w:rsidRPr="002F725E">
              <w:rPr>
                <w:rFonts w:asciiTheme="majorHAnsi" w:hAnsiTheme="majorHAnsi" w:cstheme="majorHAnsi"/>
                <w:webHidden/>
                <w:sz w:val="24"/>
                <w:szCs w:val="24"/>
              </w:rPr>
              <w:fldChar w:fldCharType="begin"/>
            </w:r>
            <w:r w:rsidR="002F725E" w:rsidRPr="002F725E">
              <w:rPr>
                <w:rFonts w:asciiTheme="majorHAnsi" w:hAnsiTheme="majorHAnsi" w:cstheme="majorHAnsi"/>
                <w:webHidden/>
                <w:sz w:val="24"/>
                <w:szCs w:val="24"/>
              </w:rPr>
              <w:instrText xml:space="preserve"> PAGEREF _Toc78205766 \h </w:instrText>
            </w:r>
            <w:r w:rsidR="002F725E" w:rsidRPr="002F725E">
              <w:rPr>
                <w:rFonts w:asciiTheme="majorHAnsi" w:hAnsiTheme="majorHAnsi" w:cstheme="majorHAnsi"/>
                <w:webHidden/>
                <w:sz w:val="24"/>
                <w:szCs w:val="24"/>
              </w:rPr>
            </w:r>
            <w:r w:rsidR="002F725E" w:rsidRPr="002F725E">
              <w:rPr>
                <w:rFonts w:asciiTheme="majorHAnsi" w:hAnsiTheme="majorHAnsi" w:cstheme="majorHAnsi"/>
                <w:webHidden/>
                <w:sz w:val="24"/>
                <w:szCs w:val="24"/>
              </w:rPr>
              <w:fldChar w:fldCharType="separate"/>
            </w:r>
            <w:r w:rsidR="002F725E" w:rsidRPr="002F725E">
              <w:rPr>
                <w:rFonts w:asciiTheme="majorHAnsi" w:hAnsiTheme="majorHAnsi" w:cstheme="majorHAnsi"/>
                <w:webHidden/>
                <w:sz w:val="24"/>
                <w:szCs w:val="24"/>
              </w:rPr>
              <w:t>ix</w:t>
            </w:r>
            <w:r w:rsidR="002F725E" w:rsidRPr="002F725E">
              <w:rPr>
                <w:rFonts w:asciiTheme="majorHAnsi" w:hAnsiTheme="majorHAnsi" w:cstheme="majorHAnsi"/>
                <w:webHidden/>
                <w:sz w:val="24"/>
                <w:szCs w:val="24"/>
              </w:rPr>
              <w:fldChar w:fldCharType="end"/>
            </w:r>
          </w:hyperlink>
        </w:p>
        <w:p w14:paraId="29B1D462" w14:textId="34D73170" w:rsidR="002F725E" w:rsidRPr="002F725E" w:rsidRDefault="00A759F2">
          <w:pPr>
            <w:pStyle w:val="TOC1"/>
            <w:rPr>
              <w:rFonts w:asciiTheme="majorHAnsi" w:eastAsiaTheme="minorEastAsia" w:hAnsiTheme="majorHAnsi" w:cstheme="majorHAnsi"/>
              <w:sz w:val="24"/>
              <w:szCs w:val="24"/>
            </w:rPr>
          </w:pPr>
          <w:hyperlink w:anchor="_Toc78205767" w:history="1">
            <w:r w:rsidR="002F725E" w:rsidRPr="002F725E">
              <w:rPr>
                <w:rStyle w:val="Hyperlink"/>
                <w:rFonts w:asciiTheme="majorHAnsi" w:hAnsiTheme="majorHAnsi" w:cstheme="majorHAnsi"/>
                <w:sz w:val="24"/>
                <w:szCs w:val="24"/>
              </w:rPr>
              <w:t>LIST OF ABBREVIATIONS</w:t>
            </w:r>
            <w:r w:rsidR="002F725E" w:rsidRPr="002F725E">
              <w:rPr>
                <w:rFonts w:asciiTheme="majorHAnsi" w:hAnsiTheme="majorHAnsi" w:cstheme="majorHAnsi"/>
                <w:webHidden/>
                <w:sz w:val="24"/>
                <w:szCs w:val="24"/>
              </w:rPr>
              <w:tab/>
            </w:r>
            <w:r w:rsidR="002F725E" w:rsidRPr="002F725E">
              <w:rPr>
                <w:rFonts w:asciiTheme="majorHAnsi" w:hAnsiTheme="majorHAnsi" w:cstheme="majorHAnsi"/>
                <w:webHidden/>
                <w:sz w:val="24"/>
                <w:szCs w:val="24"/>
              </w:rPr>
              <w:fldChar w:fldCharType="begin"/>
            </w:r>
            <w:r w:rsidR="002F725E" w:rsidRPr="002F725E">
              <w:rPr>
                <w:rFonts w:asciiTheme="majorHAnsi" w:hAnsiTheme="majorHAnsi" w:cstheme="majorHAnsi"/>
                <w:webHidden/>
                <w:sz w:val="24"/>
                <w:szCs w:val="24"/>
              </w:rPr>
              <w:instrText xml:space="preserve"> PAGEREF _Toc78205767 \h </w:instrText>
            </w:r>
            <w:r w:rsidR="002F725E" w:rsidRPr="002F725E">
              <w:rPr>
                <w:rFonts w:asciiTheme="majorHAnsi" w:hAnsiTheme="majorHAnsi" w:cstheme="majorHAnsi"/>
                <w:webHidden/>
                <w:sz w:val="24"/>
                <w:szCs w:val="24"/>
              </w:rPr>
            </w:r>
            <w:r w:rsidR="002F725E" w:rsidRPr="002F725E">
              <w:rPr>
                <w:rFonts w:asciiTheme="majorHAnsi" w:hAnsiTheme="majorHAnsi" w:cstheme="majorHAnsi"/>
                <w:webHidden/>
                <w:sz w:val="24"/>
                <w:szCs w:val="24"/>
              </w:rPr>
              <w:fldChar w:fldCharType="separate"/>
            </w:r>
            <w:r w:rsidR="002F725E" w:rsidRPr="002F725E">
              <w:rPr>
                <w:rFonts w:asciiTheme="majorHAnsi" w:hAnsiTheme="majorHAnsi" w:cstheme="majorHAnsi"/>
                <w:webHidden/>
                <w:sz w:val="24"/>
                <w:szCs w:val="24"/>
              </w:rPr>
              <w:t>x</w:t>
            </w:r>
            <w:r w:rsidR="002F725E" w:rsidRPr="002F725E">
              <w:rPr>
                <w:rFonts w:asciiTheme="majorHAnsi" w:hAnsiTheme="majorHAnsi" w:cstheme="majorHAnsi"/>
                <w:webHidden/>
                <w:sz w:val="24"/>
                <w:szCs w:val="24"/>
              </w:rPr>
              <w:fldChar w:fldCharType="end"/>
            </w:r>
          </w:hyperlink>
        </w:p>
        <w:p w14:paraId="262D8341" w14:textId="3D8E0193" w:rsidR="002F725E" w:rsidRPr="002F725E" w:rsidRDefault="00A759F2">
          <w:pPr>
            <w:pStyle w:val="TOC1"/>
            <w:rPr>
              <w:rFonts w:asciiTheme="majorHAnsi" w:eastAsiaTheme="minorEastAsia" w:hAnsiTheme="majorHAnsi" w:cstheme="majorHAnsi"/>
              <w:sz w:val="24"/>
              <w:szCs w:val="24"/>
            </w:rPr>
          </w:pPr>
          <w:hyperlink w:anchor="_Toc78205768" w:history="1">
            <w:r w:rsidR="002F725E" w:rsidRPr="002F725E">
              <w:rPr>
                <w:rStyle w:val="Hyperlink"/>
                <w:rFonts w:asciiTheme="majorHAnsi" w:hAnsiTheme="majorHAnsi" w:cstheme="majorHAnsi"/>
                <w:sz w:val="24"/>
                <w:szCs w:val="24"/>
              </w:rPr>
              <w:t>CHAPTER ONE</w:t>
            </w:r>
            <w:r w:rsidR="002F725E" w:rsidRPr="002F725E">
              <w:rPr>
                <w:rFonts w:asciiTheme="majorHAnsi" w:hAnsiTheme="majorHAnsi" w:cstheme="majorHAnsi"/>
                <w:webHidden/>
                <w:sz w:val="24"/>
                <w:szCs w:val="24"/>
              </w:rPr>
              <w:tab/>
            </w:r>
            <w:r w:rsidR="002F725E" w:rsidRPr="002F725E">
              <w:rPr>
                <w:rFonts w:asciiTheme="majorHAnsi" w:hAnsiTheme="majorHAnsi" w:cstheme="majorHAnsi"/>
                <w:webHidden/>
                <w:sz w:val="24"/>
                <w:szCs w:val="24"/>
              </w:rPr>
              <w:fldChar w:fldCharType="begin"/>
            </w:r>
            <w:r w:rsidR="002F725E" w:rsidRPr="002F725E">
              <w:rPr>
                <w:rFonts w:asciiTheme="majorHAnsi" w:hAnsiTheme="majorHAnsi" w:cstheme="majorHAnsi"/>
                <w:webHidden/>
                <w:sz w:val="24"/>
                <w:szCs w:val="24"/>
              </w:rPr>
              <w:instrText xml:space="preserve"> PAGEREF _Toc78205768 \h </w:instrText>
            </w:r>
            <w:r w:rsidR="002F725E" w:rsidRPr="002F725E">
              <w:rPr>
                <w:rFonts w:asciiTheme="majorHAnsi" w:hAnsiTheme="majorHAnsi" w:cstheme="majorHAnsi"/>
                <w:webHidden/>
                <w:sz w:val="24"/>
                <w:szCs w:val="24"/>
              </w:rPr>
            </w:r>
            <w:r w:rsidR="002F725E" w:rsidRPr="002F725E">
              <w:rPr>
                <w:rFonts w:asciiTheme="majorHAnsi" w:hAnsiTheme="majorHAnsi" w:cstheme="majorHAnsi"/>
                <w:webHidden/>
                <w:sz w:val="24"/>
                <w:szCs w:val="24"/>
              </w:rPr>
              <w:fldChar w:fldCharType="separate"/>
            </w:r>
            <w:r w:rsidR="002F725E" w:rsidRPr="002F725E">
              <w:rPr>
                <w:rFonts w:asciiTheme="majorHAnsi" w:hAnsiTheme="majorHAnsi" w:cstheme="majorHAnsi"/>
                <w:webHidden/>
                <w:sz w:val="24"/>
                <w:szCs w:val="24"/>
              </w:rPr>
              <w:t>1</w:t>
            </w:r>
            <w:r w:rsidR="002F725E" w:rsidRPr="002F725E">
              <w:rPr>
                <w:rFonts w:asciiTheme="majorHAnsi" w:hAnsiTheme="majorHAnsi" w:cstheme="majorHAnsi"/>
                <w:webHidden/>
                <w:sz w:val="24"/>
                <w:szCs w:val="24"/>
              </w:rPr>
              <w:fldChar w:fldCharType="end"/>
            </w:r>
          </w:hyperlink>
        </w:p>
        <w:p w14:paraId="3B110B50" w14:textId="290992F1" w:rsidR="002F725E" w:rsidRPr="002F725E" w:rsidRDefault="00A759F2">
          <w:pPr>
            <w:pStyle w:val="TOC1"/>
            <w:rPr>
              <w:rFonts w:asciiTheme="majorHAnsi" w:eastAsiaTheme="minorEastAsia" w:hAnsiTheme="majorHAnsi" w:cstheme="majorHAnsi"/>
              <w:sz w:val="24"/>
              <w:szCs w:val="24"/>
            </w:rPr>
          </w:pPr>
          <w:hyperlink w:anchor="_Toc78205769" w:history="1">
            <w:r w:rsidR="002F725E" w:rsidRPr="002F725E">
              <w:rPr>
                <w:rStyle w:val="Hyperlink"/>
                <w:rFonts w:asciiTheme="majorHAnsi" w:hAnsiTheme="majorHAnsi" w:cstheme="majorHAnsi"/>
                <w:sz w:val="24"/>
                <w:szCs w:val="24"/>
              </w:rPr>
              <w:t>INTRODUCTION</w:t>
            </w:r>
            <w:r w:rsidR="002F725E" w:rsidRPr="002F725E">
              <w:rPr>
                <w:rFonts w:asciiTheme="majorHAnsi" w:hAnsiTheme="majorHAnsi" w:cstheme="majorHAnsi"/>
                <w:webHidden/>
                <w:sz w:val="24"/>
                <w:szCs w:val="24"/>
              </w:rPr>
              <w:tab/>
            </w:r>
            <w:r w:rsidR="002F725E" w:rsidRPr="002F725E">
              <w:rPr>
                <w:rFonts w:asciiTheme="majorHAnsi" w:hAnsiTheme="majorHAnsi" w:cstheme="majorHAnsi"/>
                <w:webHidden/>
                <w:sz w:val="24"/>
                <w:szCs w:val="24"/>
              </w:rPr>
              <w:fldChar w:fldCharType="begin"/>
            </w:r>
            <w:r w:rsidR="002F725E" w:rsidRPr="002F725E">
              <w:rPr>
                <w:rFonts w:asciiTheme="majorHAnsi" w:hAnsiTheme="majorHAnsi" w:cstheme="majorHAnsi"/>
                <w:webHidden/>
                <w:sz w:val="24"/>
                <w:szCs w:val="24"/>
              </w:rPr>
              <w:instrText xml:space="preserve"> PAGEREF _Toc78205769 \h </w:instrText>
            </w:r>
            <w:r w:rsidR="002F725E" w:rsidRPr="002F725E">
              <w:rPr>
                <w:rFonts w:asciiTheme="majorHAnsi" w:hAnsiTheme="majorHAnsi" w:cstheme="majorHAnsi"/>
                <w:webHidden/>
                <w:sz w:val="24"/>
                <w:szCs w:val="24"/>
              </w:rPr>
            </w:r>
            <w:r w:rsidR="002F725E" w:rsidRPr="002F725E">
              <w:rPr>
                <w:rFonts w:asciiTheme="majorHAnsi" w:hAnsiTheme="majorHAnsi" w:cstheme="majorHAnsi"/>
                <w:webHidden/>
                <w:sz w:val="24"/>
                <w:szCs w:val="24"/>
              </w:rPr>
              <w:fldChar w:fldCharType="separate"/>
            </w:r>
            <w:r w:rsidR="002F725E" w:rsidRPr="002F725E">
              <w:rPr>
                <w:rFonts w:asciiTheme="majorHAnsi" w:hAnsiTheme="majorHAnsi" w:cstheme="majorHAnsi"/>
                <w:webHidden/>
                <w:sz w:val="24"/>
                <w:szCs w:val="24"/>
              </w:rPr>
              <w:t>1</w:t>
            </w:r>
            <w:r w:rsidR="002F725E" w:rsidRPr="002F725E">
              <w:rPr>
                <w:rFonts w:asciiTheme="majorHAnsi" w:hAnsiTheme="majorHAnsi" w:cstheme="majorHAnsi"/>
                <w:webHidden/>
                <w:sz w:val="24"/>
                <w:szCs w:val="24"/>
              </w:rPr>
              <w:fldChar w:fldCharType="end"/>
            </w:r>
          </w:hyperlink>
        </w:p>
        <w:p w14:paraId="17EBC678" w14:textId="0D3CC145"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70" w:history="1">
            <w:r w:rsidR="002F725E" w:rsidRPr="002F725E">
              <w:rPr>
                <w:rStyle w:val="Hyperlink"/>
                <w:rFonts w:asciiTheme="majorHAnsi" w:hAnsiTheme="majorHAnsi" w:cstheme="majorHAnsi"/>
                <w:noProof/>
                <w:sz w:val="24"/>
                <w:szCs w:val="24"/>
              </w:rPr>
              <w:t>Background of the study</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_Toc78205770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2</w:t>
            </w:r>
            <w:r w:rsidR="002F725E" w:rsidRPr="002F725E">
              <w:rPr>
                <w:rFonts w:asciiTheme="majorHAnsi" w:hAnsiTheme="majorHAnsi" w:cstheme="majorHAnsi"/>
                <w:noProof/>
                <w:webHidden/>
                <w:sz w:val="24"/>
                <w:szCs w:val="24"/>
              </w:rPr>
              <w:fldChar w:fldCharType="end"/>
            </w:r>
          </w:hyperlink>
        </w:p>
        <w:p w14:paraId="4B29AB3B" w14:textId="423C2FCF"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71" w:history="1">
            <w:r w:rsidR="002F725E" w:rsidRPr="002F725E">
              <w:rPr>
                <w:rStyle w:val="Hyperlink"/>
                <w:rFonts w:asciiTheme="majorHAnsi" w:hAnsiTheme="majorHAnsi" w:cstheme="majorHAnsi"/>
                <w:noProof/>
                <w:sz w:val="24"/>
                <w:szCs w:val="24"/>
              </w:rPr>
              <w:t>Commercial banks in Kenya</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_Toc78205771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5</w:t>
            </w:r>
            <w:r w:rsidR="002F725E" w:rsidRPr="002F725E">
              <w:rPr>
                <w:rFonts w:asciiTheme="majorHAnsi" w:hAnsiTheme="majorHAnsi" w:cstheme="majorHAnsi"/>
                <w:noProof/>
                <w:webHidden/>
                <w:sz w:val="24"/>
                <w:szCs w:val="24"/>
              </w:rPr>
              <w:fldChar w:fldCharType="end"/>
            </w:r>
          </w:hyperlink>
        </w:p>
        <w:p w14:paraId="189AD4C5" w14:textId="734781B4"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72" w:history="1">
            <w:r w:rsidR="002F725E" w:rsidRPr="002F725E">
              <w:rPr>
                <w:rStyle w:val="Hyperlink"/>
                <w:rFonts w:asciiTheme="majorHAnsi" w:hAnsiTheme="majorHAnsi" w:cstheme="majorHAnsi"/>
                <w:noProof/>
                <w:sz w:val="24"/>
                <w:szCs w:val="24"/>
              </w:rPr>
              <w:t>Statement of the problem</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_Toc78205772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7</w:t>
            </w:r>
            <w:r w:rsidR="002F725E" w:rsidRPr="002F725E">
              <w:rPr>
                <w:rFonts w:asciiTheme="majorHAnsi" w:hAnsiTheme="majorHAnsi" w:cstheme="majorHAnsi"/>
                <w:noProof/>
                <w:webHidden/>
                <w:sz w:val="24"/>
                <w:szCs w:val="24"/>
              </w:rPr>
              <w:fldChar w:fldCharType="end"/>
            </w:r>
          </w:hyperlink>
        </w:p>
        <w:p w14:paraId="06E15759" w14:textId="391241C9"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73" w:history="1">
            <w:r w:rsidR="002F725E" w:rsidRPr="002F725E">
              <w:rPr>
                <w:rStyle w:val="Hyperlink"/>
                <w:rFonts w:asciiTheme="majorHAnsi" w:hAnsiTheme="majorHAnsi" w:cstheme="majorHAnsi"/>
                <w:noProof/>
                <w:sz w:val="24"/>
                <w:szCs w:val="24"/>
              </w:rPr>
              <w:t>Purpose of the study</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_Toc78205773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8</w:t>
            </w:r>
            <w:r w:rsidR="002F725E" w:rsidRPr="002F725E">
              <w:rPr>
                <w:rFonts w:asciiTheme="majorHAnsi" w:hAnsiTheme="majorHAnsi" w:cstheme="majorHAnsi"/>
                <w:noProof/>
                <w:webHidden/>
                <w:sz w:val="24"/>
                <w:szCs w:val="24"/>
              </w:rPr>
              <w:fldChar w:fldCharType="end"/>
            </w:r>
          </w:hyperlink>
        </w:p>
        <w:p w14:paraId="0DE09347" w14:textId="2D3B5FE8"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74" w:history="1">
            <w:r w:rsidR="002F725E" w:rsidRPr="002F725E">
              <w:rPr>
                <w:rStyle w:val="Hyperlink"/>
                <w:rFonts w:asciiTheme="majorHAnsi" w:hAnsiTheme="majorHAnsi" w:cstheme="majorHAnsi"/>
                <w:noProof/>
                <w:sz w:val="24"/>
                <w:szCs w:val="24"/>
              </w:rPr>
              <w:t>Research Questions</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_Toc78205774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9</w:t>
            </w:r>
            <w:r w:rsidR="002F725E" w:rsidRPr="002F725E">
              <w:rPr>
                <w:rFonts w:asciiTheme="majorHAnsi" w:hAnsiTheme="majorHAnsi" w:cstheme="majorHAnsi"/>
                <w:noProof/>
                <w:webHidden/>
                <w:sz w:val="24"/>
                <w:szCs w:val="24"/>
              </w:rPr>
              <w:fldChar w:fldCharType="end"/>
            </w:r>
          </w:hyperlink>
        </w:p>
        <w:p w14:paraId="7B7EC921" w14:textId="7CB3CD85"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75" w:history="1">
            <w:r w:rsidR="002F725E" w:rsidRPr="002F725E">
              <w:rPr>
                <w:rStyle w:val="Hyperlink"/>
                <w:rFonts w:asciiTheme="majorHAnsi" w:hAnsiTheme="majorHAnsi" w:cstheme="majorHAnsi"/>
                <w:noProof/>
                <w:sz w:val="24"/>
                <w:szCs w:val="24"/>
              </w:rPr>
              <w:t>Hypothesis</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_Toc78205775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9</w:t>
            </w:r>
            <w:r w:rsidR="002F725E" w:rsidRPr="002F725E">
              <w:rPr>
                <w:rFonts w:asciiTheme="majorHAnsi" w:hAnsiTheme="majorHAnsi" w:cstheme="majorHAnsi"/>
                <w:noProof/>
                <w:webHidden/>
                <w:sz w:val="24"/>
                <w:szCs w:val="24"/>
              </w:rPr>
              <w:fldChar w:fldCharType="end"/>
            </w:r>
          </w:hyperlink>
        </w:p>
        <w:p w14:paraId="49F6FBFC" w14:textId="5AD081F6"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76" w:history="1">
            <w:r w:rsidR="002F725E" w:rsidRPr="002F725E">
              <w:rPr>
                <w:rStyle w:val="Hyperlink"/>
                <w:rFonts w:asciiTheme="majorHAnsi" w:hAnsiTheme="majorHAnsi" w:cstheme="majorHAnsi"/>
                <w:noProof/>
                <w:sz w:val="24"/>
                <w:szCs w:val="24"/>
              </w:rPr>
              <w:t>Significance of the study</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_Toc78205776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9</w:t>
            </w:r>
            <w:r w:rsidR="002F725E" w:rsidRPr="002F725E">
              <w:rPr>
                <w:rFonts w:asciiTheme="majorHAnsi" w:hAnsiTheme="majorHAnsi" w:cstheme="majorHAnsi"/>
                <w:noProof/>
                <w:webHidden/>
                <w:sz w:val="24"/>
                <w:szCs w:val="24"/>
              </w:rPr>
              <w:fldChar w:fldCharType="end"/>
            </w:r>
          </w:hyperlink>
        </w:p>
        <w:p w14:paraId="232DDC46" w14:textId="73A03C40"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77" w:history="1">
            <w:r w:rsidR="002F725E" w:rsidRPr="002F725E">
              <w:rPr>
                <w:rStyle w:val="Hyperlink"/>
                <w:rFonts w:asciiTheme="majorHAnsi" w:eastAsia="Times New Roman" w:hAnsiTheme="majorHAnsi" w:cstheme="majorHAnsi"/>
                <w:noProof/>
                <w:sz w:val="24"/>
                <w:szCs w:val="24"/>
              </w:rPr>
              <w:t>Justification of the Study</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_Toc78205777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10</w:t>
            </w:r>
            <w:r w:rsidR="002F725E" w:rsidRPr="002F725E">
              <w:rPr>
                <w:rFonts w:asciiTheme="majorHAnsi" w:hAnsiTheme="majorHAnsi" w:cstheme="majorHAnsi"/>
                <w:noProof/>
                <w:webHidden/>
                <w:sz w:val="24"/>
                <w:szCs w:val="24"/>
              </w:rPr>
              <w:fldChar w:fldCharType="end"/>
            </w:r>
          </w:hyperlink>
        </w:p>
        <w:p w14:paraId="31682839" w14:textId="0FEE98C7"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78" w:history="1">
            <w:r w:rsidR="002F725E" w:rsidRPr="002F725E">
              <w:rPr>
                <w:rStyle w:val="Hyperlink"/>
                <w:rFonts w:asciiTheme="majorHAnsi" w:hAnsiTheme="majorHAnsi" w:cstheme="majorHAnsi"/>
                <w:noProof/>
                <w:sz w:val="24"/>
                <w:szCs w:val="24"/>
              </w:rPr>
              <w:t>Theoretical Framework</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_Toc78205778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11</w:t>
            </w:r>
            <w:r w:rsidR="002F725E" w:rsidRPr="002F725E">
              <w:rPr>
                <w:rFonts w:asciiTheme="majorHAnsi" w:hAnsiTheme="majorHAnsi" w:cstheme="majorHAnsi"/>
                <w:noProof/>
                <w:webHidden/>
                <w:sz w:val="24"/>
                <w:szCs w:val="24"/>
              </w:rPr>
              <w:fldChar w:fldCharType="end"/>
            </w:r>
          </w:hyperlink>
        </w:p>
        <w:p w14:paraId="03DBCE6E" w14:textId="2EFEC0D6"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79" w:history="1">
            <w:r w:rsidR="002F725E" w:rsidRPr="002F725E">
              <w:rPr>
                <w:rStyle w:val="Hyperlink"/>
                <w:rFonts w:asciiTheme="majorHAnsi" w:hAnsiTheme="majorHAnsi" w:cstheme="majorHAnsi"/>
                <w:noProof/>
                <w:sz w:val="24"/>
                <w:szCs w:val="24"/>
              </w:rPr>
              <w:t>Conceptual Framework</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_Toc78205779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14</w:t>
            </w:r>
            <w:r w:rsidR="002F725E" w:rsidRPr="002F725E">
              <w:rPr>
                <w:rFonts w:asciiTheme="majorHAnsi" w:hAnsiTheme="majorHAnsi" w:cstheme="majorHAnsi"/>
                <w:noProof/>
                <w:webHidden/>
                <w:sz w:val="24"/>
                <w:szCs w:val="24"/>
              </w:rPr>
              <w:fldChar w:fldCharType="end"/>
            </w:r>
          </w:hyperlink>
        </w:p>
        <w:p w14:paraId="228AFC86" w14:textId="30797AF1"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80" w:history="1">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_Toc78205780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14</w:t>
            </w:r>
            <w:r w:rsidR="002F725E" w:rsidRPr="002F725E">
              <w:rPr>
                <w:rFonts w:asciiTheme="majorHAnsi" w:hAnsiTheme="majorHAnsi" w:cstheme="majorHAnsi"/>
                <w:noProof/>
                <w:webHidden/>
                <w:sz w:val="24"/>
                <w:szCs w:val="24"/>
              </w:rPr>
              <w:fldChar w:fldCharType="end"/>
            </w:r>
          </w:hyperlink>
        </w:p>
        <w:p w14:paraId="49065AC0" w14:textId="3B8A997D"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81" w:history="1">
            <w:r w:rsidR="002F725E" w:rsidRPr="002F725E">
              <w:rPr>
                <w:rStyle w:val="Hyperlink"/>
                <w:rFonts w:asciiTheme="majorHAnsi" w:hAnsiTheme="majorHAnsi" w:cstheme="majorHAnsi"/>
                <w:noProof/>
                <w:sz w:val="24"/>
                <w:szCs w:val="24"/>
              </w:rPr>
              <w:t>Scope of the Study</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_Toc78205781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14</w:t>
            </w:r>
            <w:r w:rsidR="002F725E" w:rsidRPr="002F725E">
              <w:rPr>
                <w:rFonts w:asciiTheme="majorHAnsi" w:hAnsiTheme="majorHAnsi" w:cstheme="majorHAnsi"/>
                <w:noProof/>
                <w:webHidden/>
                <w:sz w:val="24"/>
                <w:szCs w:val="24"/>
              </w:rPr>
              <w:fldChar w:fldCharType="end"/>
            </w:r>
          </w:hyperlink>
        </w:p>
        <w:p w14:paraId="13D448D3" w14:textId="781D4728"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82" w:history="1">
            <w:r w:rsidR="002F725E" w:rsidRPr="002F725E">
              <w:rPr>
                <w:rStyle w:val="Hyperlink"/>
                <w:rFonts w:asciiTheme="majorHAnsi" w:hAnsiTheme="majorHAnsi" w:cstheme="majorHAnsi"/>
                <w:noProof/>
                <w:sz w:val="24"/>
                <w:szCs w:val="24"/>
              </w:rPr>
              <w:t>Operational definition of terms</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_Toc78205782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15</w:t>
            </w:r>
            <w:r w:rsidR="002F725E" w:rsidRPr="002F725E">
              <w:rPr>
                <w:rFonts w:asciiTheme="majorHAnsi" w:hAnsiTheme="majorHAnsi" w:cstheme="majorHAnsi"/>
                <w:noProof/>
                <w:webHidden/>
                <w:sz w:val="24"/>
                <w:szCs w:val="24"/>
              </w:rPr>
              <w:fldChar w:fldCharType="end"/>
            </w:r>
          </w:hyperlink>
        </w:p>
        <w:p w14:paraId="51FA8EA8" w14:textId="42E0B414" w:rsidR="002F725E" w:rsidRPr="002F725E" w:rsidRDefault="00A759F2">
          <w:pPr>
            <w:pStyle w:val="TOC1"/>
            <w:rPr>
              <w:rFonts w:asciiTheme="majorHAnsi" w:eastAsiaTheme="minorEastAsia" w:hAnsiTheme="majorHAnsi" w:cstheme="majorHAnsi"/>
              <w:sz w:val="24"/>
              <w:szCs w:val="24"/>
            </w:rPr>
          </w:pPr>
          <w:hyperlink w:anchor="_Toc78205783" w:history="1">
            <w:r w:rsidR="002F725E" w:rsidRPr="002F725E">
              <w:rPr>
                <w:rStyle w:val="Hyperlink"/>
                <w:rFonts w:asciiTheme="majorHAnsi" w:hAnsiTheme="majorHAnsi" w:cstheme="majorHAnsi"/>
                <w:sz w:val="24"/>
                <w:szCs w:val="24"/>
              </w:rPr>
              <w:t>CHAPTER TWO</w:t>
            </w:r>
            <w:r w:rsidR="002F725E" w:rsidRPr="002F725E">
              <w:rPr>
                <w:rFonts w:asciiTheme="majorHAnsi" w:hAnsiTheme="majorHAnsi" w:cstheme="majorHAnsi"/>
                <w:webHidden/>
                <w:sz w:val="24"/>
                <w:szCs w:val="24"/>
              </w:rPr>
              <w:tab/>
            </w:r>
            <w:r w:rsidR="002F725E" w:rsidRPr="002F725E">
              <w:rPr>
                <w:rFonts w:asciiTheme="majorHAnsi" w:hAnsiTheme="majorHAnsi" w:cstheme="majorHAnsi"/>
                <w:webHidden/>
                <w:sz w:val="24"/>
                <w:szCs w:val="24"/>
              </w:rPr>
              <w:fldChar w:fldCharType="begin"/>
            </w:r>
            <w:r w:rsidR="002F725E" w:rsidRPr="002F725E">
              <w:rPr>
                <w:rFonts w:asciiTheme="majorHAnsi" w:hAnsiTheme="majorHAnsi" w:cstheme="majorHAnsi"/>
                <w:webHidden/>
                <w:sz w:val="24"/>
                <w:szCs w:val="24"/>
              </w:rPr>
              <w:instrText xml:space="preserve"> PAGEREF _Toc78205783 \h </w:instrText>
            </w:r>
            <w:r w:rsidR="002F725E" w:rsidRPr="002F725E">
              <w:rPr>
                <w:rFonts w:asciiTheme="majorHAnsi" w:hAnsiTheme="majorHAnsi" w:cstheme="majorHAnsi"/>
                <w:webHidden/>
                <w:sz w:val="24"/>
                <w:szCs w:val="24"/>
              </w:rPr>
            </w:r>
            <w:r w:rsidR="002F725E" w:rsidRPr="002F725E">
              <w:rPr>
                <w:rFonts w:asciiTheme="majorHAnsi" w:hAnsiTheme="majorHAnsi" w:cstheme="majorHAnsi"/>
                <w:webHidden/>
                <w:sz w:val="24"/>
                <w:szCs w:val="24"/>
              </w:rPr>
              <w:fldChar w:fldCharType="separate"/>
            </w:r>
            <w:r w:rsidR="002F725E" w:rsidRPr="002F725E">
              <w:rPr>
                <w:rFonts w:asciiTheme="majorHAnsi" w:hAnsiTheme="majorHAnsi" w:cstheme="majorHAnsi"/>
                <w:webHidden/>
                <w:sz w:val="24"/>
                <w:szCs w:val="24"/>
              </w:rPr>
              <w:t>17</w:t>
            </w:r>
            <w:r w:rsidR="002F725E" w:rsidRPr="002F725E">
              <w:rPr>
                <w:rFonts w:asciiTheme="majorHAnsi" w:hAnsiTheme="majorHAnsi" w:cstheme="majorHAnsi"/>
                <w:webHidden/>
                <w:sz w:val="24"/>
                <w:szCs w:val="24"/>
              </w:rPr>
              <w:fldChar w:fldCharType="end"/>
            </w:r>
          </w:hyperlink>
        </w:p>
        <w:p w14:paraId="143FB23A" w14:textId="79F61FF5" w:rsidR="002F725E" w:rsidRPr="002F725E" w:rsidRDefault="00A759F2">
          <w:pPr>
            <w:pStyle w:val="TOC1"/>
            <w:rPr>
              <w:rFonts w:asciiTheme="majorHAnsi" w:eastAsiaTheme="minorEastAsia" w:hAnsiTheme="majorHAnsi" w:cstheme="majorHAnsi"/>
              <w:sz w:val="24"/>
              <w:szCs w:val="24"/>
            </w:rPr>
          </w:pPr>
          <w:hyperlink w:anchor="_Toc78205784" w:history="1">
            <w:r w:rsidR="002F725E" w:rsidRPr="002F725E">
              <w:rPr>
                <w:rStyle w:val="Hyperlink"/>
                <w:rFonts w:asciiTheme="majorHAnsi" w:hAnsiTheme="majorHAnsi" w:cstheme="majorHAnsi"/>
                <w:sz w:val="24"/>
                <w:szCs w:val="24"/>
              </w:rPr>
              <w:t>REVIEW OF RELATED LITERATURE AND STUDIES</w:t>
            </w:r>
            <w:r w:rsidR="002F725E" w:rsidRPr="002F725E">
              <w:rPr>
                <w:rFonts w:asciiTheme="majorHAnsi" w:hAnsiTheme="majorHAnsi" w:cstheme="majorHAnsi"/>
                <w:webHidden/>
                <w:sz w:val="24"/>
                <w:szCs w:val="24"/>
              </w:rPr>
              <w:tab/>
            </w:r>
            <w:r w:rsidR="002F725E" w:rsidRPr="002F725E">
              <w:rPr>
                <w:rFonts w:asciiTheme="majorHAnsi" w:hAnsiTheme="majorHAnsi" w:cstheme="majorHAnsi"/>
                <w:webHidden/>
                <w:sz w:val="24"/>
                <w:szCs w:val="24"/>
              </w:rPr>
              <w:fldChar w:fldCharType="begin"/>
            </w:r>
            <w:r w:rsidR="002F725E" w:rsidRPr="002F725E">
              <w:rPr>
                <w:rFonts w:asciiTheme="majorHAnsi" w:hAnsiTheme="majorHAnsi" w:cstheme="majorHAnsi"/>
                <w:webHidden/>
                <w:sz w:val="24"/>
                <w:szCs w:val="24"/>
              </w:rPr>
              <w:instrText xml:space="preserve"> PAGEREF _Toc78205784 \h </w:instrText>
            </w:r>
            <w:r w:rsidR="002F725E" w:rsidRPr="002F725E">
              <w:rPr>
                <w:rFonts w:asciiTheme="majorHAnsi" w:hAnsiTheme="majorHAnsi" w:cstheme="majorHAnsi"/>
                <w:webHidden/>
                <w:sz w:val="24"/>
                <w:szCs w:val="24"/>
              </w:rPr>
            </w:r>
            <w:r w:rsidR="002F725E" w:rsidRPr="002F725E">
              <w:rPr>
                <w:rFonts w:asciiTheme="majorHAnsi" w:hAnsiTheme="majorHAnsi" w:cstheme="majorHAnsi"/>
                <w:webHidden/>
                <w:sz w:val="24"/>
                <w:szCs w:val="24"/>
              </w:rPr>
              <w:fldChar w:fldCharType="separate"/>
            </w:r>
            <w:r w:rsidR="002F725E" w:rsidRPr="002F725E">
              <w:rPr>
                <w:rFonts w:asciiTheme="majorHAnsi" w:hAnsiTheme="majorHAnsi" w:cstheme="majorHAnsi"/>
                <w:webHidden/>
                <w:sz w:val="24"/>
                <w:szCs w:val="24"/>
              </w:rPr>
              <w:t>17</w:t>
            </w:r>
            <w:r w:rsidR="002F725E" w:rsidRPr="002F725E">
              <w:rPr>
                <w:rFonts w:asciiTheme="majorHAnsi" w:hAnsiTheme="majorHAnsi" w:cstheme="majorHAnsi"/>
                <w:webHidden/>
                <w:sz w:val="24"/>
                <w:szCs w:val="24"/>
              </w:rPr>
              <w:fldChar w:fldCharType="end"/>
            </w:r>
          </w:hyperlink>
        </w:p>
        <w:p w14:paraId="6AA523D3" w14:textId="01A65C4B"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85" w:history="1">
            <w:r w:rsidR="002F725E" w:rsidRPr="002F725E">
              <w:rPr>
                <w:rStyle w:val="Hyperlink"/>
                <w:rFonts w:asciiTheme="majorHAnsi" w:hAnsiTheme="majorHAnsi" w:cstheme="majorHAnsi"/>
                <w:noProof/>
                <w:sz w:val="24"/>
                <w:szCs w:val="24"/>
              </w:rPr>
              <w:t>Introduction</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_Toc78205785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17</w:t>
            </w:r>
            <w:r w:rsidR="002F725E" w:rsidRPr="002F725E">
              <w:rPr>
                <w:rFonts w:asciiTheme="majorHAnsi" w:hAnsiTheme="majorHAnsi" w:cstheme="majorHAnsi"/>
                <w:noProof/>
                <w:webHidden/>
                <w:sz w:val="24"/>
                <w:szCs w:val="24"/>
              </w:rPr>
              <w:fldChar w:fldCharType="end"/>
            </w:r>
          </w:hyperlink>
        </w:p>
        <w:p w14:paraId="5C5C3DCD" w14:textId="5CB53425"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86" w:history="1">
            <w:r w:rsidR="002F725E" w:rsidRPr="002F725E">
              <w:rPr>
                <w:rStyle w:val="Hyperlink"/>
                <w:rFonts w:asciiTheme="majorHAnsi" w:hAnsiTheme="majorHAnsi" w:cstheme="majorHAnsi"/>
                <w:noProof/>
                <w:sz w:val="24"/>
                <w:szCs w:val="24"/>
              </w:rPr>
              <w:t>Profitability</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_Toc78205786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17</w:t>
            </w:r>
            <w:r w:rsidR="002F725E" w:rsidRPr="002F725E">
              <w:rPr>
                <w:rFonts w:asciiTheme="majorHAnsi" w:hAnsiTheme="majorHAnsi" w:cstheme="majorHAnsi"/>
                <w:noProof/>
                <w:webHidden/>
                <w:sz w:val="24"/>
                <w:szCs w:val="24"/>
              </w:rPr>
              <w:fldChar w:fldCharType="end"/>
            </w:r>
          </w:hyperlink>
        </w:p>
        <w:p w14:paraId="59BBCDBE" w14:textId="2DE1B8C5"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87" w:history="1">
            <w:r w:rsidR="002F725E" w:rsidRPr="002F725E">
              <w:rPr>
                <w:rStyle w:val="Hyperlink"/>
                <w:rFonts w:asciiTheme="majorHAnsi" w:hAnsiTheme="majorHAnsi" w:cstheme="majorHAnsi"/>
                <w:noProof/>
                <w:sz w:val="24"/>
                <w:szCs w:val="24"/>
              </w:rPr>
              <w:t>Relationship between total debt to total assets ratio and return on assets.</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_Toc78205787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22</w:t>
            </w:r>
            <w:r w:rsidR="002F725E" w:rsidRPr="002F725E">
              <w:rPr>
                <w:rFonts w:asciiTheme="majorHAnsi" w:hAnsiTheme="majorHAnsi" w:cstheme="majorHAnsi"/>
                <w:noProof/>
                <w:webHidden/>
                <w:sz w:val="24"/>
                <w:szCs w:val="24"/>
              </w:rPr>
              <w:fldChar w:fldCharType="end"/>
            </w:r>
          </w:hyperlink>
        </w:p>
        <w:p w14:paraId="14D0DDEC" w14:textId="57CC8603"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88" w:history="1">
            <w:r w:rsidR="002F725E" w:rsidRPr="002F725E">
              <w:rPr>
                <w:rStyle w:val="Hyperlink"/>
                <w:rFonts w:asciiTheme="majorHAnsi" w:hAnsiTheme="majorHAnsi" w:cstheme="majorHAnsi"/>
                <w:noProof/>
                <w:sz w:val="24"/>
                <w:szCs w:val="24"/>
              </w:rPr>
              <w:t>Relationship between total debt to total assets ratio and return on equity.</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_Toc78205788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24</w:t>
            </w:r>
            <w:r w:rsidR="002F725E" w:rsidRPr="002F725E">
              <w:rPr>
                <w:rFonts w:asciiTheme="majorHAnsi" w:hAnsiTheme="majorHAnsi" w:cstheme="majorHAnsi"/>
                <w:noProof/>
                <w:webHidden/>
                <w:sz w:val="24"/>
                <w:szCs w:val="24"/>
              </w:rPr>
              <w:fldChar w:fldCharType="end"/>
            </w:r>
          </w:hyperlink>
        </w:p>
        <w:p w14:paraId="2BDE6FCB" w14:textId="306A9800"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89" w:history="1">
            <w:r w:rsidR="002F725E" w:rsidRPr="002F725E">
              <w:rPr>
                <w:rStyle w:val="Hyperlink"/>
                <w:rFonts w:asciiTheme="majorHAnsi" w:hAnsiTheme="majorHAnsi" w:cstheme="majorHAnsi"/>
                <w:noProof/>
                <w:sz w:val="24"/>
                <w:szCs w:val="24"/>
              </w:rPr>
              <w:t>Relationship between total debt to equity ratio and return on equity</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_Toc78205789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25</w:t>
            </w:r>
            <w:r w:rsidR="002F725E" w:rsidRPr="002F725E">
              <w:rPr>
                <w:rFonts w:asciiTheme="majorHAnsi" w:hAnsiTheme="majorHAnsi" w:cstheme="majorHAnsi"/>
                <w:noProof/>
                <w:webHidden/>
                <w:sz w:val="24"/>
                <w:szCs w:val="24"/>
              </w:rPr>
              <w:fldChar w:fldCharType="end"/>
            </w:r>
          </w:hyperlink>
        </w:p>
        <w:p w14:paraId="0F73760C" w14:textId="423842D2"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90" w:history="1">
            <w:r w:rsidR="002F725E" w:rsidRPr="002F725E">
              <w:rPr>
                <w:rStyle w:val="Hyperlink"/>
                <w:rFonts w:asciiTheme="majorHAnsi" w:hAnsiTheme="majorHAnsi" w:cstheme="majorHAnsi"/>
                <w:noProof/>
                <w:sz w:val="24"/>
                <w:szCs w:val="24"/>
              </w:rPr>
              <w:t>Relationship between total debt to equity ratio and return on assets.</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_Toc78205790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27</w:t>
            </w:r>
            <w:r w:rsidR="002F725E" w:rsidRPr="002F725E">
              <w:rPr>
                <w:rFonts w:asciiTheme="majorHAnsi" w:hAnsiTheme="majorHAnsi" w:cstheme="majorHAnsi"/>
                <w:noProof/>
                <w:webHidden/>
                <w:sz w:val="24"/>
                <w:szCs w:val="24"/>
              </w:rPr>
              <w:fldChar w:fldCharType="end"/>
            </w:r>
          </w:hyperlink>
        </w:p>
        <w:p w14:paraId="5B845FC8" w14:textId="19DF022F"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91" w:history="1">
            <w:r w:rsidR="002F725E" w:rsidRPr="002F725E">
              <w:rPr>
                <w:rStyle w:val="Hyperlink"/>
                <w:rFonts w:asciiTheme="majorHAnsi" w:hAnsiTheme="majorHAnsi" w:cstheme="majorHAnsi"/>
                <w:noProof/>
                <w:sz w:val="24"/>
                <w:szCs w:val="24"/>
              </w:rPr>
              <w:t>Summary of the literature review</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_Toc78205791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29</w:t>
            </w:r>
            <w:r w:rsidR="002F725E" w:rsidRPr="002F725E">
              <w:rPr>
                <w:rFonts w:asciiTheme="majorHAnsi" w:hAnsiTheme="majorHAnsi" w:cstheme="majorHAnsi"/>
                <w:noProof/>
                <w:webHidden/>
                <w:sz w:val="24"/>
                <w:szCs w:val="24"/>
              </w:rPr>
              <w:fldChar w:fldCharType="end"/>
            </w:r>
          </w:hyperlink>
        </w:p>
        <w:p w14:paraId="005B690E" w14:textId="03BA58E4" w:rsidR="002F725E" w:rsidRPr="002F725E" w:rsidRDefault="00A759F2">
          <w:pPr>
            <w:pStyle w:val="TOC1"/>
            <w:rPr>
              <w:rFonts w:asciiTheme="majorHAnsi" w:eastAsiaTheme="minorEastAsia" w:hAnsiTheme="majorHAnsi" w:cstheme="majorHAnsi"/>
              <w:sz w:val="24"/>
              <w:szCs w:val="24"/>
            </w:rPr>
          </w:pPr>
          <w:hyperlink w:anchor="_Toc78205792" w:history="1">
            <w:r w:rsidR="002F725E" w:rsidRPr="002F725E">
              <w:rPr>
                <w:rStyle w:val="Hyperlink"/>
                <w:rFonts w:asciiTheme="majorHAnsi" w:hAnsiTheme="majorHAnsi" w:cstheme="majorHAnsi"/>
                <w:sz w:val="24"/>
                <w:szCs w:val="24"/>
              </w:rPr>
              <w:t>CHAPTER THREE</w:t>
            </w:r>
            <w:r w:rsidR="002F725E" w:rsidRPr="002F725E">
              <w:rPr>
                <w:rFonts w:asciiTheme="majorHAnsi" w:hAnsiTheme="majorHAnsi" w:cstheme="majorHAnsi"/>
                <w:webHidden/>
                <w:sz w:val="24"/>
                <w:szCs w:val="24"/>
              </w:rPr>
              <w:tab/>
            </w:r>
            <w:r w:rsidR="002F725E" w:rsidRPr="002F725E">
              <w:rPr>
                <w:rFonts w:asciiTheme="majorHAnsi" w:hAnsiTheme="majorHAnsi" w:cstheme="majorHAnsi"/>
                <w:webHidden/>
                <w:sz w:val="24"/>
                <w:szCs w:val="24"/>
              </w:rPr>
              <w:fldChar w:fldCharType="begin"/>
            </w:r>
            <w:r w:rsidR="002F725E" w:rsidRPr="002F725E">
              <w:rPr>
                <w:rFonts w:asciiTheme="majorHAnsi" w:hAnsiTheme="majorHAnsi" w:cstheme="majorHAnsi"/>
                <w:webHidden/>
                <w:sz w:val="24"/>
                <w:szCs w:val="24"/>
              </w:rPr>
              <w:instrText xml:space="preserve"> PAGEREF _Toc78205792 \h </w:instrText>
            </w:r>
            <w:r w:rsidR="002F725E" w:rsidRPr="002F725E">
              <w:rPr>
                <w:rFonts w:asciiTheme="majorHAnsi" w:hAnsiTheme="majorHAnsi" w:cstheme="majorHAnsi"/>
                <w:webHidden/>
                <w:sz w:val="24"/>
                <w:szCs w:val="24"/>
              </w:rPr>
            </w:r>
            <w:r w:rsidR="002F725E" w:rsidRPr="002F725E">
              <w:rPr>
                <w:rFonts w:asciiTheme="majorHAnsi" w:hAnsiTheme="majorHAnsi" w:cstheme="majorHAnsi"/>
                <w:webHidden/>
                <w:sz w:val="24"/>
                <w:szCs w:val="24"/>
              </w:rPr>
              <w:fldChar w:fldCharType="separate"/>
            </w:r>
            <w:r w:rsidR="002F725E" w:rsidRPr="002F725E">
              <w:rPr>
                <w:rFonts w:asciiTheme="majorHAnsi" w:hAnsiTheme="majorHAnsi" w:cstheme="majorHAnsi"/>
                <w:webHidden/>
                <w:sz w:val="24"/>
                <w:szCs w:val="24"/>
              </w:rPr>
              <w:t>32</w:t>
            </w:r>
            <w:r w:rsidR="002F725E" w:rsidRPr="002F725E">
              <w:rPr>
                <w:rFonts w:asciiTheme="majorHAnsi" w:hAnsiTheme="majorHAnsi" w:cstheme="majorHAnsi"/>
                <w:webHidden/>
                <w:sz w:val="24"/>
                <w:szCs w:val="24"/>
              </w:rPr>
              <w:fldChar w:fldCharType="end"/>
            </w:r>
          </w:hyperlink>
        </w:p>
        <w:p w14:paraId="4DD9F90E" w14:textId="3B4424C1" w:rsidR="002F725E" w:rsidRPr="002F725E" w:rsidRDefault="00A759F2">
          <w:pPr>
            <w:pStyle w:val="TOC1"/>
            <w:rPr>
              <w:rFonts w:asciiTheme="majorHAnsi" w:eastAsiaTheme="minorEastAsia" w:hAnsiTheme="majorHAnsi" w:cstheme="majorHAnsi"/>
              <w:sz w:val="24"/>
              <w:szCs w:val="24"/>
            </w:rPr>
          </w:pPr>
          <w:hyperlink w:anchor="_Toc78205793" w:history="1">
            <w:r w:rsidR="002F725E" w:rsidRPr="002F725E">
              <w:rPr>
                <w:rStyle w:val="Hyperlink"/>
                <w:rFonts w:asciiTheme="majorHAnsi" w:hAnsiTheme="majorHAnsi" w:cstheme="majorHAnsi"/>
                <w:sz w:val="24"/>
                <w:szCs w:val="24"/>
              </w:rPr>
              <w:t>RESEARCH METHODOLOGY</w:t>
            </w:r>
            <w:r w:rsidR="002F725E" w:rsidRPr="002F725E">
              <w:rPr>
                <w:rFonts w:asciiTheme="majorHAnsi" w:hAnsiTheme="majorHAnsi" w:cstheme="majorHAnsi"/>
                <w:webHidden/>
                <w:sz w:val="24"/>
                <w:szCs w:val="24"/>
              </w:rPr>
              <w:tab/>
            </w:r>
            <w:r w:rsidR="002F725E" w:rsidRPr="002F725E">
              <w:rPr>
                <w:rFonts w:asciiTheme="majorHAnsi" w:hAnsiTheme="majorHAnsi" w:cstheme="majorHAnsi"/>
                <w:webHidden/>
                <w:sz w:val="24"/>
                <w:szCs w:val="24"/>
              </w:rPr>
              <w:fldChar w:fldCharType="begin"/>
            </w:r>
            <w:r w:rsidR="002F725E" w:rsidRPr="002F725E">
              <w:rPr>
                <w:rFonts w:asciiTheme="majorHAnsi" w:hAnsiTheme="majorHAnsi" w:cstheme="majorHAnsi"/>
                <w:webHidden/>
                <w:sz w:val="24"/>
                <w:szCs w:val="24"/>
              </w:rPr>
              <w:instrText xml:space="preserve"> PAGEREF _Toc78205793 \h </w:instrText>
            </w:r>
            <w:r w:rsidR="002F725E" w:rsidRPr="002F725E">
              <w:rPr>
                <w:rFonts w:asciiTheme="majorHAnsi" w:hAnsiTheme="majorHAnsi" w:cstheme="majorHAnsi"/>
                <w:webHidden/>
                <w:sz w:val="24"/>
                <w:szCs w:val="24"/>
              </w:rPr>
            </w:r>
            <w:r w:rsidR="002F725E" w:rsidRPr="002F725E">
              <w:rPr>
                <w:rFonts w:asciiTheme="majorHAnsi" w:hAnsiTheme="majorHAnsi" w:cstheme="majorHAnsi"/>
                <w:webHidden/>
                <w:sz w:val="24"/>
                <w:szCs w:val="24"/>
              </w:rPr>
              <w:fldChar w:fldCharType="separate"/>
            </w:r>
            <w:r w:rsidR="002F725E" w:rsidRPr="002F725E">
              <w:rPr>
                <w:rFonts w:asciiTheme="majorHAnsi" w:hAnsiTheme="majorHAnsi" w:cstheme="majorHAnsi"/>
                <w:webHidden/>
                <w:sz w:val="24"/>
                <w:szCs w:val="24"/>
              </w:rPr>
              <w:t>32</w:t>
            </w:r>
            <w:r w:rsidR="002F725E" w:rsidRPr="002F725E">
              <w:rPr>
                <w:rFonts w:asciiTheme="majorHAnsi" w:hAnsiTheme="majorHAnsi" w:cstheme="majorHAnsi"/>
                <w:webHidden/>
                <w:sz w:val="24"/>
                <w:szCs w:val="24"/>
              </w:rPr>
              <w:fldChar w:fldCharType="end"/>
            </w:r>
          </w:hyperlink>
        </w:p>
        <w:p w14:paraId="3E34660E" w14:textId="281A5A35"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94" w:history="1">
            <w:r w:rsidR="002F725E" w:rsidRPr="002F725E">
              <w:rPr>
                <w:rStyle w:val="Hyperlink"/>
                <w:rFonts w:asciiTheme="majorHAnsi" w:hAnsiTheme="majorHAnsi" w:cstheme="majorHAnsi"/>
                <w:noProof/>
                <w:sz w:val="24"/>
                <w:szCs w:val="24"/>
              </w:rPr>
              <w:t>Introduction</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_Toc78205794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32</w:t>
            </w:r>
            <w:r w:rsidR="002F725E" w:rsidRPr="002F725E">
              <w:rPr>
                <w:rFonts w:asciiTheme="majorHAnsi" w:hAnsiTheme="majorHAnsi" w:cstheme="majorHAnsi"/>
                <w:noProof/>
                <w:webHidden/>
                <w:sz w:val="24"/>
                <w:szCs w:val="24"/>
              </w:rPr>
              <w:fldChar w:fldCharType="end"/>
            </w:r>
          </w:hyperlink>
        </w:p>
        <w:p w14:paraId="7B3BF263" w14:textId="21E40DD6"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95" w:history="1">
            <w:r w:rsidR="002F725E" w:rsidRPr="002F725E">
              <w:rPr>
                <w:rStyle w:val="Hyperlink"/>
                <w:rFonts w:asciiTheme="majorHAnsi" w:hAnsiTheme="majorHAnsi" w:cstheme="majorHAnsi"/>
                <w:noProof/>
                <w:sz w:val="24"/>
                <w:szCs w:val="24"/>
              </w:rPr>
              <w:t>Research Design</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_Toc78205795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32</w:t>
            </w:r>
            <w:r w:rsidR="002F725E" w:rsidRPr="002F725E">
              <w:rPr>
                <w:rFonts w:asciiTheme="majorHAnsi" w:hAnsiTheme="majorHAnsi" w:cstheme="majorHAnsi"/>
                <w:noProof/>
                <w:webHidden/>
                <w:sz w:val="24"/>
                <w:szCs w:val="24"/>
              </w:rPr>
              <w:fldChar w:fldCharType="end"/>
            </w:r>
          </w:hyperlink>
        </w:p>
        <w:p w14:paraId="45CEAEDC" w14:textId="6A3517D4"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96" w:history="1">
            <w:r w:rsidR="002F725E" w:rsidRPr="002F725E">
              <w:rPr>
                <w:rStyle w:val="Hyperlink"/>
                <w:rFonts w:asciiTheme="majorHAnsi" w:hAnsiTheme="majorHAnsi" w:cstheme="majorHAnsi"/>
                <w:noProof/>
                <w:sz w:val="24"/>
                <w:szCs w:val="24"/>
              </w:rPr>
              <w:t>Target population</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_Toc78205796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33</w:t>
            </w:r>
            <w:r w:rsidR="002F725E" w:rsidRPr="002F725E">
              <w:rPr>
                <w:rFonts w:asciiTheme="majorHAnsi" w:hAnsiTheme="majorHAnsi" w:cstheme="majorHAnsi"/>
                <w:noProof/>
                <w:webHidden/>
                <w:sz w:val="24"/>
                <w:szCs w:val="24"/>
              </w:rPr>
              <w:fldChar w:fldCharType="end"/>
            </w:r>
          </w:hyperlink>
        </w:p>
        <w:p w14:paraId="2517012B" w14:textId="1C3C1B35"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97" w:history="1">
            <w:r w:rsidR="002F725E" w:rsidRPr="002F725E">
              <w:rPr>
                <w:rStyle w:val="Hyperlink"/>
                <w:rFonts w:asciiTheme="majorHAnsi" w:hAnsiTheme="majorHAnsi" w:cstheme="majorHAnsi"/>
                <w:noProof/>
                <w:sz w:val="24"/>
                <w:szCs w:val="24"/>
              </w:rPr>
              <w:t>Data collection</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_Toc78205797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33</w:t>
            </w:r>
            <w:r w:rsidR="002F725E" w:rsidRPr="002F725E">
              <w:rPr>
                <w:rFonts w:asciiTheme="majorHAnsi" w:hAnsiTheme="majorHAnsi" w:cstheme="majorHAnsi"/>
                <w:noProof/>
                <w:webHidden/>
                <w:sz w:val="24"/>
                <w:szCs w:val="24"/>
              </w:rPr>
              <w:fldChar w:fldCharType="end"/>
            </w:r>
          </w:hyperlink>
        </w:p>
        <w:p w14:paraId="7E94A0E4" w14:textId="33431055"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98" w:history="1">
            <w:r w:rsidR="002F725E" w:rsidRPr="002F725E">
              <w:rPr>
                <w:rStyle w:val="Hyperlink"/>
                <w:rFonts w:asciiTheme="majorHAnsi" w:hAnsiTheme="majorHAnsi" w:cstheme="majorHAnsi"/>
                <w:noProof/>
                <w:sz w:val="24"/>
                <w:szCs w:val="24"/>
              </w:rPr>
              <w:t>Data analysis</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_Toc78205798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34</w:t>
            </w:r>
            <w:r w:rsidR="002F725E" w:rsidRPr="002F725E">
              <w:rPr>
                <w:rFonts w:asciiTheme="majorHAnsi" w:hAnsiTheme="majorHAnsi" w:cstheme="majorHAnsi"/>
                <w:noProof/>
                <w:webHidden/>
                <w:sz w:val="24"/>
                <w:szCs w:val="24"/>
              </w:rPr>
              <w:fldChar w:fldCharType="end"/>
            </w:r>
          </w:hyperlink>
        </w:p>
        <w:p w14:paraId="26ED359A" w14:textId="10558C78"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799" w:history="1">
            <w:r w:rsidR="002F725E" w:rsidRPr="002F725E">
              <w:rPr>
                <w:rStyle w:val="Hyperlink"/>
                <w:rFonts w:asciiTheme="majorHAnsi" w:hAnsiTheme="majorHAnsi" w:cstheme="majorHAnsi"/>
                <w:noProof/>
                <w:sz w:val="24"/>
                <w:szCs w:val="24"/>
              </w:rPr>
              <w:t>Estimated regression model</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_Toc78205799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35</w:t>
            </w:r>
            <w:r w:rsidR="002F725E" w:rsidRPr="002F725E">
              <w:rPr>
                <w:rFonts w:asciiTheme="majorHAnsi" w:hAnsiTheme="majorHAnsi" w:cstheme="majorHAnsi"/>
                <w:noProof/>
                <w:webHidden/>
                <w:sz w:val="24"/>
                <w:szCs w:val="24"/>
              </w:rPr>
              <w:fldChar w:fldCharType="end"/>
            </w:r>
          </w:hyperlink>
        </w:p>
        <w:p w14:paraId="752E28A3" w14:textId="05CB4F04"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00" w:history="1">
            <w:r w:rsidR="002F725E" w:rsidRPr="002F725E">
              <w:rPr>
                <w:rStyle w:val="Hyperlink"/>
                <w:rFonts w:asciiTheme="majorHAnsi" w:hAnsiTheme="majorHAnsi" w:cstheme="majorHAnsi"/>
                <w:noProof/>
                <w:sz w:val="24"/>
                <w:szCs w:val="24"/>
              </w:rPr>
              <w:t>Ethical consideration</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_Toc78205800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36</w:t>
            </w:r>
            <w:r w:rsidR="002F725E" w:rsidRPr="002F725E">
              <w:rPr>
                <w:rFonts w:asciiTheme="majorHAnsi" w:hAnsiTheme="majorHAnsi" w:cstheme="majorHAnsi"/>
                <w:noProof/>
                <w:webHidden/>
                <w:sz w:val="24"/>
                <w:szCs w:val="24"/>
              </w:rPr>
              <w:fldChar w:fldCharType="end"/>
            </w:r>
          </w:hyperlink>
        </w:p>
        <w:p w14:paraId="06D9F14D" w14:textId="3ADDF5A6"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01" w:history="1">
            <w:r w:rsidR="002F725E" w:rsidRPr="002F725E">
              <w:rPr>
                <w:rStyle w:val="Hyperlink"/>
                <w:rFonts w:asciiTheme="majorHAnsi" w:hAnsiTheme="majorHAnsi" w:cstheme="majorHAnsi"/>
                <w:noProof/>
                <w:sz w:val="24"/>
                <w:szCs w:val="24"/>
              </w:rPr>
              <w:t>Authorizations</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_Toc78205801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36</w:t>
            </w:r>
            <w:r w:rsidR="002F725E" w:rsidRPr="002F725E">
              <w:rPr>
                <w:rFonts w:asciiTheme="majorHAnsi" w:hAnsiTheme="majorHAnsi" w:cstheme="majorHAnsi"/>
                <w:noProof/>
                <w:webHidden/>
                <w:sz w:val="24"/>
                <w:szCs w:val="24"/>
              </w:rPr>
              <w:fldChar w:fldCharType="end"/>
            </w:r>
          </w:hyperlink>
        </w:p>
        <w:p w14:paraId="720AC2A7" w14:textId="1C80B599"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02" w:history="1">
            <w:r w:rsidR="002F725E" w:rsidRPr="002F725E">
              <w:rPr>
                <w:rStyle w:val="Hyperlink"/>
                <w:rFonts w:asciiTheme="majorHAnsi" w:hAnsiTheme="majorHAnsi" w:cstheme="majorHAnsi"/>
                <w:noProof/>
                <w:sz w:val="24"/>
                <w:szCs w:val="24"/>
              </w:rPr>
              <w:t>Privacy</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_Toc78205802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36</w:t>
            </w:r>
            <w:r w:rsidR="002F725E" w:rsidRPr="002F725E">
              <w:rPr>
                <w:rFonts w:asciiTheme="majorHAnsi" w:hAnsiTheme="majorHAnsi" w:cstheme="majorHAnsi"/>
                <w:noProof/>
                <w:webHidden/>
                <w:sz w:val="24"/>
                <w:szCs w:val="24"/>
              </w:rPr>
              <w:fldChar w:fldCharType="end"/>
            </w:r>
          </w:hyperlink>
        </w:p>
        <w:p w14:paraId="21DA7CE7" w14:textId="5BD3C7A8"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03" w:history="1">
            <w:r w:rsidR="002F725E" w:rsidRPr="002F725E">
              <w:rPr>
                <w:rStyle w:val="Hyperlink"/>
                <w:rFonts w:asciiTheme="majorHAnsi" w:hAnsiTheme="majorHAnsi" w:cstheme="majorHAnsi"/>
                <w:noProof/>
                <w:sz w:val="24"/>
                <w:szCs w:val="24"/>
              </w:rPr>
              <w:t>Academic integrity and objectivity</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_Toc78205803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37</w:t>
            </w:r>
            <w:r w:rsidR="002F725E" w:rsidRPr="002F725E">
              <w:rPr>
                <w:rFonts w:asciiTheme="majorHAnsi" w:hAnsiTheme="majorHAnsi" w:cstheme="majorHAnsi"/>
                <w:noProof/>
                <w:webHidden/>
                <w:sz w:val="24"/>
                <w:szCs w:val="24"/>
              </w:rPr>
              <w:fldChar w:fldCharType="end"/>
            </w:r>
          </w:hyperlink>
        </w:p>
        <w:p w14:paraId="55F663B0" w14:textId="387A4C31" w:rsidR="002F725E" w:rsidRPr="002F725E" w:rsidRDefault="00A759F2">
          <w:pPr>
            <w:pStyle w:val="TOC1"/>
            <w:rPr>
              <w:rFonts w:asciiTheme="majorHAnsi" w:eastAsiaTheme="minorEastAsia" w:hAnsiTheme="majorHAnsi" w:cstheme="majorHAnsi"/>
              <w:sz w:val="24"/>
              <w:szCs w:val="24"/>
            </w:rPr>
          </w:pPr>
          <w:hyperlink w:anchor="_Toc78205804" w:history="1">
            <w:r w:rsidR="002F725E" w:rsidRPr="002F725E">
              <w:rPr>
                <w:rStyle w:val="Hyperlink"/>
                <w:rFonts w:asciiTheme="majorHAnsi" w:hAnsiTheme="majorHAnsi" w:cstheme="majorHAnsi"/>
                <w:sz w:val="24"/>
                <w:szCs w:val="24"/>
              </w:rPr>
              <w:t>CHAPTER FOUR</w:t>
            </w:r>
            <w:r w:rsidR="002F725E" w:rsidRPr="002F725E">
              <w:rPr>
                <w:rFonts w:asciiTheme="majorHAnsi" w:hAnsiTheme="majorHAnsi" w:cstheme="majorHAnsi"/>
                <w:webHidden/>
                <w:sz w:val="24"/>
                <w:szCs w:val="24"/>
              </w:rPr>
              <w:tab/>
            </w:r>
            <w:r w:rsidR="002F725E" w:rsidRPr="002F725E">
              <w:rPr>
                <w:rFonts w:asciiTheme="majorHAnsi" w:hAnsiTheme="majorHAnsi" w:cstheme="majorHAnsi"/>
                <w:webHidden/>
                <w:sz w:val="24"/>
                <w:szCs w:val="24"/>
              </w:rPr>
              <w:fldChar w:fldCharType="begin"/>
            </w:r>
            <w:r w:rsidR="002F725E" w:rsidRPr="002F725E">
              <w:rPr>
                <w:rFonts w:asciiTheme="majorHAnsi" w:hAnsiTheme="majorHAnsi" w:cstheme="majorHAnsi"/>
                <w:webHidden/>
                <w:sz w:val="24"/>
                <w:szCs w:val="24"/>
              </w:rPr>
              <w:instrText xml:space="preserve"> PAGEREF _Toc78205804 \h </w:instrText>
            </w:r>
            <w:r w:rsidR="002F725E" w:rsidRPr="002F725E">
              <w:rPr>
                <w:rFonts w:asciiTheme="majorHAnsi" w:hAnsiTheme="majorHAnsi" w:cstheme="majorHAnsi"/>
                <w:webHidden/>
                <w:sz w:val="24"/>
                <w:szCs w:val="24"/>
              </w:rPr>
            </w:r>
            <w:r w:rsidR="002F725E" w:rsidRPr="002F725E">
              <w:rPr>
                <w:rFonts w:asciiTheme="majorHAnsi" w:hAnsiTheme="majorHAnsi" w:cstheme="majorHAnsi"/>
                <w:webHidden/>
                <w:sz w:val="24"/>
                <w:szCs w:val="24"/>
              </w:rPr>
              <w:fldChar w:fldCharType="separate"/>
            </w:r>
            <w:r w:rsidR="002F725E" w:rsidRPr="002F725E">
              <w:rPr>
                <w:rFonts w:asciiTheme="majorHAnsi" w:hAnsiTheme="majorHAnsi" w:cstheme="majorHAnsi"/>
                <w:webHidden/>
                <w:sz w:val="24"/>
                <w:szCs w:val="24"/>
              </w:rPr>
              <w:t>38</w:t>
            </w:r>
            <w:r w:rsidR="002F725E" w:rsidRPr="002F725E">
              <w:rPr>
                <w:rFonts w:asciiTheme="majorHAnsi" w:hAnsiTheme="majorHAnsi" w:cstheme="majorHAnsi"/>
                <w:webHidden/>
                <w:sz w:val="24"/>
                <w:szCs w:val="24"/>
              </w:rPr>
              <w:fldChar w:fldCharType="end"/>
            </w:r>
          </w:hyperlink>
        </w:p>
        <w:p w14:paraId="685B327F" w14:textId="5F893468" w:rsidR="002F725E" w:rsidRPr="002F725E" w:rsidRDefault="00A759F2">
          <w:pPr>
            <w:pStyle w:val="TOC1"/>
            <w:rPr>
              <w:rFonts w:asciiTheme="majorHAnsi" w:eastAsiaTheme="minorEastAsia" w:hAnsiTheme="majorHAnsi" w:cstheme="majorHAnsi"/>
              <w:sz w:val="24"/>
              <w:szCs w:val="24"/>
            </w:rPr>
          </w:pPr>
          <w:hyperlink w:anchor="_Toc78205805" w:history="1">
            <w:r w:rsidR="002F725E" w:rsidRPr="002F725E">
              <w:rPr>
                <w:rStyle w:val="Hyperlink"/>
                <w:rFonts w:asciiTheme="majorHAnsi" w:hAnsiTheme="majorHAnsi" w:cstheme="majorHAnsi"/>
                <w:sz w:val="24"/>
                <w:szCs w:val="24"/>
              </w:rPr>
              <w:t>PRESENTATION OF FINDINGS, ANALYSIS AND INTERPRETATION</w:t>
            </w:r>
            <w:r w:rsidR="002F725E" w:rsidRPr="002F725E">
              <w:rPr>
                <w:rFonts w:asciiTheme="majorHAnsi" w:hAnsiTheme="majorHAnsi" w:cstheme="majorHAnsi"/>
                <w:webHidden/>
                <w:sz w:val="24"/>
                <w:szCs w:val="24"/>
              </w:rPr>
              <w:tab/>
            </w:r>
            <w:r w:rsidR="002F725E" w:rsidRPr="002F725E">
              <w:rPr>
                <w:rFonts w:asciiTheme="majorHAnsi" w:hAnsiTheme="majorHAnsi" w:cstheme="majorHAnsi"/>
                <w:webHidden/>
                <w:sz w:val="24"/>
                <w:szCs w:val="24"/>
              </w:rPr>
              <w:fldChar w:fldCharType="begin"/>
            </w:r>
            <w:r w:rsidR="002F725E" w:rsidRPr="002F725E">
              <w:rPr>
                <w:rFonts w:asciiTheme="majorHAnsi" w:hAnsiTheme="majorHAnsi" w:cstheme="majorHAnsi"/>
                <w:webHidden/>
                <w:sz w:val="24"/>
                <w:szCs w:val="24"/>
              </w:rPr>
              <w:instrText xml:space="preserve"> PAGEREF _Toc78205805 \h </w:instrText>
            </w:r>
            <w:r w:rsidR="002F725E" w:rsidRPr="002F725E">
              <w:rPr>
                <w:rFonts w:asciiTheme="majorHAnsi" w:hAnsiTheme="majorHAnsi" w:cstheme="majorHAnsi"/>
                <w:webHidden/>
                <w:sz w:val="24"/>
                <w:szCs w:val="24"/>
              </w:rPr>
            </w:r>
            <w:r w:rsidR="002F725E" w:rsidRPr="002F725E">
              <w:rPr>
                <w:rFonts w:asciiTheme="majorHAnsi" w:hAnsiTheme="majorHAnsi" w:cstheme="majorHAnsi"/>
                <w:webHidden/>
                <w:sz w:val="24"/>
                <w:szCs w:val="24"/>
              </w:rPr>
              <w:fldChar w:fldCharType="separate"/>
            </w:r>
            <w:r w:rsidR="002F725E" w:rsidRPr="002F725E">
              <w:rPr>
                <w:rFonts w:asciiTheme="majorHAnsi" w:hAnsiTheme="majorHAnsi" w:cstheme="majorHAnsi"/>
                <w:webHidden/>
                <w:sz w:val="24"/>
                <w:szCs w:val="24"/>
              </w:rPr>
              <w:t>38</w:t>
            </w:r>
            <w:r w:rsidR="002F725E" w:rsidRPr="002F725E">
              <w:rPr>
                <w:rFonts w:asciiTheme="majorHAnsi" w:hAnsiTheme="majorHAnsi" w:cstheme="majorHAnsi"/>
                <w:webHidden/>
                <w:sz w:val="24"/>
                <w:szCs w:val="24"/>
              </w:rPr>
              <w:fldChar w:fldCharType="end"/>
            </w:r>
          </w:hyperlink>
        </w:p>
        <w:p w14:paraId="0DAD30FE" w14:textId="70A29B16"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06" w:history="1">
            <w:r w:rsidR="002F725E" w:rsidRPr="002F725E">
              <w:rPr>
                <w:rStyle w:val="Hyperlink"/>
                <w:rFonts w:asciiTheme="majorHAnsi" w:hAnsiTheme="majorHAnsi" w:cstheme="majorHAnsi"/>
                <w:noProof/>
                <w:sz w:val="24"/>
                <w:szCs w:val="24"/>
              </w:rPr>
              <w:t>Introduction</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_Toc78205806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38</w:t>
            </w:r>
            <w:r w:rsidR="002F725E" w:rsidRPr="002F725E">
              <w:rPr>
                <w:rFonts w:asciiTheme="majorHAnsi" w:hAnsiTheme="majorHAnsi" w:cstheme="majorHAnsi"/>
                <w:noProof/>
                <w:webHidden/>
                <w:sz w:val="24"/>
                <w:szCs w:val="24"/>
              </w:rPr>
              <w:fldChar w:fldCharType="end"/>
            </w:r>
          </w:hyperlink>
        </w:p>
        <w:p w14:paraId="483D479B" w14:textId="58049F33"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07" w:history="1">
            <w:r w:rsidR="002F725E" w:rsidRPr="002F725E">
              <w:rPr>
                <w:rStyle w:val="Hyperlink"/>
                <w:rFonts w:asciiTheme="majorHAnsi" w:hAnsiTheme="majorHAnsi" w:cstheme="majorHAnsi"/>
                <w:noProof/>
                <w:sz w:val="24"/>
                <w:szCs w:val="24"/>
              </w:rPr>
              <w:t>Descriptive Statistics</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_Toc78205807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38</w:t>
            </w:r>
            <w:r w:rsidR="002F725E" w:rsidRPr="002F725E">
              <w:rPr>
                <w:rFonts w:asciiTheme="majorHAnsi" w:hAnsiTheme="majorHAnsi" w:cstheme="majorHAnsi"/>
                <w:noProof/>
                <w:webHidden/>
                <w:sz w:val="24"/>
                <w:szCs w:val="24"/>
              </w:rPr>
              <w:fldChar w:fldCharType="end"/>
            </w:r>
          </w:hyperlink>
        </w:p>
        <w:p w14:paraId="71F0DC26" w14:textId="1F818352"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08" w:history="1">
            <w:r w:rsidR="002F725E" w:rsidRPr="002F725E">
              <w:rPr>
                <w:rStyle w:val="Hyperlink"/>
                <w:rFonts w:asciiTheme="majorHAnsi" w:hAnsiTheme="majorHAnsi" w:cstheme="majorHAnsi"/>
                <w:bCs/>
                <w:noProof/>
                <w:sz w:val="24"/>
                <w:szCs w:val="24"/>
              </w:rPr>
              <w:t>Diagnostic</w:t>
            </w:r>
            <w:r w:rsidR="002F725E" w:rsidRPr="002F725E">
              <w:rPr>
                <w:rStyle w:val="Hyperlink"/>
                <w:rFonts w:asciiTheme="majorHAnsi" w:hAnsiTheme="majorHAnsi" w:cstheme="majorHAnsi"/>
                <w:noProof/>
                <w:sz w:val="24"/>
                <w:szCs w:val="24"/>
              </w:rPr>
              <w:t xml:space="preserve"> tests</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_Toc78205808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40</w:t>
            </w:r>
            <w:r w:rsidR="002F725E" w:rsidRPr="002F725E">
              <w:rPr>
                <w:rFonts w:asciiTheme="majorHAnsi" w:hAnsiTheme="majorHAnsi" w:cstheme="majorHAnsi"/>
                <w:noProof/>
                <w:webHidden/>
                <w:sz w:val="24"/>
                <w:szCs w:val="24"/>
              </w:rPr>
              <w:fldChar w:fldCharType="end"/>
            </w:r>
          </w:hyperlink>
        </w:p>
        <w:p w14:paraId="403A8BA6" w14:textId="7A465E34"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09" w:history="1">
            <w:r w:rsidR="002F725E" w:rsidRPr="002F725E">
              <w:rPr>
                <w:rStyle w:val="Hyperlink"/>
                <w:rFonts w:asciiTheme="majorHAnsi" w:hAnsiTheme="majorHAnsi" w:cstheme="majorHAnsi"/>
                <w:noProof/>
                <w:sz w:val="24"/>
                <w:szCs w:val="24"/>
              </w:rPr>
              <w:t>Multi-collinearity Test</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_Toc78205809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46</w:t>
            </w:r>
            <w:r w:rsidR="002F725E" w:rsidRPr="002F725E">
              <w:rPr>
                <w:rFonts w:asciiTheme="majorHAnsi" w:hAnsiTheme="majorHAnsi" w:cstheme="majorHAnsi"/>
                <w:noProof/>
                <w:webHidden/>
                <w:sz w:val="24"/>
                <w:szCs w:val="24"/>
              </w:rPr>
              <w:fldChar w:fldCharType="end"/>
            </w:r>
          </w:hyperlink>
        </w:p>
        <w:p w14:paraId="210C443C" w14:textId="077560BF"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10" w:history="1">
            <w:r w:rsidR="002F725E" w:rsidRPr="002F725E">
              <w:rPr>
                <w:rStyle w:val="Hyperlink"/>
                <w:rFonts w:asciiTheme="majorHAnsi" w:hAnsiTheme="majorHAnsi" w:cstheme="majorHAnsi"/>
                <w:noProof/>
                <w:sz w:val="24"/>
                <w:szCs w:val="24"/>
              </w:rPr>
              <w:t>Correlation Analysis</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_Toc78205810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46</w:t>
            </w:r>
            <w:r w:rsidR="002F725E" w:rsidRPr="002F725E">
              <w:rPr>
                <w:rFonts w:asciiTheme="majorHAnsi" w:hAnsiTheme="majorHAnsi" w:cstheme="majorHAnsi"/>
                <w:noProof/>
                <w:webHidden/>
                <w:sz w:val="24"/>
                <w:szCs w:val="24"/>
              </w:rPr>
              <w:fldChar w:fldCharType="end"/>
            </w:r>
          </w:hyperlink>
        </w:p>
        <w:p w14:paraId="6EA27EF8" w14:textId="43F27F8F"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11" w:history="1">
            <w:r w:rsidR="002F725E" w:rsidRPr="002F725E">
              <w:rPr>
                <w:rStyle w:val="Hyperlink"/>
                <w:rFonts w:asciiTheme="majorHAnsi" w:hAnsiTheme="majorHAnsi" w:cstheme="majorHAnsi"/>
                <w:noProof/>
                <w:sz w:val="24"/>
                <w:szCs w:val="24"/>
              </w:rPr>
              <w:t>Regression Analysis</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_Toc78205811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48</w:t>
            </w:r>
            <w:r w:rsidR="002F725E" w:rsidRPr="002F725E">
              <w:rPr>
                <w:rFonts w:asciiTheme="majorHAnsi" w:hAnsiTheme="majorHAnsi" w:cstheme="majorHAnsi"/>
                <w:noProof/>
                <w:webHidden/>
                <w:sz w:val="24"/>
                <w:szCs w:val="24"/>
              </w:rPr>
              <w:fldChar w:fldCharType="end"/>
            </w:r>
          </w:hyperlink>
        </w:p>
        <w:p w14:paraId="6AEDF3BE" w14:textId="79BF3D68"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12" w:history="1">
            <w:r w:rsidR="002F725E" w:rsidRPr="002F725E">
              <w:rPr>
                <w:rStyle w:val="Hyperlink"/>
                <w:rFonts w:asciiTheme="majorHAnsi" w:hAnsiTheme="majorHAnsi" w:cstheme="majorHAnsi"/>
                <w:noProof/>
                <w:sz w:val="24"/>
                <w:szCs w:val="24"/>
              </w:rPr>
              <w:t>Analysis of Variance (ANOVA)</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_Toc78205812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49</w:t>
            </w:r>
            <w:r w:rsidR="002F725E" w:rsidRPr="002F725E">
              <w:rPr>
                <w:rFonts w:asciiTheme="majorHAnsi" w:hAnsiTheme="majorHAnsi" w:cstheme="majorHAnsi"/>
                <w:noProof/>
                <w:webHidden/>
                <w:sz w:val="24"/>
                <w:szCs w:val="24"/>
              </w:rPr>
              <w:fldChar w:fldCharType="end"/>
            </w:r>
          </w:hyperlink>
        </w:p>
        <w:p w14:paraId="45AC9F68" w14:textId="7D6C97E3"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13" w:history="1">
            <w:r w:rsidR="002F725E" w:rsidRPr="002F725E">
              <w:rPr>
                <w:rStyle w:val="Hyperlink"/>
                <w:rFonts w:asciiTheme="majorHAnsi" w:hAnsiTheme="majorHAnsi" w:cstheme="majorHAnsi"/>
                <w:noProof/>
                <w:sz w:val="24"/>
                <w:szCs w:val="24"/>
              </w:rPr>
              <w:t>Coefficients</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_Toc78205813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50</w:t>
            </w:r>
            <w:r w:rsidR="002F725E" w:rsidRPr="002F725E">
              <w:rPr>
                <w:rFonts w:asciiTheme="majorHAnsi" w:hAnsiTheme="majorHAnsi" w:cstheme="majorHAnsi"/>
                <w:noProof/>
                <w:webHidden/>
                <w:sz w:val="24"/>
                <w:szCs w:val="24"/>
              </w:rPr>
              <w:fldChar w:fldCharType="end"/>
            </w:r>
          </w:hyperlink>
        </w:p>
        <w:p w14:paraId="0A6C3B77" w14:textId="6B38603D"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14" w:history="1">
            <w:r w:rsidR="002F725E" w:rsidRPr="002F725E">
              <w:rPr>
                <w:rStyle w:val="Hyperlink"/>
                <w:rFonts w:asciiTheme="majorHAnsi" w:hAnsiTheme="majorHAnsi" w:cstheme="majorHAnsi"/>
                <w:noProof/>
                <w:sz w:val="24"/>
                <w:szCs w:val="24"/>
              </w:rPr>
              <w:t>Estimated Model Coefficients</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_Toc78205814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51</w:t>
            </w:r>
            <w:r w:rsidR="002F725E" w:rsidRPr="002F725E">
              <w:rPr>
                <w:rFonts w:asciiTheme="majorHAnsi" w:hAnsiTheme="majorHAnsi" w:cstheme="majorHAnsi"/>
                <w:noProof/>
                <w:webHidden/>
                <w:sz w:val="24"/>
                <w:szCs w:val="24"/>
              </w:rPr>
              <w:fldChar w:fldCharType="end"/>
            </w:r>
          </w:hyperlink>
        </w:p>
        <w:p w14:paraId="7532002C" w14:textId="64D8F2C6"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15" w:history="1">
            <w:r w:rsidR="002F725E" w:rsidRPr="002F725E">
              <w:rPr>
                <w:rStyle w:val="Hyperlink"/>
                <w:rFonts w:asciiTheme="majorHAnsi" w:hAnsiTheme="majorHAnsi" w:cstheme="majorHAnsi"/>
                <w:noProof/>
                <w:sz w:val="24"/>
                <w:szCs w:val="24"/>
              </w:rPr>
              <w:t>Discussion of the findings</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_Toc78205815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52</w:t>
            </w:r>
            <w:r w:rsidR="002F725E" w:rsidRPr="002F725E">
              <w:rPr>
                <w:rFonts w:asciiTheme="majorHAnsi" w:hAnsiTheme="majorHAnsi" w:cstheme="majorHAnsi"/>
                <w:noProof/>
                <w:webHidden/>
                <w:sz w:val="24"/>
                <w:szCs w:val="24"/>
              </w:rPr>
              <w:fldChar w:fldCharType="end"/>
            </w:r>
          </w:hyperlink>
        </w:p>
        <w:p w14:paraId="1A3D7DD1" w14:textId="401A1707"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16" w:history="1">
            <w:r w:rsidR="002F725E" w:rsidRPr="002F725E">
              <w:rPr>
                <w:rStyle w:val="Hyperlink"/>
                <w:rFonts w:asciiTheme="majorHAnsi" w:hAnsiTheme="majorHAnsi" w:cstheme="majorHAnsi"/>
                <w:noProof/>
                <w:sz w:val="24"/>
                <w:szCs w:val="24"/>
              </w:rPr>
              <w:t>The level of solvency</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_Toc78205816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52</w:t>
            </w:r>
            <w:r w:rsidR="002F725E" w:rsidRPr="002F725E">
              <w:rPr>
                <w:rFonts w:asciiTheme="majorHAnsi" w:hAnsiTheme="majorHAnsi" w:cstheme="majorHAnsi"/>
                <w:noProof/>
                <w:webHidden/>
                <w:sz w:val="24"/>
                <w:szCs w:val="24"/>
              </w:rPr>
              <w:fldChar w:fldCharType="end"/>
            </w:r>
          </w:hyperlink>
        </w:p>
        <w:p w14:paraId="441068B5" w14:textId="34E97E2F"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17" w:history="1">
            <w:r w:rsidR="002F725E" w:rsidRPr="002F725E">
              <w:rPr>
                <w:rStyle w:val="Hyperlink"/>
                <w:rFonts w:asciiTheme="majorHAnsi" w:hAnsiTheme="majorHAnsi" w:cstheme="majorHAnsi"/>
                <w:noProof/>
                <w:sz w:val="24"/>
                <w:szCs w:val="24"/>
              </w:rPr>
              <w:t>The level of profitability</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_Toc78205817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53</w:t>
            </w:r>
            <w:r w:rsidR="002F725E" w:rsidRPr="002F725E">
              <w:rPr>
                <w:rFonts w:asciiTheme="majorHAnsi" w:hAnsiTheme="majorHAnsi" w:cstheme="majorHAnsi"/>
                <w:noProof/>
                <w:webHidden/>
                <w:sz w:val="24"/>
                <w:szCs w:val="24"/>
              </w:rPr>
              <w:fldChar w:fldCharType="end"/>
            </w:r>
          </w:hyperlink>
        </w:p>
        <w:p w14:paraId="448DC0EB" w14:textId="533F0260"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18" w:history="1">
            <w:r w:rsidR="002F725E" w:rsidRPr="002F725E">
              <w:rPr>
                <w:rStyle w:val="Hyperlink"/>
                <w:rFonts w:asciiTheme="majorHAnsi" w:hAnsiTheme="majorHAnsi" w:cstheme="majorHAnsi"/>
                <w:noProof/>
                <w:sz w:val="24"/>
                <w:szCs w:val="24"/>
              </w:rPr>
              <w:t>The relationship between solvency and profitability.</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_Toc78205818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53</w:t>
            </w:r>
            <w:r w:rsidR="002F725E" w:rsidRPr="002F725E">
              <w:rPr>
                <w:rFonts w:asciiTheme="majorHAnsi" w:hAnsiTheme="majorHAnsi" w:cstheme="majorHAnsi"/>
                <w:noProof/>
                <w:webHidden/>
                <w:sz w:val="24"/>
                <w:szCs w:val="24"/>
              </w:rPr>
              <w:fldChar w:fldCharType="end"/>
            </w:r>
          </w:hyperlink>
        </w:p>
        <w:p w14:paraId="0D2ED70F" w14:textId="6F673E30"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19" w:history="1">
            <w:r w:rsidR="002F725E" w:rsidRPr="002F725E">
              <w:rPr>
                <w:rStyle w:val="Hyperlink"/>
                <w:rFonts w:asciiTheme="majorHAnsi" w:hAnsiTheme="majorHAnsi" w:cstheme="majorHAnsi"/>
                <w:noProof/>
                <w:sz w:val="24"/>
                <w:szCs w:val="24"/>
              </w:rPr>
              <w:t>Test of hypothesis</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_Toc78205819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54</w:t>
            </w:r>
            <w:r w:rsidR="002F725E" w:rsidRPr="002F725E">
              <w:rPr>
                <w:rFonts w:asciiTheme="majorHAnsi" w:hAnsiTheme="majorHAnsi" w:cstheme="majorHAnsi"/>
                <w:noProof/>
                <w:webHidden/>
                <w:sz w:val="24"/>
                <w:szCs w:val="24"/>
              </w:rPr>
              <w:fldChar w:fldCharType="end"/>
            </w:r>
          </w:hyperlink>
        </w:p>
        <w:p w14:paraId="58FD0C33" w14:textId="7672B7BB" w:rsidR="002F725E" w:rsidRPr="002F725E" w:rsidRDefault="00A759F2">
          <w:pPr>
            <w:pStyle w:val="TOC1"/>
            <w:rPr>
              <w:rFonts w:asciiTheme="majorHAnsi" w:eastAsiaTheme="minorEastAsia" w:hAnsiTheme="majorHAnsi" w:cstheme="majorHAnsi"/>
              <w:sz w:val="24"/>
              <w:szCs w:val="24"/>
            </w:rPr>
          </w:pPr>
          <w:hyperlink w:anchor="_Toc78205820" w:history="1">
            <w:r w:rsidR="002F725E" w:rsidRPr="002F725E">
              <w:rPr>
                <w:rStyle w:val="Hyperlink"/>
                <w:rFonts w:asciiTheme="majorHAnsi" w:hAnsiTheme="majorHAnsi" w:cstheme="majorHAnsi"/>
                <w:sz w:val="24"/>
                <w:szCs w:val="24"/>
              </w:rPr>
              <w:t>CHAPTER FIVE</w:t>
            </w:r>
            <w:r w:rsidR="002F725E" w:rsidRPr="002F725E">
              <w:rPr>
                <w:rFonts w:asciiTheme="majorHAnsi" w:hAnsiTheme="majorHAnsi" w:cstheme="majorHAnsi"/>
                <w:webHidden/>
                <w:sz w:val="24"/>
                <w:szCs w:val="24"/>
              </w:rPr>
              <w:tab/>
            </w:r>
            <w:r w:rsidR="002F725E" w:rsidRPr="002F725E">
              <w:rPr>
                <w:rFonts w:asciiTheme="majorHAnsi" w:hAnsiTheme="majorHAnsi" w:cstheme="majorHAnsi"/>
                <w:webHidden/>
                <w:sz w:val="24"/>
                <w:szCs w:val="24"/>
              </w:rPr>
              <w:fldChar w:fldCharType="begin"/>
            </w:r>
            <w:r w:rsidR="002F725E" w:rsidRPr="002F725E">
              <w:rPr>
                <w:rFonts w:asciiTheme="majorHAnsi" w:hAnsiTheme="majorHAnsi" w:cstheme="majorHAnsi"/>
                <w:webHidden/>
                <w:sz w:val="24"/>
                <w:szCs w:val="24"/>
              </w:rPr>
              <w:instrText xml:space="preserve"> PAGEREF _Toc78205820 \h </w:instrText>
            </w:r>
            <w:r w:rsidR="002F725E" w:rsidRPr="002F725E">
              <w:rPr>
                <w:rFonts w:asciiTheme="majorHAnsi" w:hAnsiTheme="majorHAnsi" w:cstheme="majorHAnsi"/>
                <w:webHidden/>
                <w:sz w:val="24"/>
                <w:szCs w:val="24"/>
              </w:rPr>
            </w:r>
            <w:r w:rsidR="002F725E" w:rsidRPr="002F725E">
              <w:rPr>
                <w:rFonts w:asciiTheme="majorHAnsi" w:hAnsiTheme="majorHAnsi" w:cstheme="majorHAnsi"/>
                <w:webHidden/>
                <w:sz w:val="24"/>
                <w:szCs w:val="24"/>
              </w:rPr>
              <w:fldChar w:fldCharType="separate"/>
            </w:r>
            <w:r w:rsidR="002F725E" w:rsidRPr="002F725E">
              <w:rPr>
                <w:rFonts w:asciiTheme="majorHAnsi" w:hAnsiTheme="majorHAnsi" w:cstheme="majorHAnsi"/>
                <w:webHidden/>
                <w:sz w:val="24"/>
                <w:szCs w:val="24"/>
              </w:rPr>
              <w:t>55</w:t>
            </w:r>
            <w:r w:rsidR="002F725E" w:rsidRPr="002F725E">
              <w:rPr>
                <w:rFonts w:asciiTheme="majorHAnsi" w:hAnsiTheme="majorHAnsi" w:cstheme="majorHAnsi"/>
                <w:webHidden/>
                <w:sz w:val="24"/>
                <w:szCs w:val="24"/>
              </w:rPr>
              <w:fldChar w:fldCharType="end"/>
            </w:r>
          </w:hyperlink>
        </w:p>
        <w:p w14:paraId="7EC9F1BE" w14:textId="41A093A3" w:rsidR="002F725E" w:rsidRPr="002F725E" w:rsidRDefault="00A759F2">
          <w:pPr>
            <w:pStyle w:val="TOC1"/>
            <w:rPr>
              <w:rFonts w:asciiTheme="majorHAnsi" w:eastAsiaTheme="minorEastAsia" w:hAnsiTheme="majorHAnsi" w:cstheme="majorHAnsi"/>
              <w:sz w:val="24"/>
              <w:szCs w:val="24"/>
            </w:rPr>
          </w:pPr>
          <w:hyperlink w:anchor="_Toc78205821" w:history="1">
            <w:r w:rsidR="002F725E" w:rsidRPr="002F725E">
              <w:rPr>
                <w:rStyle w:val="Hyperlink"/>
                <w:rFonts w:asciiTheme="majorHAnsi" w:hAnsiTheme="majorHAnsi" w:cstheme="majorHAnsi"/>
                <w:sz w:val="24"/>
                <w:szCs w:val="24"/>
              </w:rPr>
              <w:t>SUMMARY, CONCLUSIONS AND RECOMMENDATIONS</w:t>
            </w:r>
            <w:r w:rsidR="002F725E" w:rsidRPr="002F725E">
              <w:rPr>
                <w:rFonts w:asciiTheme="majorHAnsi" w:hAnsiTheme="majorHAnsi" w:cstheme="majorHAnsi"/>
                <w:webHidden/>
                <w:sz w:val="24"/>
                <w:szCs w:val="24"/>
              </w:rPr>
              <w:tab/>
            </w:r>
            <w:r w:rsidR="002F725E" w:rsidRPr="002F725E">
              <w:rPr>
                <w:rFonts w:asciiTheme="majorHAnsi" w:hAnsiTheme="majorHAnsi" w:cstheme="majorHAnsi"/>
                <w:webHidden/>
                <w:sz w:val="24"/>
                <w:szCs w:val="24"/>
              </w:rPr>
              <w:fldChar w:fldCharType="begin"/>
            </w:r>
            <w:r w:rsidR="002F725E" w:rsidRPr="002F725E">
              <w:rPr>
                <w:rFonts w:asciiTheme="majorHAnsi" w:hAnsiTheme="majorHAnsi" w:cstheme="majorHAnsi"/>
                <w:webHidden/>
                <w:sz w:val="24"/>
                <w:szCs w:val="24"/>
              </w:rPr>
              <w:instrText xml:space="preserve"> PAGEREF _Toc78205821 \h </w:instrText>
            </w:r>
            <w:r w:rsidR="002F725E" w:rsidRPr="002F725E">
              <w:rPr>
                <w:rFonts w:asciiTheme="majorHAnsi" w:hAnsiTheme="majorHAnsi" w:cstheme="majorHAnsi"/>
                <w:webHidden/>
                <w:sz w:val="24"/>
                <w:szCs w:val="24"/>
              </w:rPr>
            </w:r>
            <w:r w:rsidR="002F725E" w:rsidRPr="002F725E">
              <w:rPr>
                <w:rFonts w:asciiTheme="majorHAnsi" w:hAnsiTheme="majorHAnsi" w:cstheme="majorHAnsi"/>
                <w:webHidden/>
                <w:sz w:val="24"/>
                <w:szCs w:val="24"/>
              </w:rPr>
              <w:fldChar w:fldCharType="separate"/>
            </w:r>
            <w:r w:rsidR="002F725E" w:rsidRPr="002F725E">
              <w:rPr>
                <w:rFonts w:asciiTheme="majorHAnsi" w:hAnsiTheme="majorHAnsi" w:cstheme="majorHAnsi"/>
                <w:webHidden/>
                <w:sz w:val="24"/>
                <w:szCs w:val="24"/>
              </w:rPr>
              <w:t>55</w:t>
            </w:r>
            <w:r w:rsidR="002F725E" w:rsidRPr="002F725E">
              <w:rPr>
                <w:rFonts w:asciiTheme="majorHAnsi" w:hAnsiTheme="majorHAnsi" w:cstheme="majorHAnsi"/>
                <w:webHidden/>
                <w:sz w:val="24"/>
                <w:szCs w:val="24"/>
              </w:rPr>
              <w:fldChar w:fldCharType="end"/>
            </w:r>
          </w:hyperlink>
        </w:p>
        <w:p w14:paraId="244BF179" w14:textId="68CF5727"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22" w:history="1">
            <w:r w:rsidR="002F725E" w:rsidRPr="002F725E">
              <w:rPr>
                <w:rStyle w:val="Hyperlink"/>
                <w:rFonts w:asciiTheme="majorHAnsi" w:hAnsiTheme="majorHAnsi" w:cstheme="majorHAnsi"/>
                <w:noProof/>
                <w:sz w:val="24"/>
                <w:szCs w:val="24"/>
              </w:rPr>
              <w:t>Introduction</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_Toc78205822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55</w:t>
            </w:r>
            <w:r w:rsidR="002F725E" w:rsidRPr="002F725E">
              <w:rPr>
                <w:rFonts w:asciiTheme="majorHAnsi" w:hAnsiTheme="majorHAnsi" w:cstheme="majorHAnsi"/>
                <w:noProof/>
                <w:webHidden/>
                <w:sz w:val="24"/>
                <w:szCs w:val="24"/>
              </w:rPr>
              <w:fldChar w:fldCharType="end"/>
            </w:r>
          </w:hyperlink>
        </w:p>
        <w:p w14:paraId="107B74B8" w14:textId="22C95BEC"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23" w:history="1">
            <w:r w:rsidR="002F725E" w:rsidRPr="002F725E">
              <w:rPr>
                <w:rStyle w:val="Hyperlink"/>
                <w:rFonts w:asciiTheme="majorHAnsi" w:hAnsiTheme="majorHAnsi" w:cstheme="majorHAnsi"/>
                <w:noProof/>
                <w:sz w:val="24"/>
                <w:szCs w:val="24"/>
              </w:rPr>
              <w:t>The Summary</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_Toc78205823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55</w:t>
            </w:r>
            <w:r w:rsidR="002F725E" w:rsidRPr="002F725E">
              <w:rPr>
                <w:rFonts w:asciiTheme="majorHAnsi" w:hAnsiTheme="majorHAnsi" w:cstheme="majorHAnsi"/>
                <w:noProof/>
                <w:webHidden/>
                <w:sz w:val="24"/>
                <w:szCs w:val="24"/>
              </w:rPr>
              <w:fldChar w:fldCharType="end"/>
            </w:r>
          </w:hyperlink>
        </w:p>
        <w:p w14:paraId="6B396E70" w14:textId="778410FF"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24" w:history="1">
            <w:r w:rsidR="002F725E" w:rsidRPr="002F725E">
              <w:rPr>
                <w:rStyle w:val="Hyperlink"/>
                <w:rFonts w:asciiTheme="majorHAnsi" w:hAnsiTheme="majorHAnsi" w:cstheme="majorHAnsi"/>
                <w:noProof/>
                <w:sz w:val="24"/>
                <w:szCs w:val="24"/>
              </w:rPr>
              <w:t>Conclusion</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_Toc78205824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57</w:t>
            </w:r>
            <w:r w:rsidR="002F725E" w:rsidRPr="002F725E">
              <w:rPr>
                <w:rFonts w:asciiTheme="majorHAnsi" w:hAnsiTheme="majorHAnsi" w:cstheme="majorHAnsi"/>
                <w:noProof/>
                <w:webHidden/>
                <w:sz w:val="24"/>
                <w:szCs w:val="24"/>
              </w:rPr>
              <w:fldChar w:fldCharType="end"/>
            </w:r>
          </w:hyperlink>
        </w:p>
        <w:p w14:paraId="154EB65A" w14:textId="6B23C562"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25" w:history="1">
            <w:r w:rsidR="002F725E" w:rsidRPr="002F725E">
              <w:rPr>
                <w:rStyle w:val="Hyperlink"/>
                <w:rFonts w:asciiTheme="majorHAnsi" w:hAnsiTheme="majorHAnsi" w:cstheme="majorHAnsi"/>
                <w:noProof/>
                <w:sz w:val="24"/>
                <w:szCs w:val="24"/>
              </w:rPr>
              <w:t>Recommendations</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_Toc78205825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58</w:t>
            </w:r>
            <w:r w:rsidR="002F725E" w:rsidRPr="002F725E">
              <w:rPr>
                <w:rFonts w:asciiTheme="majorHAnsi" w:hAnsiTheme="majorHAnsi" w:cstheme="majorHAnsi"/>
                <w:noProof/>
                <w:webHidden/>
                <w:sz w:val="24"/>
                <w:szCs w:val="24"/>
              </w:rPr>
              <w:fldChar w:fldCharType="end"/>
            </w:r>
          </w:hyperlink>
        </w:p>
        <w:p w14:paraId="07B65152" w14:textId="10EFD587"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26" w:history="1">
            <w:r w:rsidR="002F725E" w:rsidRPr="002F725E">
              <w:rPr>
                <w:rStyle w:val="Hyperlink"/>
                <w:rFonts w:asciiTheme="majorHAnsi" w:hAnsiTheme="majorHAnsi" w:cstheme="majorHAnsi"/>
                <w:noProof/>
                <w:sz w:val="24"/>
                <w:szCs w:val="24"/>
              </w:rPr>
              <w:t>Specific recommendations</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_Toc78205826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58</w:t>
            </w:r>
            <w:r w:rsidR="002F725E" w:rsidRPr="002F725E">
              <w:rPr>
                <w:rFonts w:asciiTheme="majorHAnsi" w:hAnsiTheme="majorHAnsi" w:cstheme="majorHAnsi"/>
                <w:noProof/>
                <w:webHidden/>
                <w:sz w:val="24"/>
                <w:szCs w:val="24"/>
              </w:rPr>
              <w:fldChar w:fldCharType="end"/>
            </w:r>
          </w:hyperlink>
        </w:p>
        <w:p w14:paraId="785A7A39" w14:textId="35386507"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27" w:history="1">
            <w:r w:rsidR="002F725E" w:rsidRPr="002F725E">
              <w:rPr>
                <w:rStyle w:val="Hyperlink"/>
                <w:rFonts w:asciiTheme="majorHAnsi" w:hAnsiTheme="majorHAnsi" w:cstheme="majorHAnsi"/>
                <w:noProof/>
                <w:sz w:val="24"/>
                <w:szCs w:val="24"/>
              </w:rPr>
              <w:t>Limitations of the Study</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_Toc78205827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59</w:t>
            </w:r>
            <w:r w:rsidR="002F725E" w:rsidRPr="002F725E">
              <w:rPr>
                <w:rFonts w:asciiTheme="majorHAnsi" w:hAnsiTheme="majorHAnsi" w:cstheme="majorHAnsi"/>
                <w:noProof/>
                <w:webHidden/>
                <w:sz w:val="24"/>
                <w:szCs w:val="24"/>
              </w:rPr>
              <w:fldChar w:fldCharType="end"/>
            </w:r>
          </w:hyperlink>
        </w:p>
        <w:p w14:paraId="420FC8D4" w14:textId="338B5B83"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28" w:history="1">
            <w:r w:rsidR="002F725E" w:rsidRPr="002F725E">
              <w:rPr>
                <w:rStyle w:val="Hyperlink"/>
                <w:rFonts w:asciiTheme="majorHAnsi" w:hAnsiTheme="majorHAnsi" w:cstheme="majorHAnsi"/>
                <w:noProof/>
                <w:sz w:val="24"/>
                <w:szCs w:val="24"/>
              </w:rPr>
              <w:t>Recommendations for further study</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_Toc78205828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59</w:t>
            </w:r>
            <w:r w:rsidR="002F725E" w:rsidRPr="002F725E">
              <w:rPr>
                <w:rFonts w:asciiTheme="majorHAnsi" w:hAnsiTheme="majorHAnsi" w:cstheme="majorHAnsi"/>
                <w:noProof/>
                <w:webHidden/>
                <w:sz w:val="24"/>
                <w:szCs w:val="24"/>
              </w:rPr>
              <w:fldChar w:fldCharType="end"/>
            </w:r>
          </w:hyperlink>
        </w:p>
        <w:p w14:paraId="72984B0C" w14:textId="1D17066B" w:rsidR="002F725E" w:rsidRPr="002F725E" w:rsidRDefault="00A759F2">
          <w:pPr>
            <w:pStyle w:val="TOC1"/>
            <w:rPr>
              <w:rFonts w:asciiTheme="majorHAnsi" w:eastAsiaTheme="minorEastAsia" w:hAnsiTheme="majorHAnsi" w:cstheme="majorHAnsi"/>
              <w:sz w:val="24"/>
              <w:szCs w:val="24"/>
            </w:rPr>
          </w:pPr>
          <w:hyperlink w:anchor="_Toc78205829" w:history="1">
            <w:r w:rsidR="002F725E" w:rsidRPr="002F725E">
              <w:rPr>
                <w:rStyle w:val="Hyperlink"/>
                <w:rFonts w:asciiTheme="majorHAnsi" w:hAnsiTheme="majorHAnsi" w:cstheme="majorHAnsi"/>
                <w:sz w:val="24"/>
                <w:szCs w:val="24"/>
              </w:rPr>
              <w:t>REFERENCES</w:t>
            </w:r>
            <w:r w:rsidR="002F725E" w:rsidRPr="002F725E">
              <w:rPr>
                <w:rFonts w:asciiTheme="majorHAnsi" w:hAnsiTheme="majorHAnsi" w:cstheme="majorHAnsi"/>
                <w:webHidden/>
                <w:sz w:val="24"/>
                <w:szCs w:val="24"/>
              </w:rPr>
              <w:tab/>
            </w:r>
            <w:r w:rsidR="002F725E" w:rsidRPr="002F725E">
              <w:rPr>
                <w:rFonts w:asciiTheme="majorHAnsi" w:hAnsiTheme="majorHAnsi" w:cstheme="majorHAnsi"/>
                <w:webHidden/>
                <w:sz w:val="24"/>
                <w:szCs w:val="24"/>
              </w:rPr>
              <w:fldChar w:fldCharType="begin"/>
            </w:r>
            <w:r w:rsidR="002F725E" w:rsidRPr="002F725E">
              <w:rPr>
                <w:rFonts w:asciiTheme="majorHAnsi" w:hAnsiTheme="majorHAnsi" w:cstheme="majorHAnsi"/>
                <w:webHidden/>
                <w:sz w:val="24"/>
                <w:szCs w:val="24"/>
              </w:rPr>
              <w:instrText xml:space="preserve"> PAGEREF _Toc78205829 \h </w:instrText>
            </w:r>
            <w:r w:rsidR="002F725E" w:rsidRPr="002F725E">
              <w:rPr>
                <w:rFonts w:asciiTheme="majorHAnsi" w:hAnsiTheme="majorHAnsi" w:cstheme="majorHAnsi"/>
                <w:webHidden/>
                <w:sz w:val="24"/>
                <w:szCs w:val="24"/>
              </w:rPr>
            </w:r>
            <w:r w:rsidR="002F725E" w:rsidRPr="002F725E">
              <w:rPr>
                <w:rFonts w:asciiTheme="majorHAnsi" w:hAnsiTheme="majorHAnsi" w:cstheme="majorHAnsi"/>
                <w:webHidden/>
                <w:sz w:val="24"/>
                <w:szCs w:val="24"/>
              </w:rPr>
              <w:fldChar w:fldCharType="separate"/>
            </w:r>
            <w:r w:rsidR="002F725E" w:rsidRPr="002F725E">
              <w:rPr>
                <w:rFonts w:asciiTheme="majorHAnsi" w:hAnsiTheme="majorHAnsi" w:cstheme="majorHAnsi"/>
                <w:webHidden/>
                <w:sz w:val="24"/>
                <w:szCs w:val="24"/>
              </w:rPr>
              <w:t>61</w:t>
            </w:r>
            <w:r w:rsidR="002F725E" w:rsidRPr="002F725E">
              <w:rPr>
                <w:rFonts w:asciiTheme="majorHAnsi" w:hAnsiTheme="majorHAnsi" w:cstheme="majorHAnsi"/>
                <w:webHidden/>
                <w:sz w:val="24"/>
                <w:szCs w:val="24"/>
              </w:rPr>
              <w:fldChar w:fldCharType="end"/>
            </w:r>
          </w:hyperlink>
        </w:p>
        <w:p w14:paraId="578409FD" w14:textId="6F143106" w:rsidR="002F725E" w:rsidRPr="002F725E" w:rsidRDefault="00A759F2">
          <w:pPr>
            <w:pStyle w:val="TOC1"/>
            <w:rPr>
              <w:rFonts w:asciiTheme="majorHAnsi" w:eastAsiaTheme="minorEastAsia" w:hAnsiTheme="majorHAnsi" w:cstheme="majorHAnsi"/>
              <w:sz w:val="24"/>
              <w:szCs w:val="24"/>
            </w:rPr>
          </w:pPr>
          <w:hyperlink w:anchor="_Toc78205830" w:history="1">
            <w:r w:rsidR="002F725E" w:rsidRPr="002F725E">
              <w:rPr>
                <w:rStyle w:val="Hyperlink"/>
                <w:rFonts w:asciiTheme="majorHAnsi" w:hAnsiTheme="majorHAnsi" w:cstheme="majorHAnsi"/>
                <w:sz w:val="24"/>
                <w:szCs w:val="24"/>
              </w:rPr>
              <w:t>APPENDICES</w:t>
            </w:r>
            <w:r w:rsidR="002F725E" w:rsidRPr="002F725E">
              <w:rPr>
                <w:rFonts w:asciiTheme="majorHAnsi" w:hAnsiTheme="majorHAnsi" w:cstheme="majorHAnsi"/>
                <w:webHidden/>
                <w:sz w:val="24"/>
                <w:szCs w:val="24"/>
              </w:rPr>
              <w:tab/>
            </w:r>
            <w:r w:rsidR="002F725E" w:rsidRPr="002F725E">
              <w:rPr>
                <w:rFonts w:asciiTheme="majorHAnsi" w:hAnsiTheme="majorHAnsi" w:cstheme="majorHAnsi"/>
                <w:webHidden/>
                <w:sz w:val="24"/>
                <w:szCs w:val="24"/>
              </w:rPr>
              <w:fldChar w:fldCharType="begin"/>
            </w:r>
            <w:r w:rsidR="002F725E" w:rsidRPr="002F725E">
              <w:rPr>
                <w:rFonts w:asciiTheme="majorHAnsi" w:hAnsiTheme="majorHAnsi" w:cstheme="majorHAnsi"/>
                <w:webHidden/>
                <w:sz w:val="24"/>
                <w:szCs w:val="24"/>
              </w:rPr>
              <w:instrText xml:space="preserve"> PAGEREF _Toc78205830 \h </w:instrText>
            </w:r>
            <w:r w:rsidR="002F725E" w:rsidRPr="002F725E">
              <w:rPr>
                <w:rFonts w:asciiTheme="majorHAnsi" w:hAnsiTheme="majorHAnsi" w:cstheme="majorHAnsi"/>
                <w:webHidden/>
                <w:sz w:val="24"/>
                <w:szCs w:val="24"/>
              </w:rPr>
            </w:r>
            <w:r w:rsidR="002F725E" w:rsidRPr="002F725E">
              <w:rPr>
                <w:rFonts w:asciiTheme="majorHAnsi" w:hAnsiTheme="majorHAnsi" w:cstheme="majorHAnsi"/>
                <w:webHidden/>
                <w:sz w:val="24"/>
                <w:szCs w:val="24"/>
              </w:rPr>
              <w:fldChar w:fldCharType="separate"/>
            </w:r>
            <w:r w:rsidR="002F725E" w:rsidRPr="002F725E">
              <w:rPr>
                <w:rFonts w:asciiTheme="majorHAnsi" w:hAnsiTheme="majorHAnsi" w:cstheme="majorHAnsi"/>
                <w:webHidden/>
                <w:sz w:val="24"/>
                <w:szCs w:val="24"/>
              </w:rPr>
              <w:t>73</w:t>
            </w:r>
            <w:r w:rsidR="002F725E" w:rsidRPr="002F725E">
              <w:rPr>
                <w:rFonts w:asciiTheme="majorHAnsi" w:hAnsiTheme="majorHAnsi" w:cstheme="majorHAnsi"/>
                <w:webHidden/>
                <w:sz w:val="24"/>
                <w:szCs w:val="24"/>
              </w:rPr>
              <w:fldChar w:fldCharType="end"/>
            </w:r>
          </w:hyperlink>
        </w:p>
        <w:p w14:paraId="7F8007D9" w14:textId="29297874"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31" w:history="1">
            <w:r w:rsidR="002F725E" w:rsidRPr="002F725E">
              <w:rPr>
                <w:rStyle w:val="Hyperlink"/>
                <w:rFonts w:asciiTheme="majorHAnsi" w:hAnsiTheme="majorHAnsi" w:cstheme="majorHAnsi"/>
                <w:noProof/>
                <w:sz w:val="24"/>
                <w:szCs w:val="24"/>
              </w:rPr>
              <w:t>Appendix 1: List of banks as at 31 Dec, 2020</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_Toc78205831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73</w:t>
            </w:r>
            <w:r w:rsidR="002F725E" w:rsidRPr="002F725E">
              <w:rPr>
                <w:rFonts w:asciiTheme="majorHAnsi" w:hAnsiTheme="majorHAnsi" w:cstheme="majorHAnsi"/>
                <w:noProof/>
                <w:webHidden/>
                <w:sz w:val="24"/>
                <w:szCs w:val="24"/>
              </w:rPr>
              <w:fldChar w:fldCharType="end"/>
            </w:r>
          </w:hyperlink>
        </w:p>
        <w:p w14:paraId="6DBA00F9" w14:textId="6E4F96F5"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32" w:history="1">
            <w:r w:rsidR="002F725E" w:rsidRPr="002F725E">
              <w:rPr>
                <w:rStyle w:val="Hyperlink"/>
                <w:rFonts w:asciiTheme="majorHAnsi" w:hAnsiTheme="majorHAnsi" w:cstheme="majorHAnsi"/>
                <w:noProof/>
                <w:sz w:val="24"/>
                <w:szCs w:val="24"/>
              </w:rPr>
              <w:t>Appendix 2: Banks which have consistently published from 2011-2020</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_Toc78205832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75</w:t>
            </w:r>
            <w:r w:rsidR="002F725E" w:rsidRPr="002F725E">
              <w:rPr>
                <w:rFonts w:asciiTheme="majorHAnsi" w:hAnsiTheme="majorHAnsi" w:cstheme="majorHAnsi"/>
                <w:noProof/>
                <w:webHidden/>
                <w:sz w:val="24"/>
                <w:szCs w:val="24"/>
              </w:rPr>
              <w:fldChar w:fldCharType="end"/>
            </w:r>
          </w:hyperlink>
        </w:p>
        <w:p w14:paraId="13C43517" w14:textId="312350EF"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33" w:history="1">
            <w:r w:rsidR="002F725E" w:rsidRPr="002F725E">
              <w:rPr>
                <w:rStyle w:val="Hyperlink"/>
                <w:rFonts w:asciiTheme="majorHAnsi" w:hAnsiTheme="majorHAnsi" w:cstheme="majorHAnsi"/>
                <w:bCs/>
                <w:noProof/>
                <w:sz w:val="24"/>
                <w:szCs w:val="24"/>
              </w:rPr>
              <w:t>Appendix 3</w:t>
            </w:r>
            <w:r w:rsidR="002F725E" w:rsidRPr="002F725E">
              <w:rPr>
                <w:rStyle w:val="Hyperlink"/>
                <w:rFonts w:asciiTheme="majorHAnsi" w:hAnsiTheme="majorHAnsi" w:cstheme="majorHAnsi"/>
                <w:noProof/>
                <w:sz w:val="24"/>
                <w:szCs w:val="24"/>
              </w:rPr>
              <w:t>: Secondary data collection tool</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_Toc78205833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76</w:t>
            </w:r>
            <w:r w:rsidR="002F725E" w:rsidRPr="002F725E">
              <w:rPr>
                <w:rFonts w:asciiTheme="majorHAnsi" w:hAnsiTheme="majorHAnsi" w:cstheme="majorHAnsi"/>
                <w:noProof/>
                <w:webHidden/>
                <w:sz w:val="24"/>
                <w:szCs w:val="24"/>
              </w:rPr>
              <w:fldChar w:fldCharType="end"/>
            </w:r>
          </w:hyperlink>
        </w:p>
        <w:p w14:paraId="693564BB" w14:textId="1E65FD52"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34" w:history="1">
            <w:r w:rsidR="002F725E" w:rsidRPr="002F725E">
              <w:rPr>
                <w:rStyle w:val="Hyperlink"/>
                <w:rFonts w:asciiTheme="majorHAnsi" w:hAnsiTheme="majorHAnsi" w:cstheme="majorHAnsi"/>
                <w:bCs/>
                <w:noProof/>
                <w:sz w:val="24"/>
                <w:szCs w:val="24"/>
              </w:rPr>
              <w:t>Appendix 4: Time table</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_Toc78205834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77</w:t>
            </w:r>
            <w:r w:rsidR="002F725E" w:rsidRPr="002F725E">
              <w:rPr>
                <w:rFonts w:asciiTheme="majorHAnsi" w:hAnsiTheme="majorHAnsi" w:cstheme="majorHAnsi"/>
                <w:noProof/>
                <w:webHidden/>
                <w:sz w:val="24"/>
                <w:szCs w:val="24"/>
              </w:rPr>
              <w:fldChar w:fldCharType="end"/>
            </w:r>
          </w:hyperlink>
        </w:p>
        <w:p w14:paraId="40664EAC" w14:textId="038A52F7"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35" w:history="1">
            <w:r w:rsidR="002F725E" w:rsidRPr="002F725E">
              <w:rPr>
                <w:rStyle w:val="Hyperlink"/>
                <w:rFonts w:asciiTheme="majorHAnsi" w:hAnsiTheme="majorHAnsi" w:cstheme="majorHAnsi"/>
                <w:bCs/>
                <w:noProof/>
                <w:sz w:val="24"/>
                <w:szCs w:val="24"/>
              </w:rPr>
              <w:t>Appendix 5: Budget</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_Toc78205835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78</w:t>
            </w:r>
            <w:r w:rsidR="002F725E" w:rsidRPr="002F725E">
              <w:rPr>
                <w:rFonts w:asciiTheme="majorHAnsi" w:hAnsiTheme="majorHAnsi" w:cstheme="majorHAnsi"/>
                <w:noProof/>
                <w:webHidden/>
                <w:sz w:val="24"/>
                <w:szCs w:val="24"/>
              </w:rPr>
              <w:fldChar w:fldCharType="end"/>
            </w:r>
          </w:hyperlink>
        </w:p>
        <w:p w14:paraId="2FE4F62D" w14:textId="05319D85"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36" w:history="1">
            <w:r w:rsidR="002F725E" w:rsidRPr="002F725E">
              <w:rPr>
                <w:rStyle w:val="Hyperlink"/>
                <w:rFonts w:asciiTheme="majorHAnsi" w:hAnsiTheme="majorHAnsi" w:cstheme="majorHAnsi"/>
                <w:bCs/>
                <w:noProof/>
                <w:sz w:val="24"/>
                <w:szCs w:val="24"/>
              </w:rPr>
              <w:t>Appendix 6: Curriculum Vitae</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_Toc78205836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79</w:t>
            </w:r>
            <w:r w:rsidR="002F725E" w:rsidRPr="002F725E">
              <w:rPr>
                <w:rFonts w:asciiTheme="majorHAnsi" w:hAnsiTheme="majorHAnsi" w:cstheme="majorHAnsi"/>
                <w:noProof/>
                <w:webHidden/>
                <w:sz w:val="24"/>
                <w:szCs w:val="24"/>
              </w:rPr>
              <w:fldChar w:fldCharType="end"/>
            </w:r>
          </w:hyperlink>
        </w:p>
        <w:p w14:paraId="7DC4E014" w14:textId="54F3F52E"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37" w:history="1">
            <w:r w:rsidR="002F725E" w:rsidRPr="002F725E">
              <w:rPr>
                <w:rStyle w:val="Hyperlink"/>
                <w:rFonts w:asciiTheme="majorHAnsi" w:hAnsiTheme="majorHAnsi" w:cstheme="majorHAnsi"/>
                <w:bCs/>
                <w:noProof/>
                <w:sz w:val="24"/>
                <w:szCs w:val="24"/>
              </w:rPr>
              <w:t>Appendix 7: Research License</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_Toc78205837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82</w:t>
            </w:r>
            <w:r w:rsidR="002F725E" w:rsidRPr="002F725E">
              <w:rPr>
                <w:rFonts w:asciiTheme="majorHAnsi" w:hAnsiTheme="majorHAnsi" w:cstheme="majorHAnsi"/>
                <w:noProof/>
                <w:webHidden/>
                <w:sz w:val="24"/>
                <w:szCs w:val="24"/>
              </w:rPr>
              <w:fldChar w:fldCharType="end"/>
            </w:r>
          </w:hyperlink>
        </w:p>
        <w:p w14:paraId="04D56744" w14:textId="6A585C19" w:rsidR="002F725E" w:rsidRPr="002F725E" w:rsidRDefault="00A759F2">
          <w:pPr>
            <w:pStyle w:val="TOC2"/>
            <w:tabs>
              <w:tab w:val="right" w:leader="dot" w:pos="8630"/>
            </w:tabs>
            <w:rPr>
              <w:rFonts w:asciiTheme="majorHAnsi" w:eastAsiaTheme="minorEastAsia" w:hAnsiTheme="majorHAnsi" w:cstheme="majorHAnsi"/>
              <w:noProof/>
              <w:sz w:val="24"/>
              <w:szCs w:val="24"/>
            </w:rPr>
          </w:pPr>
          <w:hyperlink w:anchor="_Toc78205838" w:history="1">
            <w:r w:rsidR="002F725E" w:rsidRPr="002F725E">
              <w:rPr>
                <w:rStyle w:val="Hyperlink"/>
                <w:rFonts w:asciiTheme="majorHAnsi" w:hAnsiTheme="majorHAnsi" w:cstheme="majorHAnsi"/>
                <w:bCs/>
                <w:noProof/>
                <w:sz w:val="24"/>
                <w:szCs w:val="24"/>
              </w:rPr>
              <w:t>Appendix 8: Approval by UEAB</w:t>
            </w:r>
            <w:r w:rsidR="002F725E" w:rsidRPr="002F725E">
              <w:rPr>
                <w:rFonts w:asciiTheme="majorHAnsi" w:hAnsiTheme="majorHAnsi" w:cstheme="majorHAnsi"/>
                <w:noProof/>
                <w:webHidden/>
                <w:sz w:val="24"/>
                <w:szCs w:val="24"/>
              </w:rPr>
              <w:tab/>
            </w:r>
            <w:r w:rsidR="002F725E" w:rsidRPr="002F725E">
              <w:rPr>
                <w:rFonts w:asciiTheme="majorHAnsi" w:hAnsiTheme="majorHAnsi" w:cstheme="majorHAnsi"/>
                <w:noProof/>
                <w:webHidden/>
                <w:sz w:val="24"/>
                <w:szCs w:val="24"/>
              </w:rPr>
              <w:fldChar w:fldCharType="begin"/>
            </w:r>
            <w:r w:rsidR="002F725E" w:rsidRPr="002F725E">
              <w:rPr>
                <w:rFonts w:asciiTheme="majorHAnsi" w:hAnsiTheme="majorHAnsi" w:cstheme="majorHAnsi"/>
                <w:noProof/>
                <w:webHidden/>
                <w:sz w:val="24"/>
                <w:szCs w:val="24"/>
              </w:rPr>
              <w:instrText xml:space="preserve"> PAGEREF _Toc78205838 \h </w:instrText>
            </w:r>
            <w:r w:rsidR="002F725E" w:rsidRPr="002F725E">
              <w:rPr>
                <w:rFonts w:asciiTheme="majorHAnsi" w:hAnsiTheme="majorHAnsi" w:cstheme="majorHAnsi"/>
                <w:noProof/>
                <w:webHidden/>
                <w:sz w:val="24"/>
                <w:szCs w:val="24"/>
              </w:rPr>
            </w:r>
            <w:r w:rsidR="002F725E" w:rsidRPr="002F725E">
              <w:rPr>
                <w:rFonts w:asciiTheme="majorHAnsi" w:hAnsiTheme="majorHAnsi" w:cstheme="majorHAnsi"/>
                <w:noProof/>
                <w:webHidden/>
                <w:sz w:val="24"/>
                <w:szCs w:val="24"/>
              </w:rPr>
              <w:fldChar w:fldCharType="separate"/>
            </w:r>
            <w:r w:rsidR="002F725E" w:rsidRPr="002F725E">
              <w:rPr>
                <w:rFonts w:asciiTheme="majorHAnsi" w:hAnsiTheme="majorHAnsi" w:cstheme="majorHAnsi"/>
                <w:noProof/>
                <w:webHidden/>
                <w:sz w:val="24"/>
                <w:szCs w:val="24"/>
              </w:rPr>
              <w:t>83</w:t>
            </w:r>
            <w:r w:rsidR="002F725E" w:rsidRPr="002F725E">
              <w:rPr>
                <w:rFonts w:asciiTheme="majorHAnsi" w:hAnsiTheme="majorHAnsi" w:cstheme="majorHAnsi"/>
                <w:noProof/>
                <w:webHidden/>
                <w:sz w:val="24"/>
                <w:szCs w:val="24"/>
              </w:rPr>
              <w:fldChar w:fldCharType="end"/>
            </w:r>
          </w:hyperlink>
        </w:p>
        <w:p w14:paraId="568F5509" w14:textId="09E742E5" w:rsidR="00304421" w:rsidRPr="002F725E" w:rsidRDefault="00304421" w:rsidP="00FD6F7D">
          <w:pPr>
            <w:spacing w:line="480" w:lineRule="auto"/>
            <w:rPr>
              <w:rFonts w:asciiTheme="majorHAnsi" w:hAnsiTheme="majorHAnsi" w:cstheme="majorHAnsi"/>
              <w:sz w:val="24"/>
              <w:szCs w:val="24"/>
            </w:rPr>
          </w:pPr>
          <w:r w:rsidRPr="002F725E">
            <w:rPr>
              <w:rFonts w:asciiTheme="majorHAnsi" w:hAnsiTheme="majorHAnsi" w:cstheme="majorHAnsi"/>
              <w:b/>
              <w:bCs/>
              <w:noProof/>
              <w:sz w:val="24"/>
              <w:szCs w:val="24"/>
            </w:rPr>
            <w:fldChar w:fldCharType="end"/>
          </w:r>
        </w:p>
      </w:sdtContent>
    </w:sdt>
    <w:p w14:paraId="3BF4CEC7" w14:textId="39AD844E" w:rsidR="00F66BAF" w:rsidRPr="00B173B9" w:rsidRDefault="00F66BAF" w:rsidP="00AB63A4">
      <w:pPr>
        <w:spacing w:after="0" w:line="480" w:lineRule="auto"/>
        <w:jc w:val="center"/>
        <w:rPr>
          <w:rFonts w:asciiTheme="majorHAnsi" w:hAnsiTheme="majorHAnsi" w:cstheme="majorHAnsi"/>
          <w:b/>
          <w:sz w:val="24"/>
          <w:szCs w:val="24"/>
        </w:rPr>
      </w:pPr>
    </w:p>
    <w:p w14:paraId="3BAFEE1D" w14:textId="674EA5AD" w:rsidR="00F66BAF" w:rsidRPr="0022305D" w:rsidRDefault="00F66BAF" w:rsidP="00AB63A4">
      <w:pPr>
        <w:spacing w:after="0" w:line="480" w:lineRule="auto"/>
        <w:rPr>
          <w:rFonts w:asciiTheme="majorHAnsi" w:hAnsiTheme="majorHAnsi" w:cstheme="majorHAnsi"/>
          <w:b/>
          <w:sz w:val="24"/>
          <w:szCs w:val="24"/>
        </w:rPr>
      </w:pPr>
    </w:p>
    <w:p w14:paraId="567CB570" w14:textId="6FF0AEEC" w:rsidR="00F66BAF" w:rsidRPr="006603A6" w:rsidRDefault="006603A6" w:rsidP="006603A6">
      <w:pPr>
        <w:pStyle w:val="Heading1"/>
        <w:spacing w:line="480" w:lineRule="auto"/>
        <w:rPr>
          <w:sz w:val="32"/>
          <w:szCs w:val="32"/>
          <w:u w:val="none"/>
        </w:rPr>
      </w:pPr>
      <w:bookmarkStart w:id="8" w:name="_Toc78205765"/>
      <w:r w:rsidRPr="006603A6">
        <w:rPr>
          <w:u w:val="none"/>
        </w:rPr>
        <w:lastRenderedPageBreak/>
        <w:t>LIST OF TABLES</w:t>
      </w:r>
      <w:bookmarkEnd w:id="8"/>
    </w:p>
    <w:p w14:paraId="2E69F9B8" w14:textId="2AAE3CCB" w:rsidR="00392CA8" w:rsidRPr="00392CA8" w:rsidRDefault="00196FE4">
      <w:pPr>
        <w:pStyle w:val="TableofFigures"/>
        <w:tabs>
          <w:tab w:val="right" w:leader="dot" w:pos="8630"/>
        </w:tabs>
        <w:rPr>
          <w:rFonts w:asciiTheme="majorHAnsi" w:eastAsiaTheme="minorEastAsia" w:hAnsiTheme="majorHAnsi" w:cstheme="majorHAnsi"/>
          <w:noProof/>
          <w:sz w:val="24"/>
          <w:szCs w:val="24"/>
        </w:rPr>
      </w:pPr>
      <w:r w:rsidRPr="00864099">
        <w:rPr>
          <w:rFonts w:asciiTheme="majorHAnsi" w:hAnsiTheme="majorHAnsi" w:cstheme="majorHAnsi"/>
          <w:sz w:val="24"/>
          <w:szCs w:val="24"/>
        </w:rPr>
        <w:fldChar w:fldCharType="begin"/>
      </w:r>
      <w:r w:rsidRPr="00864099">
        <w:rPr>
          <w:rFonts w:asciiTheme="majorHAnsi" w:hAnsiTheme="majorHAnsi" w:cstheme="majorHAnsi"/>
          <w:sz w:val="24"/>
          <w:szCs w:val="24"/>
        </w:rPr>
        <w:instrText xml:space="preserve"> TOC \h \z \c "Table" </w:instrText>
      </w:r>
      <w:r w:rsidRPr="00864099">
        <w:rPr>
          <w:rFonts w:asciiTheme="majorHAnsi" w:hAnsiTheme="majorHAnsi" w:cstheme="majorHAnsi"/>
          <w:sz w:val="24"/>
          <w:szCs w:val="24"/>
        </w:rPr>
        <w:fldChar w:fldCharType="separate"/>
      </w:r>
      <w:hyperlink w:anchor="_Toc78205367" w:history="1">
        <w:r w:rsidR="00392CA8" w:rsidRPr="00392CA8">
          <w:rPr>
            <w:rStyle w:val="Hyperlink"/>
            <w:rFonts w:asciiTheme="majorHAnsi" w:hAnsiTheme="majorHAnsi" w:cstheme="majorHAnsi"/>
            <w:noProof/>
            <w:sz w:val="24"/>
            <w:szCs w:val="24"/>
          </w:rPr>
          <w:t>Table 1.0 Average profitability and solvency for the period 2011-2020</w:t>
        </w:r>
        <w:r w:rsidR="00392CA8" w:rsidRPr="00392CA8">
          <w:rPr>
            <w:rFonts w:asciiTheme="majorHAnsi" w:hAnsiTheme="majorHAnsi" w:cstheme="majorHAnsi"/>
            <w:noProof/>
            <w:webHidden/>
            <w:sz w:val="24"/>
            <w:szCs w:val="24"/>
          </w:rPr>
          <w:tab/>
        </w:r>
        <w:r w:rsidR="00392CA8" w:rsidRPr="00392CA8">
          <w:rPr>
            <w:rFonts w:asciiTheme="majorHAnsi" w:hAnsiTheme="majorHAnsi" w:cstheme="majorHAnsi"/>
            <w:noProof/>
            <w:webHidden/>
            <w:sz w:val="24"/>
            <w:szCs w:val="24"/>
          </w:rPr>
          <w:fldChar w:fldCharType="begin"/>
        </w:r>
        <w:r w:rsidR="00392CA8" w:rsidRPr="00392CA8">
          <w:rPr>
            <w:rFonts w:asciiTheme="majorHAnsi" w:hAnsiTheme="majorHAnsi" w:cstheme="majorHAnsi"/>
            <w:noProof/>
            <w:webHidden/>
            <w:sz w:val="24"/>
            <w:szCs w:val="24"/>
          </w:rPr>
          <w:instrText xml:space="preserve"> PAGEREF _Toc78205367 \h </w:instrText>
        </w:r>
        <w:r w:rsidR="00392CA8" w:rsidRPr="00392CA8">
          <w:rPr>
            <w:rFonts w:asciiTheme="majorHAnsi" w:hAnsiTheme="majorHAnsi" w:cstheme="majorHAnsi"/>
            <w:noProof/>
            <w:webHidden/>
            <w:sz w:val="24"/>
            <w:szCs w:val="24"/>
          </w:rPr>
        </w:r>
        <w:r w:rsidR="00392CA8" w:rsidRPr="00392CA8">
          <w:rPr>
            <w:rFonts w:asciiTheme="majorHAnsi" w:hAnsiTheme="majorHAnsi" w:cstheme="majorHAnsi"/>
            <w:noProof/>
            <w:webHidden/>
            <w:sz w:val="24"/>
            <w:szCs w:val="24"/>
          </w:rPr>
          <w:fldChar w:fldCharType="separate"/>
        </w:r>
        <w:r w:rsidR="00392CA8" w:rsidRPr="00392CA8">
          <w:rPr>
            <w:rFonts w:asciiTheme="majorHAnsi" w:hAnsiTheme="majorHAnsi" w:cstheme="majorHAnsi"/>
            <w:noProof/>
            <w:webHidden/>
            <w:sz w:val="24"/>
            <w:szCs w:val="24"/>
          </w:rPr>
          <w:t>6</w:t>
        </w:r>
        <w:r w:rsidR="00392CA8" w:rsidRPr="00392CA8">
          <w:rPr>
            <w:rFonts w:asciiTheme="majorHAnsi" w:hAnsiTheme="majorHAnsi" w:cstheme="majorHAnsi"/>
            <w:noProof/>
            <w:webHidden/>
            <w:sz w:val="24"/>
            <w:szCs w:val="24"/>
          </w:rPr>
          <w:fldChar w:fldCharType="end"/>
        </w:r>
      </w:hyperlink>
    </w:p>
    <w:p w14:paraId="329DC80F" w14:textId="35A0AE1F" w:rsidR="00392CA8" w:rsidRPr="00392CA8" w:rsidRDefault="00A759F2">
      <w:pPr>
        <w:pStyle w:val="TableofFigures"/>
        <w:tabs>
          <w:tab w:val="right" w:leader="dot" w:pos="8630"/>
        </w:tabs>
        <w:rPr>
          <w:rFonts w:asciiTheme="majorHAnsi" w:eastAsiaTheme="minorEastAsia" w:hAnsiTheme="majorHAnsi" w:cstheme="majorHAnsi"/>
          <w:noProof/>
          <w:sz w:val="24"/>
          <w:szCs w:val="24"/>
        </w:rPr>
      </w:pPr>
      <w:hyperlink w:anchor="_Toc78205368" w:history="1">
        <w:r w:rsidR="00392CA8" w:rsidRPr="00392CA8">
          <w:rPr>
            <w:rStyle w:val="Hyperlink"/>
            <w:rFonts w:asciiTheme="majorHAnsi" w:hAnsiTheme="majorHAnsi" w:cstheme="majorHAnsi"/>
            <w:noProof/>
            <w:sz w:val="24"/>
            <w:szCs w:val="24"/>
          </w:rPr>
          <w:t>Table 2.0 Summary of literature review</w:t>
        </w:r>
        <w:r w:rsidR="00392CA8" w:rsidRPr="00392CA8">
          <w:rPr>
            <w:rFonts w:asciiTheme="majorHAnsi" w:hAnsiTheme="majorHAnsi" w:cstheme="majorHAnsi"/>
            <w:noProof/>
            <w:webHidden/>
            <w:sz w:val="24"/>
            <w:szCs w:val="24"/>
          </w:rPr>
          <w:tab/>
        </w:r>
        <w:r w:rsidR="00392CA8" w:rsidRPr="00392CA8">
          <w:rPr>
            <w:rFonts w:asciiTheme="majorHAnsi" w:hAnsiTheme="majorHAnsi" w:cstheme="majorHAnsi"/>
            <w:noProof/>
            <w:webHidden/>
            <w:sz w:val="24"/>
            <w:szCs w:val="24"/>
          </w:rPr>
          <w:fldChar w:fldCharType="begin"/>
        </w:r>
        <w:r w:rsidR="00392CA8" w:rsidRPr="00392CA8">
          <w:rPr>
            <w:rFonts w:asciiTheme="majorHAnsi" w:hAnsiTheme="majorHAnsi" w:cstheme="majorHAnsi"/>
            <w:noProof/>
            <w:webHidden/>
            <w:sz w:val="24"/>
            <w:szCs w:val="24"/>
          </w:rPr>
          <w:instrText xml:space="preserve"> PAGEREF _Toc78205368 \h </w:instrText>
        </w:r>
        <w:r w:rsidR="00392CA8" w:rsidRPr="00392CA8">
          <w:rPr>
            <w:rFonts w:asciiTheme="majorHAnsi" w:hAnsiTheme="majorHAnsi" w:cstheme="majorHAnsi"/>
            <w:noProof/>
            <w:webHidden/>
            <w:sz w:val="24"/>
            <w:szCs w:val="24"/>
          </w:rPr>
        </w:r>
        <w:r w:rsidR="00392CA8" w:rsidRPr="00392CA8">
          <w:rPr>
            <w:rFonts w:asciiTheme="majorHAnsi" w:hAnsiTheme="majorHAnsi" w:cstheme="majorHAnsi"/>
            <w:noProof/>
            <w:webHidden/>
            <w:sz w:val="24"/>
            <w:szCs w:val="24"/>
          </w:rPr>
          <w:fldChar w:fldCharType="separate"/>
        </w:r>
        <w:r w:rsidR="00392CA8" w:rsidRPr="00392CA8">
          <w:rPr>
            <w:rFonts w:asciiTheme="majorHAnsi" w:hAnsiTheme="majorHAnsi" w:cstheme="majorHAnsi"/>
            <w:noProof/>
            <w:webHidden/>
            <w:sz w:val="24"/>
            <w:szCs w:val="24"/>
          </w:rPr>
          <w:t>30</w:t>
        </w:r>
        <w:r w:rsidR="00392CA8" w:rsidRPr="00392CA8">
          <w:rPr>
            <w:rFonts w:asciiTheme="majorHAnsi" w:hAnsiTheme="majorHAnsi" w:cstheme="majorHAnsi"/>
            <w:noProof/>
            <w:webHidden/>
            <w:sz w:val="24"/>
            <w:szCs w:val="24"/>
          </w:rPr>
          <w:fldChar w:fldCharType="end"/>
        </w:r>
      </w:hyperlink>
    </w:p>
    <w:p w14:paraId="6A10B479" w14:textId="33579329" w:rsidR="00392CA8" w:rsidRPr="00392CA8" w:rsidRDefault="00A759F2">
      <w:pPr>
        <w:pStyle w:val="TableofFigures"/>
        <w:tabs>
          <w:tab w:val="right" w:leader="dot" w:pos="8630"/>
        </w:tabs>
        <w:rPr>
          <w:rFonts w:asciiTheme="majorHAnsi" w:eastAsiaTheme="minorEastAsia" w:hAnsiTheme="majorHAnsi" w:cstheme="majorHAnsi"/>
          <w:noProof/>
          <w:sz w:val="24"/>
          <w:szCs w:val="24"/>
        </w:rPr>
      </w:pPr>
      <w:hyperlink w:anchor="_Toc78205369" w:history="1">
        <w:r w:rsidR="00392CA8" w:rsidRPr="00392CA8">
          <w:rPr>
            <w:rStyle w:val="Hyperlink"/>
            <w:rFonts w:asciiTheme="majorHAnsi" w:hAnsiTheme="majorHAnsi" w:cstheme="majorHAnsi"/>
            <w:noProof/>
            <w:sz w:val="24"/>
            <w:szCs w:val="24"/>
          </w:rPr>
          <w:t>Table 3.0 Statistical tool</w:t>
        </w:r>
        <w:r w:rsidR="00392CA8" w:rsidRPr="00392CA8">
          <w:rPr>
            <w:rFonts w:asciiTheme="majorHAnsi" w:hAnsiTheme="majorHAnsi" w:cstheme="majorHAnsi"/>
            <w:noProof/>
            <w:webHidden/>
            <w:sz w:val="24"/>
            <w:szCs w:val="24"/>
          </w:rPr>
          <w:tab/>
        </w:r>
        <w:r w:rsidR="00392CA8" w:rsidRPr="00392CA8">
          <w:rPr>
            <w:rFonts w:asciiTheme="majorHAnsi" w:hAnsiTheme="majorHAnsi" w:cstheme="majorHAnsi"/>
            <w:noProof/>
            <w:webHidden/>
            <w:sz w:val="24"/>
            <w:szCs w:val="24"/>
          </w:rPr>
          <w:fldChar w:fldCharType="begin"/>
        </w:r>
        <w:r w:rsidR="00392CA8" w:rsidRPr="00392CA8">
          <w:rPr>
            <w:rFonts w:asciiTheme="majorHAnsi" w:hAnsiTheme="majorHAnsi" w:cstheme="majorHAnsi"/>
            <w:noProof/>
            <w:webHidden/>
            <w:sz w:val="24"/>
            <w:szCs w:val="24"/>
          </w:rPr>
          <w:instrText xml:space="preserve"> PAGEREF _Toc78205369 \h </w:instrText>
        </w:r>
        <w:r w:rsidR="00392CA8" w:rsidRPr="00392CA8">
          <w:rPr>
            <w:rFonts w:asciiTheme="majorHAnsi" w:hAnsiTheme="majorHAnsi" w:cstheme="majorHAnsi"/>
            <w:noProof/>
            <w:webHidden/>
            <w:sz w:val="24"/>
            <w:szCs w:val="24"/>
          </w:rPr>
        </w:r>
        <w:r w:rsidR="00392CA8" w:rsidRPr="00392CA8">
          <w:rPr>
            <w:rFonts w:asciiTheme="majorHAnsi" w:hAnsiTheme="majorHAnsi" w:cstheme="majorHAnsi"/>
            <w:noProof/>
            <w:webHidden/>
            <w:sz w:val="24"/>
            <w:szCs w:val="24"/>
          </w:rPr>
          <w:fldChar w:fldCharType="separate"/>
        </w:r>
        <w:r w:rsidR="00392CA8" w:rsidRPr="00392CA8">
          <w:rPr>
            <w:rFonts w:asciiTheme="majorHAnsi" w:hAnsiTheme="majorHAnsi" w:cstheme="majorHAnsi"/>
            <w:noProof/>
            <w:webHidden/>
            <w:sz w:val="24"/>
            <w:szCs w:val="24"/>
          </w:rPr>
          <w:t>35</w:t>
        </w:r>
        <w:r w:rsidR="00392CA8" w:rsidRPr="00392CA8">
          <w:rPr>
            <w:rFonts w:asciiTheme="majorHAnsi" w:hAnsiTheme="majorHAnsi" w:cstheme="majorHAnsi"/>
            <w:noProof/>
            <w:webHidden/>
            <w:sz w:val="24"/>
            <w:szCs w:val="24"/>
          </w:rPr>
          <w:fldChar w:fldCharType="end"/>
        </w:r>
      </w:hyperlink>
    </w:p>
    <w:p w14:paraId="1DE87BAC" w14:textId="113A69A4" w:rsidR="00392CA8" w:rsidRPr="00392CA8" w:rsidRDefault="00A759F2">
      <w:pPr>
        <w:pStyle w:val="TableofFigures"/>
        <w:tabs>
          <w:tab w:val="right" w:leader="dot" w:pos="8630"/>
        </w:tabs>
        <w:rPr>
          <w:rFonts w:asciiTheme="majorHAnsi" w:eastAsiaTheme="minorEastAsia" w:hAnsiTheme="majorHAnsi" w:cstheme="majorHAnsi"/>
          <w:noProof/>
          <w:sz w:val="24"/>
          <w:szCs w:val="24"/>
        </w:rPr>
      </w:pPr>
      <w:hyperlink w:anchor="_Toc78205370" w:history="1">
        <w:r w:rsidR="00392CA8" w:rsidRPr="00392CA8">
          <w:rPr>
            <w:rStyle w:val="Hyperlink"/>
            <w:rFonts w:asciiTheme="majorHAnsi" w:hAnsiTheme="majorHAnsi" w:cstheme="majorHAnsi"/>
            <w:noProof/>
            <w:sz w:val="24"/>
            <w:szCs w:val="24"/>
          </w:rPr>
          <w:t>Table 4.0 Descriptive statistics</w:t>
        </w:r>
        <w:r w:rsidR="00392CA8" w:rsidRPr="00392CA8">
          <w:rPr>
            <w:rFonts w:asciiTheme="majorHAnsi" w:hAnsiTheme="majorHAnsi" w:cstheme="majorHAnsi"/>
            <w:noProof/>
            <w:webHidden/>
            <w:sz w:val="24"/>
            <w:szCs w:val="24"/>
          </w:rPr>
          <w:tab/>
        </w:r>
        <w:r w:rsidR="00392CA8" w:rsidRPr="00392CA8">
          <w:rPr>
            <w:rFonts w:asciiTheme="majorHAnsi" w:hAnsiTheme="majorHAnsi" w:cstheme="majorHAnsi"/>
            <w:noProof/>
            <w:webHidden/>
            <w:sz w:val="24"/>
            <w:szCs w:val="24"/>
          </w:rPr>
          <w:fldChar w:fldCharType="begin"/>
        </w:r>
        <w:r w:rsidR="00392CA8" w:rsidRPr="00392CA8">
          <w:rPr>
            <w:rFonts w:asciiTheme="majorHAnsi" w:hAnsiTheme="majorHAnsi" w:cstheme="majorHAnsi"/>
            <w:noProof/>
            <w:webHidden/>
            <w:sz w:val="24"/>
            <w:szCs w:val="24"/>
          </w:rPr>
          <w:instrText xml:space="preserve"> PAGEREF _Toc78205370 \h </w:instrText>
        </w:r>
        <w:r w:rsidR="00392CA8" w:rsidRPr="00392CA8">
          <w:rPr>
            <w:rFonts w:asciiTheme="majorHAnsi" w:hAnsiTheme="majorHAnsi" w:cstheme="majorHAnsi"/>
            <w:noProof/>
            <w:webHidden/>
            <w:sz w:val="24"/>
            <w:szCs w:val="24"/>
          </w:rPr>
        </w:r>
        <w:r w:rsidR="00392CA8" w:rsidRPr="00392CA8">
          <w:rPr>
            <w:rFonts w:asciiTheme="majorHAnsi" w:hAnsiTheme="majorHAnsi" w:cstheme="majorHAnsi"/>
            <w:noProof/>
            <w:webHidden/>
            <w:sz w:val="24"/>
            <w:szCs w:val="24"/>
          </w:rPr>
          <w:fldChar w:fldCharType="separate"/>
        </w:r>
        <w:r w:rsidR="00392CA8" w:rsidRPr="00392CA8">
          <w:rPr>
            <w:rFonts w:asciiTheme="majorHAnsi" w:hAnsiTheme="majorHAnsi" w:cstheme="majorHAnsi"/>
            <w:noProof/>
            <w:webHidden/>
            <w:sz w:val="24"/>
            <w:szCs w:val="24"/>
          </w:rPr>
          <w:t>39</w:t>
        </w:r>
        <w:r w:rsidR="00392CA8" w:rsidRPr="00392CA8">
          <w:rPr>
            <w:rFonts w:asciiTheme="majorHAnsi" w:hAnsiTheme="majorHAnsi" w:cstheme="majorHAnsi"/>
            <w:noProof/>
            <w:webHidden/>
            <w:sz w:val="24"/>
            <w:szCs w:val="24"/>
          </w:rPr>
          <w:fldChar w:fldCharType="end"/>
        </w:r>
      </w:hyperlink>
    </w:p>
    <w:p w14:paraId="7ADD36AB" w14:textId="474E12DC" w:rsidR="00392CA8" w:rsidRPr="00392CA8" w:rsidRDefault="00A759F2">
      <w:pPr>
        <w:pStyle w:val="TableofFigures"/>
        <w:tabs>
          <w:tab w:val="right" w:leader="dot" w:pos="8630"/>
        </w:tabs>
        <w:rPr>
          <w:rFonts w:asciiTheme="majorHAnsi" w:eastAsiaTheme="minorEastAsia" w:hAnsiTheme="majorHAnsi" w:cstheme="majorHAnsi"/>
          <w:noProof/>
          <w:sz w:val="24"/>
          <w:szCs w:val="24"/>
        </w:rPr>
      </w:pPr>
      <w:hyperlink w:anchor="_Toc78205371" w:history="1">
        <w:r w:rsidR="00392CA8" w:rsidRPr="00392CA8">
          <w:rPr>
            <w:rStyle w:val="Hyperlink"/>
            <w:rFonts w:asciiTheme="majorHAnsi" w:hAnsiTheme="majorHAnsi" w:cstheme="majorHAnsi"/>
            <w:noProof/>
            <w:sz w:val="24"/>
            <w:szCs w:val="24"/>
          </w:rPr>
          <w:t>Table 5.0: Correlations table</w:t>
        </w:r>
        <w:r w:rsidR="00392CA8" w:rsidRPr="00392CA8">
          <w:rPr>
            <w:rFonts w:asciiTheme="majorHAnsi" w:hAnsiTheme="majorHAnsi" w:cstheme="majorHAnsi"/>
            <w:noProof/>
            <w:webHidden/>
            <w:sz w:val="24"/>
            <w:szCs w:val="24"/>
          </w:rPr>
          <w:tab/>
        </w:r>
        <w:r w:rsidR="00392CA8" w:rsidRPr="00392CA8">
          <w:rPr>
            <w:rFonts w:asciiTheme="majorHAnsi" w:hAnsiTheme="majorHAnsi" w:cstheme="majorHAnsi"/>
            <w:noProof/>
            <w:webHidden/>
            <w:sz w:val="24"/>
            <w:szCs w:val="24"/>
          </w:rPr>
          <w:fldChar w:fldCharType="begin"/>
        </w:r>
        <w:r w:rsidR="00392CA8" w:rsidRPr="00392CA8">
          <w:rPr>
            <w:rFonts w:asciiTheme="majorHAnsi" w:hAnsiTheme="majorHAnsi" w:cstheme="majorHAnsi"/>
            <w:noProof/>
            <w:webHidden/>
            <w:sz w:val="24"/>
            <w:szCs w:val="24"/>
          </w:rPr>
          <w:instrText xml:space="preserve"> PAGEREF _Toc78205371 \h </w:instrText>
        </w:r>
        <w:r w:rsidR="00392CA8" w:rsidRPr="00392CA8">
          <w:rPr>
            <w:rFonts w:asciiTheme="majorHAnsi" w:hAnsiTheme="majorHAnsi" w:cstheme="majorHAnsi"/>
            <w:noProof/>
            <w:webHidden/>
            <w:sz w:val="24"/>
            <w:szCs w:val="24"/>
          </w:rPr>
        </w:r>
        <w:r w:rsidR="00392CA8" w:rsidRPr="00392CA8">
          <w:rPr>
            <w:rFonts w:asciiTheme="majorHAnsi" w:hAnsiTheme="majorHAnsi" w:cstheme="majorHAnsi"/>
            <w:noProof/>
            <w:webHidden/>
            <w:sz w:val="24"/>
            <w:szCs w:val="24"/>
          </w:rPr>
          <w:fldChar w:fldCharType="separate"/>
        </w:r>
        <w:r w:rsidR="00392CA8" w:rsidRPr="00392CA8">
          <w:rPr>
            <w:rFonts w:asciiTheme="majorHAnsi" w:hAnsiTheme="majorHAnsi" w:cstheme="majorHAnsi"/>
            <w:noProof/>
            <w:webHidden/>
            <w:sz w:val="24"/>
            <w:szCs w:val="24"/>
          </w:rPr>
          <w:t>47</w:t>
        </w:r>
        <w:r w:rsidR="00392CA8" w:rsidRPr="00392CA8">
          <w:rPr>
            <w:rFonts w:asciiTheme="majorHAnsi" w:hAnsiTheme="majorHAnsi" w:cstheme="majorHAnsi"/>
            <w:noProof/>
            <w:webHidden/>
            <w:sz w:val="24"/>
            <w:szCs w:val="24"/>
          </w:rPr>
          <w:fldChar w:fldCharType="end"/>
        </w:r>
      </w:hyperlink>
    </w:p>
    <w:p w14:paraId="13873F60" w14:textId="75D77CCB" w:rsidR="00392CA8" w:rsidRPr="00392CA8" w:rsidRDefault="00A759F2">
      <w:pPr>
        <w:pStyle w:val="TableofFigures"/>
        <w:tabs>
          <w:tab w:val="right" w:leader="dot" w:pos="8630"/>
        </w:tabs>
        <w:rPr>
          <w:rFonts w:asciiTheme="majorHAnsi" w:eastAsiaTheme="minorEastAsia" w:hAnsiTheme="majorHAnsi" w:cstheme="majorHAnsi"/>
          <w:noProof/>
          <w:sz w:val="24"/>
          <w:szCs w:val="24"/>
        </w:rPr>
      </w:pPr>
      <w:hyperlink w:anchor="_Toc78205372" w:history="1">
        <w:r w:rsidR="00392CA8" w:rsidRPr="00392CA8">
          <w:rPr>
            <w:rStyle w:val="Hyperlink"/>
            <w:rFonts w:asciiTheme="majorHAnsi" w:hAnsiTheme="majorHAnsi" w:cstheme="majorHAnsi"/>
            <w:noProof/>
            <w:sz w:val="24"/>
            <w:szCs w:val="24"/>
          </w:rPr>
          <w:t>Table 7.0 Model summary</w:t>
        </w:r>
        <w:r w:rsidR="00392CA8" w:rsidRPr="00392CA8">
          <w:rPr>
            <w:rFonts w:asciiTheme="majorHAnsi" w:hAnsiTheme="majorHAnsi" w:cstheme="majorHAnsi"/>
            <w:noProof/>
            <w:webHidden/>
            <w:sz w:val="24"/>
            <w:szCs w:val="24"/>
          </w:rPr>
          <w:tab/>
        </w:r>
        <w:r w:rsidR="00392CA8" w:rsidRPr="00392CA8">
          <w:rPr>
            <w:rFonts w:asciiTheme="majorHAnsi" w:hAnsiTheme="majorHAnsi" w:cstheme="majorHAnsi"/>
            <w:noProof/>
            <w:webHidden/>
            <w:sz w:val="24"/>
            <w:szCs w:val="24"/>
          </w:rPr>
          <w:fldChar w:fldCharType="begin"/>
        </w:r>
        <w:r w:rsidR="00392CA8" w:rsidRPr="00392CA8">
          <w:rPr>
            <w:rFonts w:asciiTheme="majorHAnsi" w:hAnsiTheme="majorHAnsi" w:cstheme="majorHAnsi"/>
            <w:noProof/>
            <w:webHidden/>
            <w:sz w:val="24"/>
            <w:szCs w:val="24"/>
          </w:rPr>
          <w:instrText xml:space="preserve"> PAGEREF _Toc78205372 \h </w:instrText>
        </w:r>
        <w:r w:rsidR="00392CA8" w:rsidRPr="00392CA8">
          <w:rPr>
            <w:rFonts w:asciiTheme="majorHAnsi" w:hAnsiTheme="majorHAnsi" w:cstheme="majorHAnsi"/>
            <w:noProof/>
            <w:webHidden/>
            <w:sz w:val="24"/>
            <w:szCs w:val="24"/>
          </w:rPr>
        </w:r>
        <w:r w:rsidR="00392CA8" w:rsidRPr="00392CA8">
          <w:rPr>
            <w:rFonts w:asciiTheme="majorHAnsi" w:hAnsiTheme="majorHAnsi" w:cstheme="majorHAnsi"/>
            <w:noProof/>
            <w:webHidden/>
            <w:sz w:val="24"/>
            <w:szCs w:val="24"/>
          </w:rPr>
          <w:fldChar w:fldCharType="separate"/>
        </w:r>
        <w:r w:rsidR="00392CA8" w:rsidRPr="00392CA8">
          <w:rPr>
            <w:rFonts w:asciiTheme="majorHAnsi" w:hAnsiTheme="majorHAnsi" w:cstheme="majorHAnsi"/>
            <w:noProof/>
            <w:webHidden/>
            <w:sz w:val="24"/>
            <w:szCs w:val="24"/>
          </w:rPr>
          <w:t>48</w:t>
        </w:r>
        <w:r w:rsidR="00392CA8" w:rsidRPr="00392CA8">
          <w:rPr>
            <w:rFonts w:asciiTheme="majorHAnsi" w:hAnsiTheme="majorHAnsi" w:cstheme="majorHAnsi"/>
            <w:noProof/>
            <w:webHidden/>
            <w:sz w:val="24"/>
            <w:szCs w:val="24"/>
          </w:rPr>
          <w:fldChar w:fldCharType="end"/>
        </w:r>
      </w:hyperlink>
    </w:p>
    <w:p w14:paraId="46970617" w14:textId="465FBDBC" w:rsidR="00392CA8" w:rsidRPr="00392CA8" w:rsidRDefault="00A759F2">
      <w:pPr>
        <w:pStyle w:val="TableofFigures"/>
        <w:tabs>
          <w:tab w:val="right" w:leader="dot" w:pos="8630"/>
        </w:tabs>
        <w:rPr>
          <w:rFonts w:asciiTheme="majorHAnsi" w:eastAsiaTheme="minorEastAsia" w:hAnsiTheme="majorHAnsi" w:cstheme="majorHAnsi"/>
          <w:noProof/>
          <w:sz w:val="24"/>
          <w:szCs w:val="24"/>
        </w:rPr>
      </w:pPr>
      <w:hyperlink w:anchor="_Toc78205373" w:history="1">
        <w:r w:rsidR="00392CA8" w:rsidRPr="00392CA8">
          <w:rPr>
            <w:rStyle w:val="Hyperlink"/>
            <w:rFonts w:asciiTheme="majorHAnsi" w:hAnsiTheme="majorHAnsi" w:cstheme="majorHAnsi"/>
            <w:noProof/>
            <w:sz w:val="24"/>
            <w:szCs w:val="24"/>
          </w:rPr>
          <w:t>Table 8: Anova table</w:t>
        </w:r>
        <w:r w:rsidR="00392CA8" w:rsidRPr="00392CA8">
          <w:rPr>
            <w:rFonts w:asciiTheme="majorHAnsi" w:hAnsiTheme="majorHAnsi" w:cstheme="majorHAnsi"/>
            <w:noProof/>
            <w:webHidden/>
            <w:sz w:val="24"/>
            <w:szCs w:val="24"/>
          </w:rPr>
          <w:tab/>
        </w:r>
        <w:r w:rsidR="00392CA8" w:rsidRPr="00392CA8">
          <w:rPr>
            <w:rFonts w:asciiTheme="majorHAnsi" w:hAnsiTheme="majorHAnsi" w:cstheme="majorHAnsi"/>
            <w:noProof/>
            <w:webHidden/>
            <w:sz w:val="24"/>
            <w:szCs w:val="24"/>
          </w:rPr>
          <w:fldChar w:fldCharType="begin"/>
        </w:r>
        <w:r w:rsidR="00392CA8" w:rsidRPr="00392CA8">
          <w:rPr>
            <w:rFonts w:asciiTheme="majorHAnsi" w:hAnsiTheme="majorHAnsi" w:cstheme="majorHAnsi"/>
            <w:noProof/>
            <w:webHidden/>
            <w:sz w:val="24"/>
            <w:szCs w:val="24"/>
          </w:rPr>
          <w:instrText xml:space="preserve"> PAGEREF _Toc78205373 \h </w:instrText>
        </w:r>
        <w:r w:rsidR="00392CA8" w:rsidRPr="00392CA8">
          <w:rPr>
            <w:rFonts w:asciiTheme="majorHAnsi" w:hAnsiTheme="majorHAnsi" w:cstheme="majorHAnsi"/>
            <w:noProof/>
            <w:webHidden/>
            <w:sz w:val="24"/>
            <w:szCs w:val="24"/>
          </w:rPr>
        </w:r>
        <w:r w:rsidR="00392CA8" w:rsidRPr="00392CA8">
          <w:rPr>
            <w:rFonts w:asciiTheme="majorHAnsi" w:hAnsiTheme="majorHAnsi" w:cstheme="majorHAnsi"/>
            <w:noProof/>
            <w:webHidden/>
            <w:sz w:val="24"/>
            <w:szCs w:val="24"/>
          </w:rPr>
          <w:fldChar w:fldCharType="separate"/>
        </w:r>
        <w:r w:rsidR="00392CA8" w:rsidRPr="00392CA8">
          <w:rPr>
            <w:rFonts w:asciiTheme="majorHAnsi" w:hAnsiTheme="majorHAnsi" w:cstheme="majorHAnsi"/>
            <w:noProof/>
            <w:webHidden/>
            <w:sz w:val="24"/>
            <w:szCs w:val="24"/>
          </w:rPr>
          <w:t>49</w:t>
        </w:r>
        <w:r w:rsidR="00392CA8" w:rsidRPr="00392CA8">
          <w:rPr>
            <w:rFonts w:asciiTheme="majorHAnsi" w:hAnsiTheme="majorHAnsi" w:cstheme="majorHAnsi"/>
            <w:noProof/>
            <w:webHidden/>
            <w:sz w:val="24"/>
            <w:szCs w:val="24"/>
          </w:rPr>
          <w:fldChar w:fldCharType="end"/>
        </w:r>
      </w:hyperlink>
    </w:p>
    <w:p w14:paraId="2AD16D62" w14:textId="255F57BB" w:rsidR="00392CA8" w:rsidRPr="00392CA8" w:rsidRDefault="00A759F2">
      <w:pPr>
        <w:pStyle w:val="TableofFigures"/>
        <w:tabs>
          <w:tab w:val="right" w:leader="dot" w:pos="8630"/>
        </w:tabs>
        <w:rPr>
          <w:rFonts w:asciiTheme="majorHAnsi" w:eastAsiaTheme="minorEastAsia" w:hAnsiTheme="majorHAnsi" w:cstheme="majorHAnsi"/>
          <w:noProof/>
          <w:sz w:val="24"/>
          <w:szCs w:val="24"/>
        </w:rPr>
      </w:pPr>
      <w:hyperlink w:anchor="_Toc78205374" w:history="1">
        <w:r w:rsidR="00392CA8" w:rsidRPr="00392CA8">
          <w:rPr>
            <w:rStyle w:val="Hyperlink"/>
            <w:rFonts w:asciiTheme="majorHAnsi" w:hAnsiTheme="majorHAnsi" w:cstheme="majorHAnsi"/>
            <w:noProof/>
            <w:sz w:val="24"/>
            <w:szCs w:val="24"/>
          </w:rPr>
          <w:t>Table 9.0 Coefficients table</w:t>
        </w:r>
        <w:r w:rsidR="00392CA8" w:rsidRPr="00392CA8">
          <w:rPr>
            <w:rFonts w:asciiTheme="majorHAnsi" w:hAnsiTheme="majorHAnsi" w:cstheme="majorHAnsi"/>
            <w:noProof/>
            <w:webHidden/>
            <w:sz w:val="24"/>
            <w:szCs w:val="24"/>
          </w:rPr>
          <w:tab/>
        </w:r>
        <w:r w:rsidR="00392CA8" w:rsidRPr="00392CA8">
          <w:rPr>
            <w:rFonts w:asciiTheme="majorHAnsi" w:hAnsiTheme="majorHAnsi" w:cstheme="majorHAnsi"/>
            <w:noProof/>
            <w:webHidden/>
            <w:sz w:val="24"/>
            <w:szCs w:val="24"/>
          </w:rPr>
          <w:fldChar w:fldCharType="begin"/>
        </w:r>
        <w:r w:rsidR="00392CA8" w:rsidRPr="00392CA8">
          <w:rPr>
            <w:rFonts w:asciiTheme="majorHAnsi" w:hAnsiTheme="majorHAnsi" w:cstheme="majorHAnsi"/>
            <w:noProof/>
            <w:webHidden/>
            <w:sz w:val="24"/>
            <w:szCs w:val="24"/>
          </w:rPr>
          <w:instrText xml:space="preserve"> PAGEREF _Toc78205374 \h </w:instrText>
        </w:r>
        <w:r w:rsidR="00392CA8" w:rsidRPr="00392CA8">
          <w:rPr>
            <w:rFonts w:asciiTheme="majorHAnsi" w:hAnsiTheme="majorHAnsi" w:cstheme="majorHAnsi"/>
            <w:noProof/>
            <w:webHidden/>
            <w:sz w:val="24"/>
            <w:szCs w:val="24"/>
          </w:rPr>
        </w:r>
        <w:r w:rsidR="00392CA8" w:rsidRPr="00392CA8">
          <w:rPr>
            <w:rFonts w:asciiTheme="majorHAnsi" w:hAnsiTheme="majorHAnsi" w:cstheme="majorHAnsi"/>
            <w:noProof/>
            <w:webHidden/>
            <w:sz w:val="24"/>
            <w:szCs w:val="24"/>
          </w:rPr>
          <w:fldChar w:fldCharType="separate"/>
        </w:r>
        <w:r w:rsidR="00392CA8" w:rsidRPr="00392CA8">
          <w:rPr>
            <w:rFonts w:asciiTheme="majorHAnsi" w:hAnsiTheme="majorHAnsi" w:cstheme="majorHAnsi"/>
            <w:noProof/>
            <w:webHidden/>
            <w:sz w:val="24"/>
            <w:szCs w:val="24"/>
          </w:rPr>
          <w:t>50</w:t>
        </w:r>
        <w:r w:rsidR="00392CA8" w:rsidRPr="00392CA8">
          <w:rPr>
            <w:rFonts w:asciiTheme="majorHAnsi" w:hAnsiTheme="majorHAnsi" w:cstheme="majorHAnsi"/>
            <w:noProof/>
            <w:webHidden/>
            <w:sz w:val="24"/>
            <w:szCs w:val="24"/>
          </w:rPr>
          <w:fldChar w:fldCharType="end"/>
        </w:r>
      </w:hyperlink>
    </w:p>
    <w:p w14:paraId="3E61FBE0" w14:textId="3F5E17F3" w:rsidR="00F66BAF" w:rsidRPr="00F527AF" w:rsidRDefault="00196FE4" w:rsidP="00D22924">
      <w:pPr>
        <w:pStyle w:val="Caption"/>
        <w:spacing w:line="480" w:lineRule="auto"/>
        <w:rPr>
          <w:rFonts w:asciiTheme="majorHAnsi" w:hAnsiTheme="majorHAnsi" w:cstheme="majorHAnsi"/>
          <w:sz w:val="24"/>
          <w:szCs w:val="24"/>
        </w:rPr>
      </w:pPr>
      <w:r w:rsidRPr="00864099">
        <w:rPr>
          <w:rFonts w:asciiTheme="majorHAnsi" w:hAnsiTheme="majorHAnsi" w:cstheme="majorHAnsi"/>
          <w:i w:val="0"/>
          <w:iCs w:val="0"/>
          <w:sz w:val="24"/>
          <w:szCs w:val="24"/>
        </w:rPr>
        <w:fldChar w:fldCharType="end"/>
      </w:r>
    </w:p>
    <w:p w14:paraId="75365FF8" w14:textId="420C9DA3" w:rsidR="00F66BAF" w:rsidRPr="0022305D" w:rsidRDefault="00F66BAF" w:rsidP="00196FE4">
      <w:pPr>
        <w:spacing w:line="480" w:lineRule="auto"/>
        <w:rPr>
          <w:rFonts w:asciiTheme="majorHAnsi" w:hAnsiTheme="majorHAnsi" w:cstheme="majorHAnsi"/>
          <w:sz w:val="24"/>
          <w:szCs w:val="24"/>
        </w:rPr>
      </w:pPr>
    </w:p>
    <w:p w14:paraId="29BB072E" w14:textId="44C37C21" w:rsidR="00F66BAF" w:rsidRDefault="00F66BAF" w:rsidP="00F66BAF">
      <w:pPr>
        <w:rPr>
          <w:rFonts w:asciiTheme="majorHAnsi" w:hAnsiTheme="majorHAnsi" w:cstheme="majorHAnsi"/>
        </w:rPr>
      </w:pPr>
    </w:p>
    <w:p w14:paraId="1A7DC4F3" w14:textId="65F95247" w:rsidR="002F0607" w:rsidRDefault="002F0607" w:rsidP="00F66BAF">
      <w:pPr>
        <w:rPr>
          <w:rFonts w:asciiTheme="majorHAnsi" w:hAnsiTheme="majorHAnsi" w:cstheme="majorHAnsi"/>
        </w:rPr>
      </w:pPr>
    </w:p>
    <w:p w14:paraId="28D649E2" w14:textId="3FDD1FA5" w:rsidR="002F0607" w:rsidRDefault="002F0607" w:rsidP="00F66BAF">
      <w:pPr>
        <w:rPr>
          <w:rFonts w:asciiTheme="majorHAnsi" w:hAnsiTheme="majorHAnsi" w:cstheme="majorHAnsi"/>
        </w:rPr>
      </w:pPr>
    </w:p>
    <w:p w14:paraId="2113CDCB" w14:textId="0FCA97DA" w:rsidR="002F0607" w:rsidRDefault="002F0607" w:rsidP="00F66BAF">
      <w:pPr>
        <w:rPr>
          <w:rFonts w:asciiTheme="majorHAnsi" w:hAnsiTheme="majorHAnsi" w:cstheme="majorHAnsi"/>
        </w:rPr>
      </w:pPr>
    </w:p>
    <w:p w14:paraId="6A303506" w14:textId="566F152C" w:rsidR="002F0607" w:rsidRDefault="002F0607" w:rsidP="00F66BAF">
      <w:pPr>
        <w:rPr>
          <w:rFonts w:asciiTheme="majorHAnsi" w:hAnsiTheme="majorHAnsi" w:cstheme="majorHAnsi"/>
        </w:rPr>
      </w:pPr>
    </w:p>
    <w:p w14:paraId="7E8C2BB2" w14:textId="62754F63" w:rsidR="002F0607" w:rsidRDefault="002F0607" w:rsidP="00F66BAF">
      <w:pPr>
        <w:rPr>
          <w:rFonts w:asciiTheme="majorHAnsi" w:hAnsiTheme="majorHAnsi" w:cstheme="majorHAnsi"/>
        </w:rPr>
      </w:pPr>
    </w:p>
    <w:p w14:paraId="49736F64" w14:textId="6C8534C7" w:rsidR="002F0607" w:rsidRDefault="002F0607" w:rsidP="00F66BAF">
      <w:pPr>
        <w:rPr>
          <w:rFonts w:asciiTheme="majorHAnsi" w:hAnsiTheme="majorHAnsi" w:cstheme="majorHAnsi"/>
        </w:rPr>
      </w:pPr>
    </w:p>
    <w:p w14:paraId="4D46B43F" w14:textId="2C7DBBC4" w:rsidR="002F0607" w:rsidRDefault="002F0607" w:rsidP="00F66BAF">
      <w:pPr>
        <w:rPr>
          <w:rFonts w:asciiTheme="majorHAnsi" w:hAnsiTheme="majorHAnsi" w:cstheme="majorHAnsi"/>
        </w:rPr>
      </w:pPr>
    </w:p>
    <w:p w14:paraId="6E9910BD" w14:textId="012407E4" w:rsidR="002F0607" w:rsidRDefault="002F0607" w:rsidP="00F66BAF">
      <w:pPr>
        <w:rPr>
          <w:rFonts w:asciiTheme="majorHAnsi" w:hAnsiTheme="majorHAnsi" w:cstheme="majorHAnsi"/>
        </w:rPr>
      </w:pPr>
    </w:p>
    <w:p w14:paraId="638891FF" w14:textId="0955DA07" w:rsidR="002F0607" w:rsidRDefault="002F0607" w:rsidP="00F66BAF">
      <w:pPr>
        <w:rPr>
          <w:rFonts w:asciiTheme="majorHAnsi" w:hAnsiTheme="majorHAnsi" w:cstheme="majorHAnsi"/>
        </w:rPr>
      </w:pPr>
    </w:p>
    <w:p w14:paraId="3D99F1B8" w14:textId="50CF8A52" w:rsidR="002F0607" w:rsidRDefault="002F0607" w:rsidP="00F66BAF">
      <w:pPr>
        <w:rPr>
          <w:rFonts w:asciiTheme="majorHAnsi" w:hAnsiTheme="majorHAnsi" w:cstheme="majorHAnsi"/>
        </w:rPr>
      </w:pPr>
    </w:p>
    <w:p w14:paraId="729601AB" w14:textId="23D8D0F9" w:rsidR="00864099" w:rsidRDefault="00864099" w:rsidP="00F66BAF">
      <w:pPr>
        <w:rPr>
          <w:rFonts w:asciiTheme="majorHAnsi" w:hAnsiTheme="majorHAnsi" w:cstheme="majorHAnsi"/>
        </w:rPr>
      </w:pPr>
    </w:p>
    <w:p w14:paraId="4FD5A730" w14:textId="527BC842" w:rsidR="00392CA8" w:rsidRDefault="00392CA8" w:rsidP="00F66BAF">
      <w:pPr>
        <w:rPr>
          <w:rFonts w:asciiTheme="majorHAnsi" w:hAnsiTheme="majorHAnsi" w:cstheme="majorHAnsi"/>
        </w:rPr>
      </w:pPr>
    </w:p>
    <w:p w14:paraId="71BE746D" w14:textId="08D77819" w:rsidR="00392CA8" w:rsidRDefault="00392CA8" w:rsidP="00F66BAF">
      <w:pPr>
        <w:rPr>
          <w:rFonts w:asciiTheme="majorHAnsi" w:hAnsiTheme="majorHAnsi" w:cstheme="majorHAnsi"/>
        </w:rPr>
      </w:pPr>
    </w:p>
    <w:p w14:paraId="4D26FC2C" w14:textId="46D10189" w:rsidR="00392CA8" w:rsidRDefault="00392CA8" w:rsidP="00F66BAF">
      <w:pPr>
        <w:rPr>
          <w:rFonts w:asciiTheme="majorHAnsi" w:hAnsiTheme="majorHAnsi" w:cstheme="majorHAnsi"/>
        </w:rPr>
      </w:pPr>
    </w:p>
    <w:p w14:paraId="5B34CF77" w14:textId="23C55246" w:rsidR="00392CA8" w:rsidRDefault="00392CA8" w:rsidP="00F66BAF">
      <w:pPr>
        <w:rPr>
          <w:rFonts w:asciiTheme="majorHAnsi" w:hAnsiTheme="majorHAnsi" w:cstheme="majorHAnsi"/>
        </w:rPr>
      </w:pPr>
    </w:p>
    <w:p w14:paraId="63F1FA14" w14:textId="77777777" w:rsidR="00392CA8" w:rsidRPr="0022305D" w:rsidRDefault="00392CA8" w:rsidP="00F66BAF">
      <w:pPr>
        <w:rPr>
          <w:rFonts w:asciiTheme="majorHAnsi" w:hAnsiTheme="majorHAnsi" w:cstheme="majorHAnsi"/>
        </w:rPr>
      </w:pPr>
    </w:p>
    <w:p w14:paraId="719EF1BF" w14:textId="6EFC470F" w:rsidR="00F66BAF" w:rsidRPr="006603A6" w:rsidRDefault="006603A6" w:rsidP="006603A6">
      <w:pPr>
        <w:pStyle w:val="Heading1"/>
        <w:spacing w:line="480" w:lineRule="auto"/>
        <w:rPr>
          <w:noProof/>
          <w:sz w:val="32"/>
          <w:szCs w:val="32"/>
          <w:u w:val="none"/>
        </w:rPr>
      </w:pPr>
      <w:bookmarkStart w:id="9" w:name="_Toc78205766"/>
      <w:r w:rsidRPr="006603A6">
        <w:rPr>
          <w:noProof/>
          <w:sz w:val="32"/>
          <w:szCs w:val="32"/>
          <w:u w:val="none"/>
        </w:rPr>
        <w:lastRenderedPageBreak/>
        <w:t>LIST OF FIGURES</w:t>
      </w:r>
      <w:bookmarkEnd w:id="9"/>
    </w:p>
    <w:p w14:paraId="6DB35CA1" w14:textId="0A762452" w:rsidR="00864099" w:rsidRPr="00864099" w:rsidRDefault="00196FE4">
      <w:pPr>
        <w:pStyle w:val="TableofFigures"/>
        <w:tabs>
          <w:tab w:val="right" w:leader="dot" w:pos="8630"/>
        </w:tabs>
        <w:rPr>
          <w:rFonts w:asciiTheme="majorHAnsi" w:eastAsiaTheme="minorEastAsia" w:hAnsiTheme="majorHAnsi" w:cstheme="majorHAnsi"/>
          <w:noProof/>
          <w:sz w:val="24"/>
          <w:szCs w:val="24"/>
        </w:rPr>
      </w:pPr>
      <w:r w:rsidRPr="00864099">
        <w:rPr>
          <w:rFonts w:asciiTheme="majorHAnsi" w:hAnsiTheme="majorHAnsi" w:cstheme="majorHAnsi"/>
          <w:sz w:val="24"/>
          <w:szCs w:val="24"/>
        </w:rPr>
        <w:fldChar w:fldCharType="begin"/>
      </w:r>
      <w:r w:rsidRPr="00864099">
        <w:rPr>
          <w:rFonts w:asciiTheme="majorHAnsi" w:hAnsiTheme="majorHAnsi" w:cstheme="majorHAnsi"/>
          <w:sz w:val="24"/>
          <w:szCs w:val="24"/>
        </w:rPr>
        <w:instrText xml:space="preserve"> TOC \h \z \c "Figure" </w:instrText>
      </w:r>
      <w:r w:rsidRPr="00864099">
        <w:rPr>
          <w:rFonts w:asciiTheme="majorHAnsi" w:hAnsiTheme="majorHAnsi" w:cstheme="majorHAnsi"/>
          <w:sz w:val="24"/>
          <w:szCs w:val="24"/>
        </w:rPr>
        <w:fldChar w:fldCharType="separate"/>
      </w:r>
      <w:hyperlink r:id="rId8" w:anchor="_Toc78179809" w:history="1">
        <w:r w:rsidR="00864099" w:rsidRPr="00864099">
          <w:rPr>
            <w:rStyle w:val="Hyperlink"/>
            <w:rFonts w:asciiTheme="majorHAnsi" w:hAnsiTheme="majorHAnsi" w:cstheme="majorHAnsi"/>
            <w:noProof/>
            <w:sz w:val="24"/>
            <w:szCs w:val="24"/>
            <w:u w:val="none"/>
          </w:rPr>
          <w:t>Figure 1.0: Conceptual framework</w:t>
        </w:r>
        <w:r w:rsidR="00864099" w:rsidRPr="00864099">
          <w:rPr>
            <w:rFonts w:asciiTheme="majorHAnsi" w:hAnsiTheme="majorHAnsi" w:cstheme="majorHAnsi"/>
            <w:noProof/>
            <w:webHidden/>
            <w:sz w:val="24"/>
            <w:szCs w:val="24"/>
          </w:rPr>
          <w:tab/>
        </w:r>
        <w:r w:rsidR="00864099" w:rsidRPr="00864099">
          <w:rPr>
            <w:rFonts w:asciiTheme="majorHAnsi" w:hAnsiTheme="majorHAnsi" w:cstheme="majorHAnsi"/>
            <w:noProof/>
            <w:webHidden/>
            <w:sz w:val="24"/>
            <w:szCs w:val="24"/>
          </w:rPr>
          <w:fldChar w:fldCharType="begin"/>
        </w:r>
        <w:r w:rsidR="00864099" w:rsidRPr="00864099">
          <w:rPr>
            <w:rFonts w:asciiTheme="majorHAnsi" w:hAnsiTheme="majorHAnsi" w:cstheme="majorHAnsi"/>
            <w:noProof/>
            <w:webHidden/>
            <w:sz w:val="24"/>
            <w:szCs w:val="24"/>
          </w:rPr>
          <w:instrText xml:space="preserve"> PAGEREF _Toc78179809 \h </w:instrText>
        </w:r>
        <w:r w:rsidR="00864099" w:rsidRPr="00864099">
          <w:rPr>
            <w:rFonts w:asciiTheme="majorHAnsi" w:hAnsiTheme="majorHAnsi" w:cstheme="majorHAnsi"/>
            <w:noProof/>
            <w:webHidden/>
            <w:sz w:val="24"/>
            <w:szCs w:val="24"/>
          </w:rPr>
        </w:r>
        <w:r w:rsidR="00864099" w:rsidRPr="00864099">
          <w:rPr>
            <w:rFonts w:asciiTheme="majorHAnsi" w:hAnsiTheme="majorHAnsi" w:cstheme="majorHAnsi"/>
            <w:noProof/>
            <w:webHidden/>
            <w:sz w:val="24"/>
            <w:szCs w:val="24"/>
          </w:rPr>
          <w:fldChar w:fldCharType="separate"/>
        </w:r>
        <w:r w:rsidR="00864099" w:rsidRPr="00864099">
          <w:rPr>
            <w:rFonts w:asciiTheme="majorHAnsi" w:hAnsiTheme="majorHAnsi" w:cstheme="majorHAnsi"/>
            <w:noProof/>
            <w:webHidden/>
            <w:sz w:val="24"/>
            <w:szCs w:val="24"/>
          </w:rPr>
          <w:t>14</w:t>
        </w:r>
        <w:r w:rsidR="00864099" w:rsidRPr="00864099">
          <w:rPr>
            <w:rFonts w:asciiTheme="majorHAnsi" w:hAnsiTheme="majorHAnsi" w:cstheme="majorHAnsi"/>
            <w:noProof/>
            <w:webHidden/>
            <w:sz w:val="24"/>
            <w:szCs w:val="24"/>
          </w:rPr>
          <w:fldChar w:fldCharType="end"/>
        </w:r>
      </w:hyperlink>
    </w:p>
    <w:p w14:paraId="14F5838D" w14:textId="577F9A1E" w:rsidR="00864099" w:rsidRPr="00864099" w:rsidRDefault="00A759F2">
      <w:pPr>
        <w:pStyle w:val="TableofFigures"/>
        <w:tabs>
          <w:tab w:val="right" w:leader="dot" w:pos="8630"/>
        </w:tabs>
        <w:rPr>
          <w:rFonts w:asciiTheme="majorHAnsi" w:eastAsiaTheme="minorEastAsia" w:hAnsiTheme="majorHAnsi" w:cstheme="majorHAnsi"/>
          <w:noProof/>
          <w:sz w:val="24"/>
          <w:szCs w:val="24"/>
        </w:rPr>
      </w:pPr>
      <w:hyperlink w:anchor="_Toc78179810" w:history="1">
        <w:r w:rsidR="00864099" w:rsidRPr="00864099">
          <w:rPr>
            <w:rStyle w:val="Hyperlink"/>
            <w:rFonts w:asciiTheme="majorHAnsi" w:hAnsiTheme="majorHAnsi" w:cstheme="majorHAnsi"/>
            <w:noProof/>
            <w:sz w:val="24"/>
            <w:szCs w:val="24"/>
            <w:u w:val="none"/>
          </w:rPr>
          <w:t>Figure 2:Total debt to total assets ratio data distribution.</w:t>
        </w:r>
        <w:r w:rsidR="00864099" w:rsidRPr="00864099">
          <w:rPr>
            <w:rFonts w:asciiTheme="majorHAnsi" w:hAnsiTheme="majorHAnsi" w:cstheme="majorHAnsi"/>
            <w:noProof/>
            <w:webHidden/>
            <w:sz w:val="24"/>
            <w:szCs w:val="24"/>
          </w:rPr>
          <w:tab/>
        </w:r>
        <w:r w:rsidR="00864099" w:rsidRPr="00864099">
          <w:rPr>
            <w:rFonts w:asciiTheme="majorHAnsi" w:hAnsiTheme="majorHAnsi" w:cstheme="majorHAnsi"/>
            <w:noProof/>
            <w:webHidden/>
            <w:sz w:val="24"/>
            <w:szCs w:val="24"/>
          </w:rPr>
          <w:fldChar w:fldCharType="begin"/>
        </w:r>
        <w:r w:rsidR="00864099" w:rsidRPr="00864099">
          <w:rPr>
            <w:rFonts w:asciiTheme="majorHAnsi" w:hAnsiTheme="majorHAnsi" w:cstheme="majorHAnsi"/>
            <w:noProof/>
            <w:webHidden/>
            <w:sz w:val="24"/>
            <w:szCs w:val="24"/>
          </w:rPr>
          <w:instrText xml:space="preserve"> PAGEREF _Toc78179810 \h </w:instrText>
        </w:r>
        <w:r w:rsidR="00864099" w:rsidRPr="00864099">
          <w:rPr>
            <w:rFonts w:asciiTheme="majorHAnsi" w:hAnsiTheme="majorHAnsi" w:cstheme="majorHAnsi"/>
            <w:noProof/>
            <w:webHidden/>
            <w:sz w:val="24"/>
            <w:szCs w:val="24"/>
          </w:rPr>
        </w:r>
        <w:r w:rsidR="00864099" w:rsidRPr="00864099">
          <w:rPr>
            <w:rFonts w:asciiTheme="majorHAnsi" w:hAnsiTheme="majorHAnsi" w:cstheme="majorHAnsi"/>
            <w:noProof/>
            <w:webHidden/>
            <w:sz w:val="24"/>
            <w:szCs w:val="24"/>
          </w:rPr>
          <w:fldChar w:fldCharType="separate"/>
        </w:r>
        <w:r w:rsidR="00864099" w:rsidRPr="00864099">
          <w:rPr>
            <w:rFonts w:asciiTheme="majorHAnsi" w:hAnsiTheme="majorHAnsi" w:cstheme="majorHAnsi"/>
            <w:noProof/>
            <w:webHidden/>
            <w:sz w:val="24"/>
            <w:szCs w:val="24"/>
          </w:rPr>
          <w:t>41</w:t>
        </w:r>
        <w:r w:rsidR="00864099" w:rsidRPr="00864099">
          <w:rPr>
            <w:rFonts w:asciiTheme="majorHAnsi" w:hAnsiTheme="majorHAnsi" w:cstheme="majorHAnsi"/>
            <w:noProof/>
            <w:webHidden/>
            <w:sz w:val="24"/>
            <w:szCs w:val="24"/>
          </w:rPr>
          <w:fldChar w:fldCharType="end"/>
        </w:r>
      </w:hyperlink>
    </w:p>
    <w:p w14:paraId="29C483D4" w14:textId="0896F54D" w:rsidR="00864099" w:rsidRPr="00864099" w:rsidRDefault="00A759F2">
      <w:pPr>
        <w:pStyle w:val="TableofFigures"/>
        <w:tabs>
          <w:tab w:val="right" w:leader="dot" w:pos="8630"/>
        </w:tabs>
        <w:rPr>
          <w:rFonts w:asciiTheme="majorHAnsi" w:eastAsiaTheme="minorEastAsia" w:hAnsiTheme="majorHAnsi" w:cstheme="majorHAnsi"/>
          <w:noProof/>
          <w:sz w:val="24"/>
          <w:szCs w:val="24"/>
        </w:rPr>
      </w:pPr>
      <w:hyperlink w:anchor="_Toc78179811" w:history="1">
        <w:r w:rsidR="00864099" w:rsidRPr="00864099">
          <w:rPr>
            <w:rStyle w:val="Hyperlink"/>
            <w:rFonts w:asciiTheme="majorHAnsi" w:hAnsiTheme="majorHAnsi" w:cstheme="majorHAnsi"/>
            <w:noProof/>
            <w:sz w:val="24"/>
            <w:szCs w:val="24"/>
            <w:u w:val="none"/>
          </w:rPr>
          <w:t>Figure 3:Total debt to equity ratio data distribution</w:t>
        </w:r>
        <w:r w:rsidR="00864099" w:rsidRPr="00864099">
          <w:rPr>
            <w:rFonts w:asciiTheme="majorHAnsi" w:hAnsiTheme="majorHAnsi" w:cstheme="majorHAnsi"/>
            <w:noProof/>
            <w:webHidden/>
            <w:sz w:val="24"/>
            <w:szCs w:val="24"/>
          </w:rPr>
          <w:tab/>
        </w:r>
        <w:r w:rsidR="00864099" w:rsidRPr="00864099">
          <w:rPr>
            <w:rFonts w:asciiTheme="majorHAnsi" w:hAnsiTheme="majorHAnsi" w:cstheme="majorHAnsi"/>
            <w:noProof/>
            <w:webHidden/>
            <w:sz w:val="24"/>
            <w:szCs w:val="24"/>
          </w:rPr>
          <w:fldChar w:fldCharType="begin"/>
        </w:r>
        <w:r w:rsidR="00864099" w:rsidRPr="00864099">
          <w:rPr>
            <w:rFonts w:asciiTheme="majorHAnsi" w:hAnsiTheme="majorHAnsi" w:cstheme="majorHAnsi"/>
            <w:noProof/>
            <w:webHidden/>
            <w:sz w:val="24"/>
            <w:szCs w:val="24"/>
          </w:rPr>
          <w:instrText xml:space="preserve"> PAGEREF _Toc78179811 \h </w:instrText>
        </w:r>
        <w:r w:rsidR="00864099" w:rsidRPr="00864099">
          <w:rPr>
            <w:rFonts w:asciiTheme="majorHAnsi" w:hAnsiTheme="majorHAnsi" w:cstheme="majorHAnsi"/>
            <w:noProof/>
            <w:webHidden/>
            <w:sz w:val="24"/>
            <w:szCs w:val="24"/>
          </w:rPr>
        </w:r>
        <w:r w:rsidR="00864099" w:rsidRPr="00864099">
          <w:rPr>
            <w:rFonts w:asciiTheme="majorHAnsi" w:hAnsiTheme="majorHAnsi" w:cstheme="majorHAnsi"/>
            <w:noProof/>
            <w:webHidden/>
            <w:sz w:val="24"/>
            <w:szCs w:val="24"/>
          </w:rPr>
          <w:fldChar w:fldCharType="separate"/>
        </w:r>
        <w:r w:rsidR="00864099" w:rsidRPr="00864099">
          <w:rPr>
            <w:rFonts w:asciiTheme="majorHAnsi" w:hAnsiTheme="majorHAnsi" w:cstheme="majorHAnsi"/>
            <w:noProof/>
            <w:webHidden/>
            <w:sz w:val="24"/>
            <w:szCs w:val="24"/>
          </w:rPr>
          <w:t>42</w:t>
        </w:r>
        <w:r w:rsidR="00864099" w:rsidRPr="00864099">
          <w:rPr>
            <w:rFonts w:asciiTheme="majorHAnsi" w:hAnsiTheme="majorHAnsi" w:cstheme="majorHAnsi"/>
            <w:noProof/>
            <w:webHidden/>
            <w:sz w:val="24"/>
            <w:szCs w:val="24"/>
          </w:rPr>
          <w:fldChar w:fldCharType="end"/>
        </w:r>
      </w:hyperlink>
    </w:p>
    <w:p w14:paraId="73021A0E" w14:textId="7D715602" w:rsidR="00864099" w:rsidRPr="00864099" w:rsidRDefault="00A759F2">
      <w:pPr>
        <w:pStyle w:val="TableofFigures"/>
        <w:tabs>
          <w:tab w:val="right" w:leader="dot" w:pos="8630"/>
        </w:tabs>
        <w:rPr>
          <w:rFonts w:asciiTheme="majorHAnsi" w:eastAsiaTheme="minorEastAsia" w:hAnsiTheme="majorHAnsi" w:cstheme="majorHAnsi"/>
          <w:noProof/>
          <w:sz w:val="24"/>
          <w:szCs w:val="24"/>
        </w:rPr>
      </w:pPr>
      <w:hyperlink w:anchor="_Toc78179812" w:history="1">
        <w:r w:rsidR="00864099" w:rsidRPr="00864099">
          <w:rPr>
            <w:rStyle w:val="Hyperlink"/>
            <w:rFonts w:asciiTheme="majorHAnsi" w:hAnsiTheme="majorHAnsi" w:cstheme="majorHAnsi"/>
            <w:noProof/>
            <w:sz w:val="24"/>
            <w:szCs w:val="24"/>
            <w:u w:val="none"/>
          </w:rPr>
          <w:t>Figure 4:Return on assets data distribution</w:t>
        </w:r>
        <w:r w:rsidR="00864099" w:rsidRPr="00864099">
          <w:rPr>
            <w:rFonts w:asciiTheme="majorHAnsi" w:hAnsiTheme="majorHAnsi" w:cstheme="majorHAnsi"/>
            <w:noProof/>
            <w:webHidden/>
            <w:sz w:val="24"/>
            <w:szCs w:val="24"/>
          </w:rPr>
          <w:tab/>
        </w:r>
        <w:r w:rsidR="00864099" w:rsidRPr="00864099">
          <w:rPr>
            <w:rFonts w:asciiTheme="majorHAnsi" w:hAnsiTheme="majorHAnsi" w:cstheme="majorHAnsi"/>
            <w:noProof/>
            <w:webHidden/>
            <w:sz w:val="24"/>
            <w:szCs w:val="24"/>
          </w:rPr>
          <w:fldChar w:fldCharType="begin"/>
        </w:r>
        <w:r w:rsidR="00864099" w:rsidRPr="00864099">
          <w:rPr>
            <w:rFonts w:asciiTheme="majorHAnsi" w:hAnsiTheme="majorHAnsi" w:cstheme="majorHAnsi"/>
            <w:noProof/>
            <w:webHidden/>
            <w:sz w:val="24"/>
            <w:szCs w:val="24"/>
          </w:rPr>
          <w:instrText xml:space="preserve"> PAGEREF _Toc78179812 \h </w:instrText>
        </w:r>
        <w:r w:rsidR="00864099" w:rsidRPr="00864099">
          <w:rPr>
            <w:rFonts w:asciiTheme="majorHAnsi" w:hAnsiTheme="majorHAnsi" w:cstheme="majorHAnsi"/>
            <w:noProof/>
            <w:webHidden/>
            <w:sz w:val="24"/>
            <w:szCs w:val="24"/>
          </w:rPr>
        </w:r>
        <w:r w:rsidR="00864099" w:rsidRPr="00864099">
          <w:rPr>
            <w:rFonts w:asciiTheme="majorHAnsi" w:hAnsiTheme="majorHAnsi" w:cstheme="majorHAnsi"/>
            <w:noProof/>
            <w:webHidden/>
            <w:sz w:val="24"/>
            <w:szCs w:val="24"/>
          </w:rPr>
          <w:fldChar w:fldCharType="separate"/>
        </w:r>
        <w:r w:rsidR="00864099" w:rsidRPr="00864099">
          <w:rPr>
            <w:rFonts w:asciiTheme="majorHAnsi" w:hAnsiTheme="majorHAnsi" w:cstheme="majorHAnsi"/>
            <w:noProof/>
            <w:webHidden/>
            <w:sz w:val="24"/>
            <w:szCs w:val="24"/>
          </w:rPr>
          <w:t>43</w:t>
        </w:r>
        <w:r w:rsidR="00864099" w:rsidRPr="00864099">
          <w:rPr>
            <w:rFonts w:asciiTheme="majorHAnsi" w:hAnsiTheme="majorHAnsi" w:cstheme="majorHAnsi"/>
            <w:noProof/>
            <w:webHidden/>
            <w:sz w:val="24"/>
            <w:szCs w:val="24"/>
          </w:rPr>
          <w:fldChar w:fldCharType="end"/>
        </w:r>
      </w:hyperlink>
    </w:p>
    <w:p w14:paraId="32AE7436" w14:textId="596D0DB9" w:rsidR="00864099" w:rsidRPr="00864099" w:rsidRDefault="00A759F2">
      <w:pPr>
        <w:pStyle w:val="TableofFigures"/>
        <w:tabs>
          <w:tab w:val="right" w:leader="dot" w:pos="8630"/>
        </w:tabs>
        <w:rPr>
          <w:rFonts w:asciiTheme="majorHAnsi" w:eastAsiaTheme="minorEastAsia" w:hAnsiTheme="majorHAnsi" w:cstheme="majorHAnsi"/>
          <w:noProof/>
          <w:sz w:val="24"/>
          <w:szCs w:val="24"/>
        </w:rPr>
      </w:pPr>
      <w:hyperlink w:anchor="_Toc78179813" w:history="1">
        <w:r w:rsidR="00864099" w:rsidRPr="00864099">
          <w:rPr>
            <w:rStyle w:val="Hyperlink"/>
            <w:rFonts w:asciiTheme="majorHAnsi" w:hAnsiTheme="majorHAnsi" w:cstheme="majorHAnsi"/>
            <w:noProof/>
            <w:sz w:val="24"/>
            <w:szCs w:val="24"/>
            <w:u w:val="none"/>
          </w:rPr>
          <w:t>Figure 5: Profitability data distribution</w:t>
        </w:r>
        <w:r w:rsidR="00864099" w:rsidRPr="00864099">
          <w:rPr>
            <w:rFonts w:asciiTheme="majorHAnsi" w:hAnsiTheme="majorHAnsi" w:cstheme="majorHAnsi"/>
            <w:noProof/>
            <w:webHidden/>
            <w:sz w:val="24"/>
            <w:szCs w:val="24"/>
          </w:rPr>
          <w:tab/>
        </w:r>
        <w:r w:rsidR="00864099" w:rsidRPr="00864099">
          <w:rPr>
            <w:rFonts w:asciiTheme="majorHAnsi" w:hAnsiTheme="majorHAnsi" w:cstheme="majorHAnsi"/>
            <w:noProof/>
            <w:webHidden/>
            <w:sz w:val="24"/>
            <w:szCs w:val="24"/>
          </w:rPr>
          <w:fldChar w:fldCharType="begin"/>
        </w:r>
        <w:r w:rsidR="00864099" w:rsidRPr="00864099">
          <w:rPr>
            <w:rFonts w:asciiTheme="majorHAnsi" w:hAnsiTheme="majorHAnsi" w:cstheme="majorHAnsi"/>
            <w:noProof/>
            <w:webHidden/>
            <w:sz w:val="24"/>
            <w:szCs w:val="24"/>
          </w:rPr>
          <w:instrText xml:space="preserve"> PAGEREF _Toc78179813 \h </w:instrText>
        </w:r>
        <w:r w:rsidR="00864099" w:rsidRPr="00864099">
          <w:rPr>
            <w:rFonts w:asciiTheme="majorHAnsi" w:hAnsiTheme="majorHAnsi" w:cstheme="majorHAnsi"/>
            <w:noProof/>
            <w:webHidden/>
            <w:sz w:val="24"/>
            <w:szCs w:val="24"/>
          </w:rPr>
        </w:r>
        <w:r w:rsidR="00864099" w:rsidRPr="00864099">
          <w:rPr>
            <w:rFonts w:asciiTheme="majorHAnsi" w:hAnsiTheme="majorHAnsi" w:cstheme="majorHAnsi"/>
            <w:noProof/>
            <w:webHidden/>
            <w:sz w:val="24"/>
            <w:szCs w:val="24"/>
          </w:rPr>
          <w:fldChar w:fldCharType="separate"/>
        </w:r>
        <w:r w:rsidR="00864099" w:rsidRPr="00864099">
          <w:rPr>
            <w:rFonts w:asciiTheme="majorHAnsi" w:hAnsiTheme="majorHAnsi" w:cstheme="majorHAnsi"/>
            <w:noProof/>
            <w:webHidden/>
            <w:sz w:val="24"/>
            <w:szCs w:val="24"/>
          </w:rPr>
          <w:t>44</w:t>
        </w:r>
        <w:r w:rsidR="00864099" w:rsidRPr="00864099">
          <w:rPr>
            <w:rFonts w:asciiTheme="majorHAnsi" w:hAnsiTheme="majorHAnsi" w:cstheme="majorHAnsi"/>
            <w:noProof/>
            <w:webHidden/>
            <w:sz w:val="24"/>
            <w:szCs w:val="24"/>
          </w:rPr>
          <w:fldChar w:fldCharType="end"/>
        </w:r>
      </w:hyperlink>
    </w:p>
    <w:p w14:paraId="69AD0F76" w14:textId="6E2AA3F8" w:rsidR="00864099" w:rsidRPr="00864099" w:rsidRDefault="00A759F2">
      <w:pPr>
        <w:pStyle w:val="TableofFigures"/>
        <w:tabs>
          <w:tab w:val="right" w:leader="dot" w:pos="8630"/>
        </w:tabs>
        <w:rPr>
          <w:rFonts w:asciiTheme="majorHAnsi" w:eastAsiaTheme="minorEastAsia" w:hAnsiTheme="majorHAnsi" w:cstheme="majorHAnsi"/>
          <w:noProof/>
          <w:sz w:val="24"/>
          <w:szCs w:val="24"/>
        </w:rPr>
      </w:pPr>
      <w:hyperlink w:anchor="_Toc78179814" w:history="1">
        <w:r w:rsidR="00864099" w:rsidRPr="00864099">
          <w:rPr>
            <w:rStyle w:val="Hyperlink"/>
            <w:rFonts w:asciiTheme="majorHAnsi" w:hAnsiTheme="majorHAnsi" w:cstheme="majorHAnsi"/>
            <w:noProof/>
            <w:sz w:val="24"/>
            <w:szCs w:val="24"/>
            <w:u w:val="none"/>
          </w:rPr>
          <w:t>Figure 6:ROE Q-Q plot</w:t>
        </w:r>
        <w:r w:rsidR="00864099" w:rsidRPr="00864099">
          <w:rPr>
            <w:rFonts w:asciiTheme="majorHAnsi" w:hAnsiTheme="majorHAnsi" w:cstheme="majorHAnsi"/>
            <w:noProof/>
            <w:webHidden/>
            <w:sz w:val="24"/>
            <w:szCs w:val="24"/>
          </w:rPr>
          <w:tab/>
        </w:r>
        <w:r w:rsidR="00864099" w:rsidRPr="00864099">
          <w:rPr>
            <w:rFonts w:asciiTheme="majorHAnsi" w:hAnsiTheme="majorHAnsi" w:cstheme="majorHAnsi"/>
            <w:noProof/>
            <w:webHidden/>
            <w:sz w:val="24"/>
            <w:szCs w:val="24"/>
          </w:rPr>
          <w:fldChar w:fldCharType="begin"/>
        </w:r>
        <w:r w:rsidR="00864099" w:rsidRPr="00864099">
          <w:rPr>
            <w:rFonts w:asciiTheme="majorHAnsi" w:hAnsiTheme="majorHAnsi" w:cstheme="majorHAnsi"/>
            <w:noProof/>
            <w:webHidden/>
            <w:sz w:val="24"/>
            <w:szCs w:val="24"/>
          </w:rPr>
          <w:instrText xml:space="preserve"> PAGEREF _Toc78179814 \h </w:instrText>
        </w:r>
        <w:r w:rsidR="00864099" w:rsidRPr="00864099">
          <w:rPr>
            <w:rFonts w:asciiTheme="majorHAnsi" w:hAnsiTheme="majorHAnsi" w:cstheme="majorHAnsi"/>
            <w:noProof/>
            <w:webHidden/>
            <w:sz w:val="24"/>
            <w:szCs w:val="24"/>
          </w:rPr>
        </w:r>
        <w:r w:rsidR="00864099" w:rsidRPr="00864099">
          <w:rPr>
            <w:rFonts w:asciiTheme="majorHAnsi" w:hAnsiTheme="majorHAnsi" w:cstheme="majorHAnsi"/>
            <w:noProof/>
            <w:webHidden/>
            <w:sz w:val="24"/>
            <w:szCs w:val="24"/>
          </w:rPr>
          <w:fldChar w:fldCharType="separate"/>
        </w:r>
        <w:r w:rsidR="00864099" w:rsidRPr="00864099">
          <w:rPr>
            <w:rFonts w:asciiTheme="majorHAnsi" w:hAnsiTheme="majorHAnsi" w:cstheme="majorHAnsi"/>
            <w:noProof/>
            <w:webHidden/>
            <w:sz w:val="24"/>
            <w:szCs w:val="24"/>
          </w:rPr>
          <w:t>45</w:t>
        </w:r>
        <w:r w:rsidR="00864099" w:rsidRPr="00864099">
          <w:rPr>
            <w:rFonts w:asciiTheme="majorHAnsi" w:hAnsiTheme="majorHAnsi" w:cstheme="majorHAnsi"/>
            <w:noProof/>
            <w:webHidden/>
            <w:sz w:val="24"/>
            <w:szCs w:val="24"/>
          </w:rPr>
          <w:fldChar w:fldCharType="end"/>
        </w:r>
      </w:hyperlink>
    </w:p>
    <w:p w14:paraId="42AFE856" w14:textId="2F370586" w:rsidR="00F66BAF" w:rsidRDefault="00196FE4" w:rsidP="008376B5">
      <w:pPr>
        <w:spacing w:line="480" w:lineRule="auto"/>
        <w:rPr>
          <w:rFonts w:asciiTheme="majorHAnsi" w:hAnsiTheme="majorHAnsi" w:cstheme="majorHAnsi"/>
          <w:sz w:val="24"/>
          <w:szCs w:val="24"/>
        </w:rPr>
      </w:pPr>
      <w:r w:rsidRPr="00864099">
        <w:rPr>
          <w:rFonts w:asciiTheme="majorHAnsi" w:hAnsiTheme="majorHAnsi" w:cstheme="majorHAnsi"/>
          <w:sz w:val="24"/>
          <w:szCs w:val="24"/>
        </w:rPr>
        <w:fldChar w:fldCharType="end"/>
      </w:r>
    </w:p>
    <w:p w14:paraId="4D029C3D" w14:textId="78309CE2" w:rsidR="002F0607" w:rsidRDefault="002F0607" w:rsidP="008376B5">
      <w:pPr>
        <w:spacing w:line="480" w:lineRule="auto"/>
        <w:rPr>
          <w:rFonts w:asciiTheme="majorHAnsi" w:hAnsiTheme="majorHAnsi" w:cstheme="majorHAnsi"/>
          <w:sz w:val="24"/>
          <w:szCs w:val="24"/>
        </w:rPr>
      </w:pPr>
    </w:p>
    <w:p w14:paraId="7BFF8A4D" w14:textId="5EEC5478" w:rsidR="002F0607" w:rsidRDefault="002F0607" w:rsidP="008376B5">
      <w:pPr>
        <w:spacing w:line="480" w:lineRule="auto"/>
        <w:rPr>
          <w:rFonts w:asciiTheme="majorHAnsi" w:hAnsiTheme="majorHAnsi" w:cstheme="majorHAnsi"/>
          <w:sz w:val="24"/>
          <w:szCs w:val="24"/>
        </w:rPr>
      </w:pPr>
    </w:p>
    <w:p w14:paraId="2B716EDD" w14:textId="67EA96D9" w:rsidR="002F0607" w:rsidRDefault="002F0607" w:rsidP="008376B5">
      <w:pPr>
        <w:spacing w:line="480" w:lineRule="auto"/>
        <w:rPr>
          <w:rFonts w:asciiTheme="majorHAnsi" w:hAnsiTheme="majorHAnsi" w:cstheme="majorHAnsi"/>
          <w:sz w:val="24"/>
          <w:szCs w:val="24"/>
        </w:rPr>
      </w:pPr>
    </w:p>
    <w:p w14:paraId="2DAA0403" w14:textId="632A1795" w:rsidR="002F0607" w:rsidRDefault="002F0607" w:rsidP="008376B5">
      <w:pPr>
        <w:spacing w:line="480" w:lineRule="auto"/>
        <w:rPr>
          <w:rFonts w:asciiTheme="majorHAnsi" w:hAnsiTheme="majorHAnsi" w:cstheme="majorHAnsi"/>
          <w:sz w:val="24"/>
          <w:szCs w:val="24"/>
        </w:rPr>
      </w:pPr>
    </w:p>
    <w:p w14:paraId="60D799E6" w14:textId="1D650A90" w:rsidR="002F0607" w:rsidRDefault="002F0607" w:rsidP="008376B5">
      <w:pPr>
        <w:spacing w:line="480" w:lineRule="auto"/>
        <w:rPr>
          <w:rFonts w:asciiTheme="majorHAnsi" w:hAnsiTheme="majorHAnsi" w:cstheme="majorHAnsi"/>
          <w:sz w:val="24"/>
          <w:szCs w:val="24"/>
        </w:rPr>
      </w:pPr>
    </w:p>
    <w:p w14:paraId="4852F374" w14:textId="50213686" w:rsidR="002F0607" w:rsidRDefault="002F0607" w:rsidP="008376B5">
      <w:pPr>
        <w:spacing w:line="480" w:lineRule="auto"/>
        <w:rPr>
          <w:rFonts w:asciiTheme="majorHAnsi" w:hAnsiTheme="majorHAnsi" w:cstheme="majorHAnsi"/>
          <w:sz w:val="24"/>
          <w:szCs w:val="24"/>
        </w:rPr>
      </w:pPr>
    </w:p>
    <w:p w14:paraId="25359703" w14:textId="13EF09E3" w:rsidR="00665E01" w:rsidRDefault="00665E01" w:rsidP="008376B5">
      <w:pPr>
        <w:spacing w:line="480" w:lineRule="auto"/>
        <w:rPr>
          <w:rFonts w:asciiTheme="majorHAnsi" w:hAnsiTheme="majorHAnsi" w:cstheme="majorHAnsi"/>
          <w:sz w:val="24"/>
          <w:szCs w:val="24"/>
        </w:rPr>
      </w:pPr>
    </w:p>
    <w:p w14:paraId="545AFAFE" w14:textId="77777777" w:rsidR="00665E01" w:rsidRDefault="00665E01" w:rsidP="008376B5">
      <w:pPr>
        <w:spacing w:line="480" w:lineRule="auto"/>
        <w:rPr>
          <w:rFonts w:asciiTheme="majorHAnsi" w:hAnsiTheme="majorHAnsi" w:cstheme="majorHAnsi"/>
          <w:sz w:val="24"/>
          <w:szCs w:val="24"/>
        </w:rPr>
      </w:pPr>
    </w:p>
    <w:p w14:paraId="62A273F1" w14:textId="5EDCEFE6" w:rsidR="002F0607" w:rsidRDefault="002F0607" w:rsidP="008376B5">
      <w:pPr>
        <w:spacing w:line="480" w:lineRule="auto"/>
        <w:rPr>
          <w:rFonts w:asciiTheme="majorHAnsi" w:hAnsiTheme="majorHAnsi" w:cstheme="majorHAnsi"/>
          <w:sz w:val="24"/>
          <w:szCs w:val="24"/>
        </w:rPr>
      </w:pPr>
    </w:p>
    <w:p w14:paraId="5CEC3D1E" w14:textId="1ED73C90" w:rsidR="00392CA8" w:rsidRDefault="00392CA8" w:rsidP="008376B5">
      <w:pPr>
        <w:spacing w:line="480" w:lineRule="auto"/>
        <w:rPr>
          <w:rFonts w:asciiTheme="majorHAnsi" w:hAnsiTheme="majorHAnsi" w:cstheme="majorHAnsi"/>
          <w:sz w:val="24"/>
          <w:szCs w:val="24"/>
        </w:rPr>
      </w:pPr>
    </w:p>
    <w:p w14:paraId="423B27CB" w14:textId="77777777" w:rsidR="00392CA8" w:rsidRDefault="00392CA8" w:rsidP="008376B5">
      <w:pPr>
        <w:spacing w:line="480" w:lineRule="auto"/>
        <w:rPr>
          <w:rFonts w:asciiTheme="majorHAnsi" w:hAnsiTheme="majorHAnsi" w:cstheme="majorHAnsi"/>
          <w:sz w:val="24"/>
          <w:szCs w:val="24"/>
        </w:rPr>
      </w:pPr>
    </w:p>
    <w:p w14:paraId="57F5F728" w14:textId="77777777" w:rsidR="002F0607" w:rsidRPr="0022305D" w:rsidRDefault="002F0607" w:rsidP="008376B5">
      <w:pPr>
        <w:spacing w:line="480" w:lineRule="auto"/>
        <w:rPr>
          <w:rFonts w:asciiTheme="majorHAnsi" w:hAnsiTheme="majorHAnsi" w:cstheme="majorHAnsi"/>
        </w:rPr>
      </w:pPr>
    </w:p>
    <w:p w14:paraId="0E6C146E" w14:textId="3F4F2C9C" w:rsidR="00F527AF" w:rsidRPr="006603A6" w:rsidRDefault="006603A6" w:rsidP="006603A6">
      <w:pPr>
        <w:pStyle w:val="Heading1"/>
        <w:spacing w:line="480" w:lineRule="auto"/>
        <w:rPr>
          <w:sz w:val="32"/>
          <w:szCs w:val="32"/>
          <w:u w:val="none"/>
        </w:rPr>
      </w:pPr>
      <w:bookmarkStart w:id="10" w:name="_Toc78205767"/>
      <w:bookmarkStart w:id="11" w:name="_Toc76494377"/>
      <w:r w:rsidRPr="006603A6">
        <w:rPr>
          <w:sz w:val="32"/>
          <w:szCs w:val="32"/>
          <w:u w:val="none"/>
        </w:rPr>
        <w:lastRenderedPageBreak/>
        <w:t>LIST OF ABBREVIATIONS</w:t>
      </w:r>
      <w:bookmarkEnd w:id="10"/>
    </w:p>
    <w:bookmarkEnd w:id="11"/>
    <w:p w14:paraId="1977D5CF" w14:textId="77777777" w:rsidR="00F66BAF" w:rsidRPr="0022305D" w:rsidRDefault="00F66BAF" w:rsidP="00F66BAF">
      <w:pPr>
        <w:spacing w:line="480" w:lineRule="auto"/>
        <w:rPr>
          <w:rFonts w:asciiTheme="majorHAnsi" w:hAnsiTheme="majorHAnsi" w:cstheme="majorHAnsi"/>
          <w:sz w:val="24"/>
          <w:szCs w:val="24"/>
        </w:rPr>
      </w:pPr>
      <w:r w:rsidRPr="0022305D">
        <w:rPr>
          <w:rFonts w:asciiTheme="majorHAnsi" w:hAnsiTheme="majorHAnsi" w:cstheme="majorHAnsi"/>
          <w:sz w:val="24"/>
          <w:szCs w:val="24"/>
        </w:rPr>
        <w:t>ROA</w:t>
      </w:r>
      <w:r w:rsidRPr="0022305D">
        <w:rPr>
          <w:rFonts w:asciiTheme="majorHAnsi" w:hAnsiTheme="majorHAnsi" w:cstheme="majorHAnsi"/>
          <w:sz w:val="24"/>
          <w:szCs w:val="24"/>
        </w:rPr>
        <w:tab/>
      </w:r>
      <w:r w:rsidRPr="0022305D">
        <w:rPr>
          <w:rFonts w:asciiTheme="majorHAnsi" w:hAnsiTheme="majorHAnsi" w:cstheme="majorHAnsi"/>
          <w:sz w:val="24"/>
          <w:szCs w:val="24"/>
        </w:rPr>
        <w:tab/>
      </w:r>
      <w:r w:rsidRPr="0022305D">
        <w:rPr>
          <w:rFonts w:asciiTheme="majorHAnsi" w:hAnsiTheme="majorHAnsi" w:cstheme="majorHAnsi"/>
          <w:sz w:val="24"/>
          <w:szCs w:val="24"/>
        </w:rPr>
        <w:tab/>
      </w:r>
      <w:r w:rsidRPr="0022305D">
        <w:rPr>
          <w:rFonts w:asciiTheme="majorHAnsi" w:hAnsiTheme="majorHAnsi" w:cstheme="majorHAnsi"/>
          <w:sz w:val="24"/>
          <w:szCs w:val="24"/>
        </w:rPr>
        <w:tab/>
        <w:t>Return on Assets</w:t>
      </w:r>
    </w:p>
    <w:p w14:paraId="255231CE" w14:textId="77777777" w:rsidR="00F66BAF" w:rsidRPr="0022305D" w:rsidRDefault="00F66BAF" w:rsidP="00F66BAF">
      <w:pPr>
        <w:spacing w:line="480" w:lineRule="auto"/>
        <w:rPr>
          <w:rFonts w:asciiTheme="majorHAnsi" w:hAnsiTheme="majorHAnsi" w:cstheme="majorHAnsi"/>
          <w:sz w:val="24"/>
          <w:szCs w:val="24"/>
        </w:rPr>
      </w:pPr>
      <w:r w:rsidRPr="0022305D">
        <w:rPr>
          <w:rFonts w:asciiTheme="majorHAnsi" w:hAnsiTheme="majorHAnsi" w:cstheme="majorHAnsi"/>
          <w:sz w:val="24"/>
          <w:szCs w:val="24"/>
        </w:rPr>
        <w:t>ROE</w:t>
      </w:r>
      <w:r w:rsidRPr="0022305D">
        <w:rPr>
          <w:rFonts w:asciiTheme="majorHAnsi" w:hAnsiTheme="majorHAnsi" w:cstheme="majorHAnsi"/>
          <w:sz w:val="24"/>
          <w:szCs w:val="24"/>
        </w:rPr>
        <w:tab/>
      </w:r>
      <w:r w:rsidRPr="0022305D">
        <w:rPr>
          <w:rFonts w:asciiTheme="majorHAnsi" w:hAnsiTheme="majorHAnsi" w:cstheme="majorHAnsi"/>
          <w:sz w:val="24"/>
          <w:szCs w:val="24"/>
        </w:rPr>
        <w:tab/>
      </w:r>
      <w:r w:rsidRPr="0022305D">
        <w:rPr>
          <w:rFonts w:asciiTheme="majorHAnsi" w:hAnsiTheme="majorHAnsi" w:cstheme="majorHAnsi"/>
          <w:sz w:val="24"/>
          <w:szCs w:val="24"/>
        </w:rPr>
        <w:tab/>
      </w:r>
      <w:r w:rsidRPr="0022305D">
        <w:rPr>
          <w:rFonts w:asciiTheme="majorHAnsi" w:hAnsiTheme="majorHAnsi" w:cstheme="majorHAnsi"/>
          <w:sz w:val="24"/>
          <w:szCs w:val="24"/>
        </w:rPr>
        <w:tab/>
        <w:t>Return on Equity</w:t>
      </w:r>
    </w:p>
    <w:p w14:paraId="5D4D69E0" w14:textId="02109979" w:rsidR="00F66BAF" w:rsidRPr="0022305D" w:rsidRDefault="00F66BAF" w:rsidP="00F66BAF">
      <w:pPr>
        <w:spacing w:line="480" w:lineRule="auto"/>
        <w:rPr>
          <w:rFonts w:asciiTheme="majorHAnsi" w:hAnsiTheme="majorHAnsi" w:cstheme="majorHAnsi"/>
          <w:sz w:val="24"/>
          <w:szCs w:val="24"/>
        </w:rPr>
      </w:pPr>
      <w:r w:rsidRPr="0022305D">
        <w:rPr>
          <w:rFonts w:asciiTheme="majorHAnsi" w:hAnsiTheme="majorHAnsi" w:cstheme="majorHAnsi"/>
          <w:sz w:val="24"/>
          <w:szCs w:val="24"/>
        </w:rPr>
        <w:t>DR</w:t>
      </w:r>
      <w:r w:rsidRPr="0022305D">
        <w:rPr>
          <w:rFonts w:asciiTheme="majorHAnsi" w:hAnsiTheme="majorHAnsi" w:cstheme="majorHAnsi"/>
          <w:sz w:val="24"/>
          <w:szCs w:val="24"/>
        </w:rPr>
        <w:tab/>
      </w:r>
      <w:r w:rsidRPr="0022305D">
        <w:rPr>
          <w:rFonts w:asciiTheme="majorHAnsi" w:hAnsiTheme="majorHAnsi" w:cstheme="majorHAnsi"/>
          <w:sz w:val="24"/>
          <w:szCs w:val="24"/>
        </w:rPr>
        <w:tab/>
      </w:r>
      <w:r w:rsidRPr="0022305D">
        <w:rPr>
          <w:rFonts w:asciiTheme="majorHAnsi" w:hAnsiTheme="majorHAnsi" w:cstheme="majorHAnsi"/>
          <w:sz w:val="24"/>
          <w:szCs w:val="24"/>
        </w:rPr>
        <w:tab/>
      </w:r>
      <w:r w:rsidRPr="0022305D">
        <w:rPr>
          <w:rFonts w:asciiTheme="majorHAnsi" w:hAnsiTheme="majorHAnsi" w:cstheme="majorHAnsi"/>
          <w:sz w:val="24"/>
          <w:szCs w:val="24"/>
        </w:rPr>
        <w:tab/>
      </w:r>
      <w:r w:rsidR="00CB2CDC">
        <w:rPr>
          <w:rFonts w:asciiTheme="majorHAnsi" w:hAnsiTheme="majorHAnsi" w:cstheme="majorHAnsi"/>
          <w:sz w:val="24"/>
          <w:szCs w:val="24"/>
        </w:rPr>
        <w:t>Total debt to total assets ratio</w:t>
      </w:r>
    </w:p>
    <w:p w14:paraId="7DE39F7F" w14:textId="383F88F9" w:rsidR="00F66BAF" w:rsidRPr="0022305D" w:rsidRDefault="00F66BAF" w:rsidP="00F66BAF">
      <w:pPr>
        <w:spacing w:line="480" w:lineRule="auto"/>
        <w:rPr>
          <w:rFonts w:asciiTheme="majorHAnsi" w:hAnsiTheme="majorHAnsi" w:cstheme="majorHAnsi"/>
          <w:sz w:val="24"/>
          <w:szCs w:val="24"/>
        </w:rPr>
      </w:pPr>
      <w:r w:rsidRPr="0022305D">
        <w:rPr>
          <w:rFonts w:asciiTheme="majorHAnsi" w:hAnsiTheme="majorHAnsi" w:cstheme="majorHAnsi"/>
          <w:sz w:val="24"/>
          <w:szCs w:val="24"/>
        </w:rPr>
        <w:t>DER</w:t>
      </w:r>
      <w:r w:rsidRPr="0022305D">
        <w:rPr>
          <w:rFonts w:asciiTheme="majorHAnsi" w:hAnsiTheme="majorHAnsi" w:cstheme="majorHAnsi"/>
          <w:sz w:val="24"/>
          <w:szCs w:val="24"/>
        </w:rPr>
        <w:tab/>
      </w:r>
      <w:r w:rsidRPr="0022305D">
        <w:rPr>
          <w:rFonts w:asciiTheme="majorHAnsi" w:hAnsiTheme="majorHAnsi" w:cstheme="majorHAnsi"/>
          <w:sz w:val="24"/>
          <w:szCs w:val="24"/>
        </w:rPr>
        <w:tab/>
      </w:r>
      <w:r w:rsidRPr="0022305D">
        <w:rPr>
          <w:rFonts w:asciiTheme="majorHAnsi" w:hAnsiTheme="majorHAnsi" w:cstheme="majorHAnsi"/>
          <w:sz w:val="24"/>
          <w:szCs w:val="24"/>
        </w:rPr>
        <w:tab/>
      </w:r>
      <w:r w:rsidRPr="0022305D">
        <w:rPr>
          <w:rFonts w:asciiTheme="majorHAnsi" w:hAnsiTheme="majorHAnsi" w:cstheme="majorHAnsi"/>
          <w:sz w:val="24"/>
          <w:szCs w:val="24"/>
        </w:rPr>
        <w:tab/>
      </w:r>
      <w:r w:rsidR="00BE06BC">
        <w:rPr>
          <w:rFonts w:asciiTheme="majorHAnsi" w:hAnsiTheme="majorHAnsi" w:cstheme="majorHAnsi"/>
          <w:sz w:val="24"/>
          <w:szCs w:val="24"/>
        </w:rPr>
        <w:t>Total debt to equity</w:t>
      </w:r>
      <w:r w:rsidRPr="0022305D">
        <w:rPr>
          <w:rFonts w:asciiTheme="majorHAnsi" w:hAnsiTheme="majorHAnsi" w:cstheme="majorHAnsi"/>
          <w:sz w:val="24"/>
          <w:szCs w:val="24"/>
        </w:rPr>
        <w:t xml:space="preserve"> Ratio</w:t>
      </w:r>
    </w:p>
    <w:p w14:paraId="206AC546" w14:textId="77777777" w:rsidR="00F66BAF" w:rsidRPr="0022305D" w:rsidRDefault="00F66BAF" w:rsidP="00F66BAF">
      <w:pPr>
        <w:spacing w:line="480" w:lineRule="auto"/>
        <w:rPr>
          <w:rFonts w:asciiTheme="majorHAnsi" w:hAnsiTheme="majorHAnsi" w:cstheme="majorHAnsi"/>
          <w:sz w:val="24"/>
          <w:szCs w:val="24"/>
        </w:rPr>
      </w:pPr>
      <w:r w:rsidRPr="0022305D">
        <w:rPr>
          <w:rFonts w:asciiTheme="majorHAnsi" w:hAnsiTheme="majorHAnsi" w:cstheme="majorHAnsi"/>
          <w:sz w:val="24"/>
          <w:szCs w:val="24"/>
        </w:rPr>
        <w:t>KCB</w:t>
      </w:r>
      <w:r w:rsidRPr="0022305D">
        <w:rPr>
          <w:rFonts w:asciiTheme="majorHAnsi" w:hAnsiTheme="majorHAnsi" w:cstheme="majorHAnsi"/>
          <w:sz w:val="24"/>
          <w:szCs w:val="24"/>
        </w:rPr>
        <w:tab/>
      </w:r>
      <w:r w:rsidRPr="0022305D">
        <w:rPr>
          <w:rFonts w:asciiTheme="majorHAnsi" w:hAnsiTheme="majorHAnsi" w:cstheme="majorHAnsi"/>
          <w:sz w:val="24"/>
          <w:szCs w:val="24"/>
        </w:rPr>
        <w:tab/>
      </w:r>
      <w:r w:rsidRPr="0022305D">
        <w:rPr>
          <w:rFonts w:asciiTheme="majorHAnsi" w:hAnsiTheme="majorHAnsi" w:cstheme="majorHAnsi"/>
          <w:sz w:val="24"/>
          <w:szCs w:val="24"/>
        </w:rPr>
        <w:tab/>
      </w:r>
      <w:r w:rsidRPr="0022305D">
        <w:rPr>
          <w:rFonts w:asciiTheme="majorHAnsi" w:hAnsiTheme="majorHAnsi" w:cstheme="majorHAnsi"/>
          <w:sz w:val="24"/>
          <w:szCs w:val="24"/>
        </w:rPr>
        <w:tab/>
        <w:t>Kenya Commercial Bank</w:t>
      </w:r>
    </w:p>
    <w:p w14:paraId="3B1EC4E7" w14:textId="77777777" w:rsidR="00F66BAF" w:rsidRPr="0022305D" w:rsidRDefault="00F66BAF" w:rsidP="00F66BAF">
      <w:pPr>
        <w:spacing w:line="480" w:lineRule="auto"/>
        <w:rPr>
          <w:rFonts w:asciiTheme="majorHAnsi" w:hAnsiTheme="majorHAnsi" w:cstheme="majorHAnsi"/>
          <w:sz w:val="24"/>
          <w:szCs w:val="24"/>
        </w:rPr>
      </w:pPr>
      <w:r w:rsidRPr="0022305D">
        <w:rPr>
          <w:rFonts w:asciiTheme="majorHAnsi" w:hAnsiTheme="majorHAnsi" w:cstheme="majorHAnsi"/>
          <w:sz w:val="24"/>
          <w:szCs w:val="24"/>
        </w:rPr>
        <w:t>NBK</w:t>
      </w:r>
      <w:r w:rsidRPr="0022305D">
        <w:rPr>
          <w:rFonts w:asciiTheme="majorHAnsi" w:hAnsiTheme="majorHAnsi" w:cstheme="majorHAnsi"/>
          <w:sz w:val="24"/>
          <w:szCs w:val="24"/>
        </w:rPr>
        <w:tab/>
      </w:r>
      <w:r w:rsidRPr="0022305D">
        <w:rPr>
          <w:rFonts w:asciiTheme="majorHAnsi" w:hAnsiTheme="majorHAnsi" w:cstheme="majorHAnsi"/>
          <w:sz w:val="24"/>
          <w:szCs w:val="24"/>
        </w:rPr>
        <w:tab/>
      </w:r>
      <w:r w:rsidRPr="0022305D">
        <w:rPr>
          <w:rFonts w:asciiTheme="majorHAnsi" w:hAnsiTheme="majorHAnsi" w:cstheme="majorHAnsi"/>
          <w:sz w:val="24"/>
          <w:szCs w:val="24"/>
        </w:rPr>
        <w:tab/>
      </w:r>
      <w:r w:rsidRPr="0022305D">
        <w:rPr>
          <w:rFonts w:asciiTheme="majorHAnsi" w:hAnsiTheme="majorHAnsi" w:cstheme="majorHAnsi"/>
          <w:sz w:val="24"/>
          <w:szCs w:val="24"/>
        </w:rPr>
        <w:tab/>
        <w:t>National Bank of Kenya</w:t>
      </w:r>
    </w:p>
    <w:p w14:paraId="4522368E" w14:textId="71B25D84" w:rsidR="008F2614" w:rsidRDefault="00F66BAF" w:rsidP="00F66BAF">
      <w:pPr>
        <w:spacing w:line="480" w:lineRule="auto"/>
        <w:rPr>
          <w:rFonts w:asciiTheme="majorHAnsi" w:hAnsiTheme="majorHAnsi" w:cstheme="majorHAnsi"/>
          <w:sz w:val="24"/>
          <w:szCs w:val="24"/>
        </w:rPr>
      </w:pPr>
      <w:r w:rsidRPr="0022305D">
        <w:rPr>
          <w:rFonts w:asciiTheme="majorHAnsi" w:hAnsiTheme="majorHAnsi" w:cstheme="majorHAnsi"/>
          <w:sz w:val="24"/>
          <w:szCs w:val="24"/>
        </w:rPr>
        <w:t>CBK</w:t>
      </w:r>
      <w:r w:rsidRPr="0022305D">
        <w:rPr>
          <w:rFonts w:asciiTheme="majorHAnsi" w:hAnsiTheme="majorHAnsi" w:cstheme="majorHAnsi"/>
          <w:sz w:val="24"/>
          <w:szCs w:val="24"/>
        </w:rPr>
        <w:tab/>
      </w:r>
      <w:r w:rsidRPr="0022305D">
        <w:rPr>
          <w:rFonts w:asciiTheme="majorHAnsi" w:hAnsiTheme="majorHAnsi" w:cstheme="majorHAnsi"/>
          <w:sz w:val="24"/>
          <w:szCs w:val="24"/>
        </w:rPr>
        <w:tab/>
      </w:r>
      <w:r w:rsidRPr="0022305D">
        <w:rPr>
          <w:rFonts w:asciiTheme="majorHAnsi" w:hAnsiTheme="majorHAnsi" w:cstheme="majorHAnsi"/>
          <w:sz w:val="24"/>
          <w:szCs w:val="24"/>
        </w:rPr>
        <w:tab/>
      </w:r>
      <w:r w:rsidRPr="0022305D">
        <w:rPr>
          <w:rFonts w:asciiTheme="majorHAnsi" w:hAnsiTheme="majorHAnsi" w:cstheme="majorHAnsi"/>
          <w:sz w:val="24"/>
          <w:szCs w:val="24"/>
        </w:rPr>
        <w:tab/>
        <w:t>Central bank of Keny</w:t>
      </w:r>
      <w:r w:rsidR="007B570B">
        <w:rPr>
          <w:rFonts w:asciiTheme="majorHAnsi" w:hAnsiTheme="majorHAnsi" w:cstheme="majorHAnsi"/>
          <w:sz w:val="24"/>
          <w:szCs w:val="24"/>
        </w:rPr>
        <w:t>a</w:t>
      </w:r>
    </w:p>
    <w:p w14:paraId="292ECAFD" w14:textId="2711906E" w:rsidR="008F2614" w:rsidRDefault="008F2614" w:rsidP="00F66BAF">
      <w:pPr>
        <w:spacing w:line="480" w:lineRule="auto"/>
        <w:rPr>
          <w:rFonts w:asciiTheme="majorHAnsi" w:hAnsiTheme="majorHAnsi" w:cstheme="majorHAnsi"/>
          <w:sz w:val="24"/>
          <w:szCs w:val="24"/>
        </w:rPr>
      </w:pPr>
      <w:r>
        <w:rPr>
          <w:rFonts w:asciiTheme="majorHAnsi" w:hAnsiTheme="majorHAnsi" w:cstheme="majorHAnsi"/>
          <w:sz w:val="24"/>
          <w:szCs w:val="24"/>
        </w:rPr>
        <w:t>USA</w:t>
      </w:r>
      <w:r>
        <w:rPr>
          <w:rFonts w:asciiTheme="majorHAnsi" w:hAnsiTheme="majorHAnsi" w:cstheme="majorHAnsi"/>
          <w:sz w:val="24"/>
          <w:szCs w:val="24"/>
        </w:rPr>
        <w:tab/>
      </w:r>
      <w:r>
        <w:rPr>
          <w:rFonts w:asciiTheme="majorHAnsi" w:hAnsiTheme="majorHAnsi" w:cstheme="majorHAnsi"/>
          <w:sz w:val="24"/>
          <w:szCs w:val="24"/>
        </w:rPr>
        <w:tab/>
      </w:r>
      <w:r>
        <w:rPr>
          <w:rFonts w:asciiTheme="majorHAnsi" w:hAnsiTheme="majorHAnsi" w:cstheme="majorHAnsi"/>
          <w:sz w:val="24"/>
          <w:szCs w:val="24"/>
        </w:rPr>
        <w:tab/>
      </w:r>
      <w:r>
        <w:rPr>
          <w:rFonts w:asciiTheme="majorHAnsi" w:hAnsiTheme="majorHAnsi" w:cstheme="majorHAnsi"/>
          <w:sz w:val="24"/>
          <w:szCs w:val="24"/>
        </w:rPr>
        <w:tab/>
        <w:t>United States of America</w:t>
      </w:r>
    </w:p>
    <w:p w14:paraId="67DE832E" w14:textId="10F783F3" w:rsidR="008F2614" w:rsidRDefault="008F2614" w:rsidP="00F66BAF">
      <w:pPr>
        <w:spacing w:line="480" w:lineRule="auto"/>
        <w:rPr>
          <w:rFonts w:asciiTheme="majorHAnsi" w:hAnsiTheme="majorHAnsi" w:cstheme="majorHAnsi"/>
          <w:sz w:val="24"/>
          <w:szCs w:val="24"/>
        </w:rPr>
      </w:pPr>
      <w:r>
        <w:rPr>
          <w:rFonts w:asciiTheme="majorHAnsi" w:hAnsiTheme="majorHAnsi" w:cstheme="majorHAnsi"/>
          <w:sz w:val="24"/>
          <w:szCs w:val="24"/>
        </w:rPr>
        <w:t>FDIC</w:t>
      </w:r>
      <w:r>
        <w:rPr>
          <w:rFonts w:asciiTheme="majorHAnsi" w:hAnsiTheme="majorHAnsi" w:cstheme="majorHAnsi"/>
          <w:sz w:val="24"/>
          <w:szCs w:val="24"/>
        </w:rPr>
        <w:tab/>
      </w:r>
      <w:r>
        <w:rPr>
          <w:rFonts w:asciiTheme="majorHAnsi" w:hAnsiTheme="majorHAnsi" w:cstheme="majorHAnsi"/>
          <w:sz w:val="24"/>
          <w:szCs w:val="24"/>
        </w:rPr>
        <w:tab/>
      </w:r>
      <w:r>
        <w:rPr>
          <w:rFonts w:asciiTheme="majorHAnsi" w:hAnsiTheme="majorHAnsi" w:cstheme="majorHAnsi"/>
          <w:sz w:val="24"/>
          <w:szCs w:val="24"/>
        </w:rPr>
        <w:tab/>
      </w:r>
      <w:r>
        <w:rPr>
          <w:rFonts w:asciiTheme="majorHAnsi" w:hAnsiTheme="majorHAnsi" w:cstheme="majorHAnsi"/>
          <w:sz w:val="24"/>
          <w:szCs w:val="24"/>
        </w:rPr>
        <w:tab/>
      </w:r>
      <w:r w:rsidRPr="0022305D">
        <w:rPr>
          <w:rFonts w:asciiTheme="majorHAnsi" w:hAnsiTheme="majorHAnsi" w:cstheme="majorHAnsi"/>
          <w:noProof/>
          <w:sz w:val="24"/>
          <w:szCs w:val="24"/>
        </w:rPr>
        <w:t>Federal Deposit Insurance Corporation</w:t>
      </w:r>
    </w:p>
    <w:p w14:paraId="19DE85C8" w14:textId="77777777" w:rsidR="008F2614" w:rsidRDefault="008F2614" w:rsidP="00F66BAF">
      <w:pPr>
        <w:spacing w:line="480" w:lineRule="auto"/>
        <w:rPr>
          <w:rFonts w:asciiTheme="majorHAnsi" w:hAnsiTheme="majorHAnsi" w:cstheme="majorHAnsi"/>
          <w:sz w:val="24"/>
          <w:szCs w:val="24"/>
        </w:rPr>
      </w:pPr>
    </w:p>
    <w:p w14:paraId="2674ADC8" w14:textId="032E14BF" w:rsidR="008F2614" w:rsidRPr="0022305D" w:rsidRDefault="008F2614" w:rsidP="00F66BAF">
      <w:pPr>
        <w:spacing w:line="480" w:lineRule="auto"/>
        <w:rPr>
          <w:rFonts w:asciiTheme="majorHAnsi" w:hAnsiTheme="majorHAnsi" w:cstheme="majorHAnsi"/>
          <w:sz w:val="24"/>
          <w:szCs w:val="24"/>
        </w:rPr>
        <w:sectPr w:rsidR="008F2614" w:rsidRPr="0022305D" w:rsidSect="0087334E">
          <w:footerReference w:type="default" r:id="rId9"/>
          <w:pgSz w:w="12240" w:h="15840"/>
          <w:pgMar w:top="1440" w:right="1440" w:bottom="1440" w:left="2160" w:header="720" w:footer="720" w:gutter="0"/>
          <w:pgNumType w:fmt="lowerRoman" w:start="0"/>
          <w:cols w:space="720"/>
          <w:titlePg/>
          <w:docGrid w:linePitch="360"/>
        </w:sectPr>
      </w:pPr>
    </w:p>
    <w:p w14:paraId="62DA6E34" w14:textId="40261B92" w:rsidR="00CB4B95" w:rsidRPr="0022305D" w:rsidRDefault="00CB4B95" w:rsidP="00B64A79">
      <w:pPr>
        <w:pStyle w:val="Heading1"/>
        <w:spacing w:before="0" w:after="0"/>
        <w:rPr>
          <w:rFonts w:asciiTheme="majorHAnsi" w:hAnsiTheme="majorHAnsi" w:cstheme="majorHAnsi"/>
          <w:sz w:val="32"/>
          <w:szCs w:val="32"/>
          <w:u w:val="none"/>
        </w:rPr>
      </w:pPr>
      <w:bookmarkStart w:id="12" w:name="_Toc78205768"/>
      <w:r w:rsidRPr="0022305D">
        <w:rPr>
          <w:rFonts w:asciiTheme="majorHAnsi" w:hAnsiTheme="majorHAnsi" w:cstheme="majorHAnsi"/>
          <w:sz w:val="32"/>
          <w:szCs w:val="32"/>
          <w:u w:val="none"/>
        </w:rPr>
        <w:lastRenderedPageBreak/>
        <w:t>CHAPTER ONE</w:t>
      </w:r>
      <w:bookmarkEnd w:id="12"/>
    </w:p>
    <w:p w14:paraId="12838646" w14:textId="19003D09" w:rsidR="00BD7A52" w:rsidRPr="0022305D" w:rsidRDefault="00602AE6" w:rsidP="00B64A79">
      <w:pPr>
        <w:pStyle w:val="Heading1"/>
        <w:spacing w:after="0" w:line="480" w:lineRule="auto"/>
        <w:rPr>
          <w:rFonts w:asciiTheme="majorHAnsi" w:hAnsiTheme="majorHAnsi" w:cstheme="majorHAnsi"/>
          <w:sz w:val="32"/>
          <w:szCs w:val="32"/>
          <w:u w:val="none"/>
        </w:rPr>
      </w:pPr>
      <w:bookmarkStart w:id="13" w:name="_Toc78205769"/>
      <w:r w:rsidRPr="0022305D">
        <w:rPr>
          <w:rFonts w:asciiTheme="majorHAnsi" w:hAnsiTheme="majorHAnsi" w:cstheme="majorHAnsi"/>
          <w:sz w:val="32"/>
          <w:szCs w:val="32"/>
          <w:u w:val="none"/>
        </w:rPr>
        <w:t>I</w:t>
      </w:r>
      <w:r w:rsidR="00BD7A52" w:rsidRPr="0022305D">
        <w:rPr>
          <w:rFonts w:asciiTheme="majorHAnsi" w:hAnsiTheme="majorHAnsi" w:cstheme="majorHAnsi"/>
          <w:sz w:val="32"/>
          <w:szCs w:val="32"/>
          <w:u w:val="none"/>
        </w:rPr>
        <w:t>NTRODUCTION</w:t>
      </w:r>
      <w:bookmarkEnd w:id="13"/>
    </w:p>
    <w:p w14:paraId="6891170E" w14:textId="7B3620E8" w:rsidR="00A54103" w:rsidRPr="00F527AF" w:rsidRDefault="00A54103" w:rsidP="00F527AF">
      <w:pPr>
        <w:spacing w:after="0" w:line="480" w:lineRule="auto"/>
        <w:ind w:firstLine="720"/>
        <w:rPr>
          <w:rFonts w:asciiTheme="majorHAnsi" w:hAnsiTheme="majorHAnsi" w:cstheme="majorHAnsi"/>
          <w:sz w:val="24"/>
          <w:szCs w:val="24"/>
        </w:rPr>
      </w:pPr>
      <w:r w:rsidRPr="00F527AF">
        <w:rPr>
          <w:rFonts w:asciiTheme="majorHAnsi" w:hAnsiTheme="majorHAnsi" w:cstheme="majorHAnsi"/>
          <w:sz w:val="24"/>
          <w:szCs w:val="24"/>
        </w:rPr>
        <w:t xml:space="preserve">This study </w:t>
      </w:r>
      <w:r w:rsidR="000B6A12" w:rsidRPr="00F527AF">
        <w:rPr>
          <w:rFonts w:asciiTheme="majorHAnsi" w:hAnsiTheme="majorHAnsi" w:cstheme="majorHAnsi"/>
          <w:sz w:val="24"/>
          <w:szCs w:val="24"/>
        </w:rPr>
        <w:t xml:space="preserve">sought </w:t>
      </w:r>
      <w:r w:rsidRPr="00F527AF">
        <w:rPr>
          <w:rFonts w:asciiTheme="majorHAnsi" w:hAnsiTheme="majorHAnsi" w:cstheme="majorHAnsi"/>
          <w:sz w:val="24"/>
          <w:szCs w:val="24"/>
        </w:rPr>
        <w:t xml:space="preserve">to examine the relationship between solvency and profitability of commercial banks in Kenya. The level of solvency is used as an indicator of the long-term profitability since highly solvent firms are highly profitable and are able to meet long term financial obligations while less solvent firms are less profitable (Ibendahl, 2016). </w:t>
      </w:r>
      <w:bookmarkStart w:id="14" w:name="_Hlk67838829"/>
      <w:r w:rsidRPr="00F527AF">
        <w:rPr>
          <w:rFonts w:asciiTheme="majorHAnsi" w:hAnsiTheme="majorHAnsi" w:cstheme="majorHAnsi"/>
          <w:sz w:val="24"/>
          <w:szCs w:val="24"/>
        </w:rPr>
        <w:t xml:space="preserve">Profitability is essential for any firm to remain competitive and to facilitate long-term prosperity since high profitability, in terms of return on assets and return on equity, shows ability to produce income based on available resources </w:t>
      </w:r>
      <w:r w:rsidRPr="00F527AF">
        <w:rPr>
          <w:rFonts w:asciiTheme="majorHAnsi" w:hAnsiTheme="majorHAnsi" w:cstheme="majorHAnsi"/>
          <w:sz w:val="24"/>
          <w:szCs w:val="24"/>
        </w:rPr>
        <w:fldChar w:fldCharType="begin" w:fldLock="1"/>
      </w:r>
      <w:r w:rsidRPr="00F527AF">
        <w:rPr>
          <w:rFonts w:asciiTheme="majorHAnsi" w:hAnsiTheme="majorHAnsi" w:cstheme="majorHAnsi"/>
          <w:sz w:val="24"/>
          <w:szCs w:val="24"/>
        </w:rPr>
        <w:instrText>ADDIN CSL_CITATION {"citationItems":[{"id":"ITEM-1","itemData":{"DOI":"10.5267/j.ac.2019.11.002","ISSN":"23697407","abstract":"This paper examines the relationship between capital structure and profitability of non-financial companies listed on Vietnam's stock market. The panel data is extracted from financial statements of 488 listed companies between 2013 and 2018. Capital structure discussed is represented by the ratios of short-term liabilities, long-term liabilities and total liabilities to total assets, and profitability is measured by Return on Equity (ROE), Return on Assets (ROA) and Earnings per share (EPS). Firm size, growth rate, liquidity, ratio of fixed assets to total assets are control variables in the study. The Generalized Least Square (GLS) is applied to different models, including ROE, ROA and EPS Model, and tests of autocorrelation, multicollinearity and heteroskedasticity are run to confirm the relationship between capital structure and business performance. The results show that the capital structure of Vietnamese listed non-financial companies is negatively related to their performance. Taking industrial product sectors as the preference sectors, the results show that pharmaceutical and medical, the consumer goods and the public utility industries had a higher relationship between capital structure and firm’s performance (via ROE, ROA, EPS) than industrial product sectors. These evidences are useful new insights to investors, business managers and governmental authorities.","author":[{"dropping-particle":"","family":"Nguyen","given":"Anh","non-dropping-particle":"","parse-names":false,"suffix":""}],"container-title":"Journal of Accounting","id":"ITEM-1","issue":"2","issued":{"date-parts":[["2020"]]},"page":"137-150","title":"Capital structure and firm performance of non-financial listed companies: Cross-sector empirical evidences from Vietnam","type":"article-journal","volume":"6"},"uris":["http://www.mendeley.com/documents/?uuid=99661c88-ebc0-4166-b69d-71013f986846"]}],"mendeley":{"formattedCitation":"(Nguyen, 2020)","plainTextFormattedCitation":"(Nguyen, 2020)","previouslyFormattedCitation":"(Nguyen, 2020)"},"properties":{"noteIndex":0},"schema":"https://github.com/citation-style-language/schema/raw/master/csl-citation.json"}</w:instrText>
      </w:r>
      <w:r w:rsidRPr="00F527AF">
        <w:rPr>
          <w:rFonts w:asciiTheme="majorHAnsi" w:hAnsiTheme="majorHAnsi" w:cstheme="majorHAnsi"/>
          <w:sz w:val="24"/>
          <w:szCs w:val="24"/>
        </w:rPr>
        <w:fldChar w:fldCharType="separate"/>
      </w:r>
      <w:r w:rsidRPr="00F527AF">
        <w:rPr>
          <w:rFonts w:asciiTheme="majorHAnsi" w:hAnsiTheme="majorHAnsi" w:cstheme="majorHAnsi"/>
          <w:noProof/>
          <w:sz w:val="24"/>
          <w:szCs w:val="24"/>
        </w:rPr>
        <w:t>(Nguyen, 2020)</w:t>
      </w:r>
      <w:r w:rsidRPr="00F527AF">
        <w:rPr>
          <w:rFonts w:asciiTheme="majorHAnsi" w:hAnsiTheme="majorHAnsi" w:cstheme="majorHAnsi"/>
          <w:sz w:val="24"/>
          <w:szCs w:val="24"/>
        </w:rPr>
        <w:fldChar w:fldCharType="end"/>
      </w:r>
      <w:r w:rsidRPr="00F527AF">
        <w:rPr>
          <w:rFonts w:asciiTheme="majorHAnsi" w:hAnsiTheme="majorHAnsi" w:cstheme="majorHAnsi"/>
          <w:sz w:val="24"/>
          <w:szCs w:val="24"/>
        </w:rPr>
        <w:t xml:space="preserve">. Profitability measures the firm’s ability to generate earnings and shows the availability of funds to run a company in long run period </w:t>
      </w:r>
      <w:r w:rsidRPr="00F527AF">
        <w:rPr>
          <w:rFonts w:asciiTheme="majorHAnsi" w:hAnsiTheme="majorHAnsi" w:cstheme="majorHAnsi"/>
          <w:sz w:val="24"/>
          <w:szCs w:val="24"/>
        </w:rPr>
        <w:fldChar w:fldCharType="begin" w:fldLock="1"/>
      </w:r>
      <w:r w:rsidRPr="00F527AF">
        <w:rPr>
          <w:rFonts w:asciiTheme="majorHAnsi" w:hAnsiTheme="majorHAnsi" w:cstheme="majorHAnsi"/>
          <w:sz w:val="24"/>
          <w:szCs w:val="24"/>
        </w:rPr>
        <w:instrText>ADDIN CSL_CITATION {"citationItems":[{"id":"ITEM-1","itemData":{"abstract":"In the light of the global financial crisis of 2007 which is considered to be the worst since the Great Depression of the 1930s, it is evident that no bank is too big to fail. There have been a number of corporate failures in recent years, including instances in the United Kingdom. These events, therefore, motivated this study in terms of emphasising the need to apply financial distress prediction models to examine the performance of UK banks. This work aims at empirically examining and analysing the performance of UK retail banks amid the financial crisis, covering three periods: before, during and afterwards. In doing so, the accuracy of Altman‘s financial ratios of early warning statistical distress prediction models was examined. Both primary and secondary data were employed to find answers to the research questions. The first result indicated that Altman‘s ratios: leverage, solvency and turnover ratios significantly discriminated the three crisis periods. Yet, Altman‘s model had high misclassification error rate and less predictive power during the crisis than before and afterwards. With regards to the performance of banks, the result revealed that banks performed better in terms of profitability, liquidity and activity ratios for pre and post crisis than during the crisis. Additionally, researchers have become increasingly interested in linking marketing variables such as satisfaction, trust and loyalty to financial performance. While profitability ratio is commonly confirmed to be a significant predictor of performance, loyalty constructs are not generally assessed in this manner in the profit link framework. This implied that loyalty has not been shown to have a direct impact on financial performance. Hence, since both loyalty and profitability play vital roles to determine the success of banks, they should be fully considered before performance is established. In this thesis, an extension of past profit link research to include nonfinancial variables was considered. This research examined the link between satisfaction, trust and loyalty, and overall financial performance. The overall empirical findings provided evidence of a positive relationship of loyalty and levels of relative profitability. Nevertheless, satisfaction and trust were not statistically related to profitability in the UK retail banking sector.","author":[{"dropping-particle":"","family":"Ngwa","given":"Leonard Ndifor","non-dropping-particle":"","parse-names":false,"suffix":""}],"container-title":"Managing Service Quality","id":"ITEM-1","issue":"1","issued":{"date-parts":[["2016"]]},"number-of-pages":"1-278","title":"Impact of financial distress on UK public entities performance and customer loyalty: An empirical study","type":"thesis","volume":"5"},"uris":["http://www.mendeley.com/documents/?uuid=056781b5-6c6b-4946-bb04-6192c59e0dd9"]}],"mendeley":{"formattedCitation":"(Ngwa, 2016)","plainTextFormattedCitation":"(Ngwa, 2016)","previouslyFormattedCitation":"(Ngwa, 2016)"},"properties":{"noteIndex":0},"schema":"https://github.com/citation-style-language/schema/raw/master/csl-citation.json"}</w:instrText>
      </w:r>
      <w:r w:rsidRPr="00F527AF">
        <w:rPr>
          <w:rFonts w:asciiTheme="majorHAnsi" w:hAnsiTheme="majorHAnsi" w:cstheme="majorHAnsi"/>
          <w:sz w:val="24"/>
          <w:szCs w:val="24"/>
        </w:rPr>
        <w:fldChar w:fldCharType="separate"/>
      </w:r>
      <w:r w:rsidRPr="00F527AF">
        <w:rPr>
          <w:rFonts w:asciiTheme="majorHAnsi" w:hAnsiTheme="majorHAnsi" w:cstheme="majorHAnsi"/>
          <w:noProof/>
          <w:sz w:val="24"/>
          <w:szCs w:val="24"/>
        </w:rPr>
        <w:t>(Ngwa, 2016)</w:t>
      </w:r>
      <w:r w:rsidRPr="00F527AF">
        <w:rPr>
          <w:rFonts w:asciiTheme="majorHAnsi" w:hAnsiTheme="majorHAnsi" w:cstheme="majorHAnsi"/>
          <w:sz w:val="24"/>
          <w:szCs w:val="24"/>
        </w:rPr>
        <w:fldChar w:fldCharType="end"/>
      </w:r>
      <w:r w:rsidRPr="00F527AF">
        <w:rPr>
          <w:rFonts w:asciiTheme="majorHAnsi" w:hAnsiTheme="majorHAnsi" w:cstheme="majorHAnsi"/>
          <w:sz w:val="24"/>
          <w:szCs w:val="24"/>
        </w:rPr>
        <w:t xml:space="preserve">. </w:t>
      </w:r>
      <w:bookmarkEnd w:id="14"/>
    </w:p>
    <w:p w14:paraId="212E6801" w14:textId="23174BDE" w:rsidR="00A54103" w:rsidRPr="0022305D" w:rsidRDefault="00A54103" w:rsidP="00F527AF">
      <w:pPr>
        <w:spacing w:line="480" w:lineRule="auto"/>
        <w:ind w:firstLine="720"/>
        <w:rPr>
          <w:rFonts w:asciiTheme="majorHAnsi" w:hAnsiTheme="majorHAnsi" w:cstheme="majorHAnsi"/>
          <w:sz w:val="24"/>
          <w:szCs w:val="24"/>
        </w:rPr>
      </w:pPr>
      <w:r w:rsidRPr="00F527AF">
        <w:rPr>
          <w:rFonts w:asciiTheme="majorHAnsi" w:hAnsiTheme="majorHAnsi" w:cstheme="majorHAnsi"/>
          <w:sz w:val="24"/>
          <w:szCs w:val="24"/>
        </w:rPr>
        <w:t xml:space="preserve">According to </w:t>
      </w:r>
      <w:r w:rsidRPr="00F527AF">
        <w:rPr>
          <w:rFonts w:asciiTheme="majorHAnsi" w:hAnsiTheme="majorHAnsi" w:cstheme="majorHAnsi"/>
          <w:sz w:val="24"/>
          <w:szCs w:val="24"/>
        </w:rPr>
        <w:fldChar w:fldCharType="begin" w:fldLock="1"/>
      </w:r>
      <w:r w:rsidR="0002347B">
        <w:rPr>
          <w:rFonts w:asciiTheme="majorHAnsi" w:hAnsiTheme="majorHAnsi" w:cstheme="majorHAnsi"/>
          <w:sz w:val="24"/>
          <w:szCs w:val="24"/>
        </w:rPr>
        <w:instrText>ADDIN CSL_CITATION {"citationItems":[{"id":"ITEM-1","itemData":{"ISSN":"10072276","abstract":"Design and manufacture of higher rejection rate filters which meet the needs of accurate measurement of BaTiO 3 single crystal film high-speed electro-optic modulator waveguide devices were focused on. The filters were used to improve the signal-to-noise ratio of the test system and eliminate stray light interference. The films were prepared by the depositing method of dual ion beam sputtering, Nb and SiO 2 were chosen as deposition materials. The coating was designed and optimized with the help of Macleod and TFCalc software, orthogonal matrix method was used to optimize the process parameters of assist ion source. The absorption of film was reduced by using optimized process parameters, the problem of film thickness accuracy controlling was solved by using the method of real-time calibration of the deposition rate. Test transmission spectrum of the filter, center wavelength is 1550.1 nm, the pass band width is 5.1 nm, the wavelength interval of optical density from -0.1 dB to -30 dB is 1.9 nm, the using requirements of the waveguide accurate measurement system is achieved.","author":[{"dropping-particle":"","family":"Muriithi","given":"Jane","non-dropping-particle":"","parse-names":false,"suffix":""}],"container-title":"Journal of Business and Economics","id":"ITEM-1","issued":{"date-parts":[["2016"]]},"page":"1-197","title":"Effect of financial risk on financial performance of commercial banks in Kenya","type":"article-journal"},"uris":["http://www.mendeley.com/documents/?uuid=2e4cdd68-c75c-4951-a2b9-a0948f44fc8d"]}],"mendeley":{"formattedCitation":"(Muriithi, 2016)","manualFormatting":"Muriithi (2016)","plainTextFormattedCitation":"(Muriithi, 2016)","previouslyFormattedCitation":"(Muriithi, 2016)"},"properties":{"noteIndex":0},"schema":"https://github.com/citation-style-language/schema/raw/master/csl-citation.json"}</w:instrText>
      </w:r>
      <w:r w:rsidRPr="00F527AF">
        <w:rPr>
          <w:rFonts w:asciiTheme="majorHAnsi" w:hAnsiTheme="majorHAnsi" w:cstheme="majorHAnsi"/>
          <w:sz w:val="24"/>
          <w:szCs w:val="24"/>
        </w:rPr>
        <w:fldChar w:fldCharType="separate"/>
      </w:r>
      <w:r w:rsidRPr="00F527AF">
        <w:rPr>
          <w:rFonts w:asciiTheme="majorHAnsi" w:hAnsiTheme="majorHAnsi" w:cstheme="majorHAnsi"/>
          <w:noProof/>
          <w:sz w:val="24"/>
          <w:szCs w:val="24"/>
        </w:rPr>
        <w:t>Muriithi (2016)</w:t>
      </w:r>
      <w:r w:rsidRPr="00F527AF">
        <w:rPr>
          <w:rFonts w:asciiTheme="majorHAnsi" w:hAnsiTheme="majorHAnsi" w:cstheme="majorHAnsi"/>
          <w:sz w:val="24"/>
          <w:szCs w:val="24"/>
        </w:rPr>
        <w:fldChar w:fldCharType="end"/>
      </w:r>
      <w:r w:rsidRPr="0022305D">
        <w:rPr>
          <w:rFonts w:asciiTheme="majorHAnsi" w:hAnsiTheme="majorHAnsi" w:cstheme="majorHAnsi"/>
          <w:sz w:val="24"/>
          <w:szCs w:val="24"/>
        </w:rPr>
        <w:t xml:space="preserve">, commercial banking business entities are established  to increase shareholders’ wealth by accepting deposits and issuing loans to the public. </w:t>
      </w:r>
      <w:r w:rsidRPr="0022305D">
        <w:rPr>
          <w:rFonts w:asciiTheme="majorHAnsi" w:eastAsia="Times New Roman" w:hAnsiTheme="majorHAnsi" w:cstheme="majorHAnsi"/>
          <w:sz w:val="24"/>
          <w:szCs w:val="24"/>
        </w:rPr>
        <w:t>As at 31</w:t>
      </w:r>
      <w:r w:rsidRPr="0022305D">
        <w:rPr>
          <w:rFonts w:asciiTheme="majorHAnsi" w:eastAsia="Times New Roman" w:hAnsiTheme="majorHAnsi" w:cstheme="majorHAnsi"/>
          <w:sz w:val="24"/>
          <w:szCs w:val="24"/>
          <w:vertAlign w:val="superscript"/>
        </w:rPr>
        <w:t>st</w:t>
      </w:r>
      <w:r w:rsidRPr="0022305D">
        <w:rPr>
          <w:rFonts w:asciiTheme="majorHAnsi" w:eastAsia="Times New Roman" w:hAnsiTheme="majorHAnsi" w:cstheme="majorHAnsi"/>
          <w:sz w:val="24"/>
          <w:szCs w:val="24"/>
        </w:rPr>
        <w:t xml:space="preserve"> December,2019, there were 43 commercial banks in Kenya, out of which two were in receivership while one was under statutory management and 11 were listed in Nairobi securities exchange </w:t>
      </w:r>
      <w:r w:rsidRPr="0022305D">
        <w:rPr>
          <w:rFonts w:asciiTheme="majorHAnsi" w:eastAsia="Times New Roman" w:hAnsiTheme="majorHAnsi" w:cstheme="majorHAnsi"/>
          <w:sz w:val="24"/>
          <w:szCs w:val="24"/>
        </w:rPr>
        <w:fldChar w:fldCharType="begin" w:fldLock="1"/>
      </w:r>
      <w:r w:rsidR="00804351">
        <w:rPr>
          <w:rFonts w:asciiTheme="majorHAnsi" w:eastAsia="Times New Roman" w:hAnsiTheme="majorHAnsi" w:cstheme="majorHAnsi"/>
          <w:sz w:val="24"/>
          <w:szCs w:val="24"/>
        </w:rPr>
        <w:instrText>ADDIN CSL_CITATION {"citationItems":[{"id":"ITEM-1","itemData":{"author":[{"dropping-particle":"","family":"Central Bank of Kenya","given":"","non-dropping-particle":"","parse-names":false,"suffix":""}],"id":"ITEM-1","issued":{"date-parts":[["2019"]]},"number-of-pages":"1-118","title":"Central bank of Kenya supervision annual report 2019","type":"report"},"uris":["http://www.mendeley.com/documents/?uuid=99cfffe1-45c2-4c2f-812e-8caeb10be84b"]}],"mendeley":{"formattedCitation":"(Central Bank of Kenya, 2019)","manualFormatting":"(Central Bank of Kenya, 2019)","plainTextFormattedCitation":"(Central Bank of Kenya, 2019)","previouslyFormattedCitation":"(Central Bank of Kenya, 2019)"},"properties":{"noteIndex":0},"schema":"https://github.com/citation-style-language/schema/raw/master/csl-citation.json"}</w:instrText>
      </w:r>
      <w:r w:rsidRPr="0022305D">
        <w:rPr>
          <w:rFonts w:asciiTheme="majorHAnsi" w:eastAsia="Times New Roman" w:hAnsiTheme="majorHAnsi" w:cstheme="majorHAnsi"/>
          <w:sz w:val="24"/>
          <w:szCs w:val="24"/>
        </w:rPr>
        <w:fldChar w:fldCharType="separate"/>
      </w:r>
      <w:r w:rsidRPr="0022305D">
        <w:rPr>
          <w:rFonts w:asciiTheme="majorHAnsi" w:eastAsia="Times New Roman" w:hAnsiTheme="majorHAnsi" w:cstheme="majorHAnsi"/>
          <w:noProof/>
          <w:sz w:val="24"/>
          <w:szCs w:val="24"/>
        </w:rPr>
        <w:t>(Central Bank of Kenya, 2019)</w:t>
      </w:r>
      <w:r w:rsidRPr="0022305D">
        <w:rPr>
          <w:rFonts w:asciiTheme="majorHAnsi" w:eastAsia="Times New Roman" w:hAnsiTheme="majorHAnsi" w:cstheme="majorHAnsi"/>
          <w:sz w:val="24"/>
          <w:szCs w:val="24"/>
        </w:rPr>
        <w:fldChar w:fldCharType="end"/>
      </w:r>
      <w:r w:rsidRPr="0022305D">
        <w:rPr>
          <w:rFonts w:asciiTheme="majorHAnsi" w:eastAsia="Times New Roman" w:hAnsiTheme="majorHAnsi" w:cstheme="majorHAnsi"/>
          <w:sz w:val="24"/>
          <w:szCs w:val="24"/>
        </w:rPr>
        <w:t xml:space="preserve">. </w:t>
      </w:r>
      <w:r w:rsidRPr="0022305D">
        <w:rPr>
          <w:rFonts w:asciiTheme="majorHAnsi" w:hAnsiTheme="majorHAnsi" w:cstheme="majorHAnsi"/>
          <w:sz w:val="24"/>
          <w:szCs w:val="24"/>
        </w:rPr>
        <w:t xml:space="preserve">The profitability of commercial banking sector attracts attention of the general public and regulatory authorities since it performs a critical role in economic development through their intermediation functions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{"citationItems":[{"id":"ITEM-1","itemData":{"author":[{"dropping-particle":"","family":"Kahuthia","given":"Julius","non-dropping-particle":"","parse-names":false,"suffix":""}],"id":"ITEM-1","issued":{"date-parts":[["2016"]]},"number-of-pages":"1-164","title":"Drivers of competitive advantage and performance of commercial banks in Nairobi county, Kenya","type":"thesis"},"uris":["http://www.mendeley.com/documents/?uuid=2b02facc-6a8e-404d-bf02-fadc3278e6f3"]}],"mendeley":{"formattedCitation":"(Kahuthia, 2016)","plainTextFormattedCitation":"(Kahuthia, 2016)","previouslyFormattedCitation":"(Kahuthia, 2016)"},"properties":{"noteIndex":0},"schema":"https://github.com/citation-style-language/schema/raw/master/csl-citation.json"}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(Kahuthia, 2016)</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xml:space="preserve">. Despite regulations put in place by the central bank of Kenya to ensure that all banks operate within a given level of solvency; some banks still become bankrupt due to insolvency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{"citationItems":[{"id":"ITEM-1","itemData":{"author":[{"dropping-particle":"","family":"Central Bank of Kenya","given":"","non-dropping-particle":"","parse-names":false,"suffix":""}],"id":"ITEM-1","issued":{"date-parts":[["2017"]]},"page":"1-93","title":"Centra bank of Kenya supervision annual report 2017","type":"article-journal"},"uris":["http://www.mendeley.com/documents/?uuid=8a51cfb9-1324-46cc-a26b-35b72db90198"]}],"mendeley":{"formattedCitation":"(Central Bank of Kenya, 2017)","plainTextFormattedCitation":"(Central Bank of Kenya, 2017)","previouslyFormattedCitation":"(Central Bank of Kenya, 2017)"},"properties":{"noteIndex":0},"schema":"https://github.com/citation-style-language/schema/raw/master/csl-citation.json"}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(Central Bank of Kenya, 2017)</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xml:space="preserve">. This suggests that commercial banks must maintain profitability in order to remain relevant and competitive in the financial market. The efficiency of commercial banks in service </w:t>
      </w:r>
      <w:r w:rsidRPr="0022305D">
        <w:rPr>
          <w:rFonts w:asciiTheme="majorHAnsi" w:hAnsiTheme="majorHAnsi" w:cstheme="majorHAnsi"/>
          <w:sz w:val="24"/>
          <w:szCs w:val="24"/>
        </w:rPr>
        <w:lastRenderedPageBreak/>
        <w:t xml:space="preserve">delivery can only be realized if banks are profitable and solvent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{"citationItems":[{"id":"ITEM-1","itemData":{"author":[{"dropping-particle":"","family":"Pradhan","given":"Prof Radhe S","non-dropping-particle":"","parse-names":false,"suffix":""},{"dropping-particle":"","family":"Shrestha","given":"Deepa","non-dropping-particle":"","parse-names":false,"suffix":""}],"container-title":"Journal of management","id":"ITEM-1","issued":{"date-parts":[["2009"]]},"page":"1-14","title":"Impact of liquidity on bank profitability in Nepalese commercial banks","type":"article-journal"},"uris":["http://www.mendeley.com/documents/?uuid=f93c0496-7c21-43d9-9ae4-a5a156fe3815"]}],"mendeley":{"formattedCitation":"(Pradhan &amp; Shrestha, 2009)","plainTextFormattedCitation":"(Pradhan &amp; Shrestha, 2009)","previouslyFormattedCitation":"(Pradhan &amp; Shrestha, 2009)"},"properties":{"noteIndex":0},"schema":"https://github.com/citation-style-language/schema/raw/master/csl-citation.json"}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(Pradhan &amp; Shrestha, 2009)</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Therefore, this research is conducted to assess whether there is any significant relationship between solvency and profitability of commercial banks in Kenya.</w:t>
      </w:r>
    </w:p>
    <w:p w14:paraId="792CE315" w14:textId="77777777" w:rsidR="00B64A79" w:rsidRPr="0022305D" w:rsidRDefault="00B64A79" w:rsidP="002F0607">
      <w:pPr>
        <w:spacing w:line="480" w:lineRule="auto"/>
        <w:rPr>
          <w:rFonts w:asciiTheme="majorHAnsi" w:hAnsiTheme="majorHAnsi" w:cstheme="majorHAnsi"/>
          <w:sz w:val="24"/>
          <w:szCs w:val="24"/>
        </w:rPr>
      </w:pPr>
    </w:p>
    <w:p w14:paraId="5ED32368" w14:textId="1B4492BB" w:rsidR="00A54103" w:rsidRPr="0022305D" w:rsidRDefault="00A54103" w:rsidP="00DE2846">
      <w:pPr>
        <w:pStyle w:val="Heading2"/>
        <w:spacing w:line="480" w:lineRule="auto"/>
        <w:jc w:val="left"/>
        <w:rPr>
          <w:rFonts w:asciiTheme="majorHAnsi" w:hAnsiTheme="majorHAnsi" w:cstheme="majorHAnsi"/>
          <w:sz w:val="28"/>
          <w:szCs w:val="28"/>
        </w:rPr>
      </w:pPr>
      <w:bookmarkStart w:id="15" w:name="_Toc76494380"/>
      <w:bookmarkStart w:id="16" w:name="_Toc78205770"/>
      <w:r w:rsidRPr="0022305D">
        <w:rPr>
          <w:rFonts w:asciiTheme="majorHAnsi" w:hAnsiTheme="majorHAnsi" w:cstheme="majorHAnsi"/>
          <w:sz w:val="28"/>
          <w:szCs w:val="28"/>
        </w:rPr>
        <w:t>Background of the study</w:t>
      </w:r>
      <w:bookmarkEnd w:id="15"/>
      <w:bookmarkEnd w:id="16"/>
    </w:p>
    <w:p w14:paraId="6502324F" w14:textId="713A85B4" w:rsidR="00A54103" w:rsidRPr="0022305D" w:rsidRDefault="00A54103" w:rsidP="00A54103">
      <w:pPr>
        <w:spacing w:line="480" w:lineRule="auto"/>
        <w:ind w:firstLine="720"/>
        <w:rPr>
          <w:rFonts w:asciiTheme="majorHAnsi" w:hAnsiTheme="majorHAnsi" w:cstheme="majorHAnsi"/>
          <w:sz w:val="24"/>
          <w:szCs w:val="24"/>
        </w:rPr>
      </w:pPr>
      <w:r w:rsidRPr="0022305D">
        <w:rPr>
          <w:rFonts w:asciiTheme="majorHAnsi" w:hAnsiTheme="majorHAnsi" w:cstheme="majorHAnsi"/>
          <w:sz w:val="24"/>
          <w:szCs w:val="24"/>
        </w:rPr>
        <w:t xml:space="preserve">The optimal level of solvency is a critical component for smooth operation and keeping a high level of profitability for a business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{"citationItems":[{"id":"ITEM-1","itemData":{"DOI":"10.1002/ejsp.2570","ISSN":"07470088","abstract":"Abstract Mindfulness is a state of paying conscious and nonjudgmental attention to present‐moment experiences. Previous research relates this state to more effective emotion regulation and less emotion reactivity. We therefore hypothesized an attenuating effect of a mindfulness exercise on moral reactions that usually results from a bad conscience when having caused harm. Across five studies, we experimentally induced mindfulness via a short breathing exercise and then assessed harm‐based moral reactions. As hypothesized, participants in the mindfulness (vs. control) exercise condition showed a) attenuated repair intentions after having read a scenario in which participants caused harm to a friend (Study 3) and b) attenuated intentions to change harm‐causing eating habits (Study 4). Results of Studies 1, 2 and 5 did not provide evidence for our hypothesis. A following meta‐analysis across all five studies yielded an overall significant effect of mindfulness in the harm‐condition, providing preliminary evidence for a potential downside to mindfulness. This article is protected by copyright. All rights reserved.","author":[{"dropping-particle":"","family":"Yusoff","given":"Hanaffie","non-dropping-particle":"","parse-names":false,"suffix":""}],"container-title":"ABA Journal","id":"ITEM-1","issue":"4","issued":{"date-parts":[["2017"]]},"page":"24-25","title":"The effect of liquidity and solvency on profitability: The case of public-listed consumer product companies in Malaysis","type":"article-journal","volume":"102"},"uris":["http://www.mendeley.com/documents/?uuid=a68e60c9-3ece-4a21-ad63-544237c1c9d2"]}],"mendeley":{"formattedCitation":"(Yusoff, 2017)","plainTextFormattedCitation":"(Yusoff, 2017)","previouslyFormattedCitation":"(Yusoff, 2017)"},"properties":{"noteIndex":0},"schema":"https://github.com/citation-style-language/schema/raw/master/csl-citation.json"}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(Yusoff, 2017)</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Solvency, which is assessed by proportion of assets to liabilities, measures company's current and long-term financial health and stabilit</w:t>
      </w:r>
      <w:r w:rsidR="00D873C7">
        <w:rPr>
          <w:rFonts w:asciiTheme="majorHAnsi" w:hAnsiTheme="majorHAnsi" w:cstheme="majorHAnsi"/>
          <w:sz w:val="24"/>
          <w:szCs w:val="24"/>
        </w:rPr>
        <w:t>y</w:t>
      </w:r>
      <w:r w:rsidRPr="0022305D">
        <w:rPr>
          <w:rFonts w:asciiTheme="majorHAnsi" w:hAnsiTheme="majorHAnsi" w:cstheme="majorHAnsi"/>
          <w:sz w:val="24"/>
          <w:szCs w:val="24"/>
        </w:rPr>
        <w:t xml:space="preserve">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{"citationItems":[{"id":"ITEM-1","itemData":{"DOI":"10.5430/ijfr.v10n6p188","ISSN":"19234031","abstract":"The study aimed to investigate the factors that affect the solvency of the insurance companies in Palestine and to highlight the nature and strength of the relationship between liquidity, investment, leverage, claims and the solvency of the insurance companies in Palestine. To achieve the objectives of the study, the descriptive and quantitative analysis methods were used in the study. Based on the data of the financial statements of seven insurance companies (out of 9 companies) and by using regression of fixed effects of panel data for 2010-2017, the study found that the claims have a positive effect on the financial solvency and leverage has a negative effect on the solvency of insurance companies in Palestine, while investment and liquidity have an insignificant effect on financial solvency.","author":[{"dropping-particle":"","family":"Ayyash","given":"Issam","non-dropping-particle":"","parse-names":false,"suffix":""}],"container-title":"International Journal of Financial Research","id":"ITEM-1","issue":"6","issued":{"date-parts":[["2019"]]},"page":"188-195","title":"Determinants of the solvency of insurance companies in palestine","type":"article-journal","volume":"10"},"uris":["http://www.mendeley.com/documents/?uuid=c99753ce-983a-4a51-9344-7a9e594c8a3e"]}],"mendeley":{"formattedCitation":"(Ayyash, 2019)","plainTextFormattedCitation":"(Ayyash, 2019)","previouslyFormattedCitation":"(Ayyash, 2019)"},"properties":{"noteIndex":0},"schema":"https://github.com/citation-style-language/schema/raw/master/csl-citation.json"}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(Ayyash, 2019)</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Firms’ insolvency exposes shareholders and stake holders to an unforeseen financial risk which may be related with significant personal and financial cost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{"citationItems":[{"id":"ITEM-1","itemData":{"author":[{"dropping-particle":"","family":"Muigai","given":"Robert","non-dropping-particle":"","parse-names":false,"suffix":""}],"id":"ITEM-1","issued":{"date-parts":[["2016"]]},"number-of-pages":"1-172","title":"Effect of capital Structure on Financial Distress of Non-Financial Companies Listed in Nairobi Securities Exchange","type":"thesis"},"uris":["http://www.mendeley.com/documents/?uuid=90cbdbb8-9471-4756-9613-685474c55996"]}],"mendeley":{"formattedCitation":"(Muigai, 2016)","manualFormatting":"Muigai, 2016)","plainTextFormattedCitation":"(Muigai, 2016)","previouslyFormattedCitation":"(Muigai, 2016)"},"properties":{"noteIndex":0},"schema":"https://github.com/citation-style-language/schema/raw/master/csl-citation.json"}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Muigai, 2016)</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xml:space="preserve">. This suggests that insolvency may prompt reduced trust and confidence in financial institutions and liquidation might be the next action for an insolvent business.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{"citationItems":[{"id":"ITEM-1","itemData":{"abstract":"The second comparison divided farms into two groups based on an initial solvency ratio. The solvency ratio is not one of the 21 recommended FFSC ratios but it is a ratio commonly used with non-agricultural businesses. The solvency ratio is computed from net farm income plus depreciation and then divided by total debt capital. The comparisons based on solvency were computed in a similar fashion to the debt-to-asset ratio comparison.","author":[{"dropping-particle":"","family":"Ibendahl","given":"Gregory","non-dropping-particle":"","parse-names":false,"suffix":""}],"container-title":"The Journal of the ASFMRA","id":"ITEM-1","issued":{"date-parts":[["2016"]]},"page":"195-201","title":"Using solvency ratios to predict future profitability","type":"article-journal"},"uris":["http://www.mendeley.com/documents/?uuid=7048217e-7a49-4148-b2ba-7a600d89449d"]}],"mendeley":{"formattedCitation":"(Ibendahl, 2016)","manualFormatting":"Ibendahl (2016)","plainTextFormattedCitation":"(Ibendahl, 2016)","previouslyFormattedCitation":"(Ibendahl, 2016)"},"properties":{"noteIndex":0},"schema":"https://github.com/citation-style-language/schema/raw/master/csl-citation.json"}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Ibendahl (2016)</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xml:space="preserve"> in his study found that the level of solvency is estimated by the connection between the assets, liabilities and equity. Solvency influence a firm’s capacity to acquire financing and investment capital where solvent firms have higher total assets than total liabilities and insolvent firms cannot settle their long term debts even if total assets are sold since their total liabilities exceeds total assets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{"citationItems":[{"id":"ITEM-1","itemData":{"DOI":"10.1108/MF-05-2019-0241","ISSN":"17587743","abstract":"Purpose: This paper evaluates the importance of both liquidity and solvency risk factors on variations in efficiency measures of US commercial and domestic banks from 2005 to 2017. Design/methodology/approach: The analysis is conducted using the true random effect stochastic cost model to examine the role of both liquidity and solvency risk factors. To this end, the author uses the exponential stochastic cost function and adds new variables, including bank size, crisis as an indicator of the financial crisis and the Dodd–Frank Act and Basel II Accord as regulatory dummies. Findings: The results show that both liquidity and solvency risk factors positively affect the variance of cost inefficiency measures and thus have negative impact on the cost efficiency measures. In addition, banks increased the cost of financial intermediation during the financial crisis, whereas regulatory factors of Basel II Accord and Dodd–Frank Act play a crucial role in explaining the cost efficiency measures. Originality/value: These results are the first to quantify the impact of both liquidity and solvency on the variations in cost efficiency measures.","author":[{"dropping-particle":"","family":"Sakouvogui","given":"Kekoura","non-dropping-particle":"","parse-names":false,"suffix":""}],"container-title":"Managerial Finance","id":"ITEM-1","issue":"7","issued":{"date-parts":[["2020"]]},"page":"883-895","title":"Impact of liquidity and solvency risk factors on variations in efficiency of US banks","type":"article-journal","volume":"46"},"uris":["http://www.mendeley.com/documents/?uuid=6e213a4f-fcf3-41b3-9926-afd89992a4f7"]}],"mendeley":{"formattedCitation":"(Sakouvogui, 2020)","plainTextFormattedCitation":"(Sakouvogui, 2020)","previouslyFormattedCitation":"(Sakouvogui, 2020)"},"properties":{"noteIndex":0},"schema":"https://github.com/citation-style-language/schema/raw/master/csl-citation.json"}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(Sakouvogui, 2020)</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xml:space="preserve">. Shareholders, debenture holders and long-term creditors are interested in solvency position since it indicates the pattern of financing, whether long-term requirements have been met or not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{"citationItems":[{"id":"ITEM-1","itemData":{"author":[{"dropping-particle":"","family":"Dabo","given":"Zainab","non-dropping-particle":"","parse-names":false,"suffix":""}],"container-title":"Journal of business &amp; social sciences","id":"ITEM-1","issue":"Ii","issued":{"date-parts":[["2018"]]},"page":"1-42","title":"Solvency risk and financial prformance: Evidences from listed insurance firms in Nigeria","type":"article-journal","volume":"VIII"},"uris":["http://www.mendeley.com/documents/?uuid=ea9a1bd5-0422-44bb-ad5d-186f08d9db5b"]}],"mendeley":{"formattedCitation":"(Dabo, 2018)","plainTextFormattedCitation":"(Dabo, 2018)","previouslyFormattedCitation":"(Dabo, 2018)"},"properties":{"noteIndex":0},"schema":"https://github.com/citation-style-language/schema/raw/master/csl-citation.json"}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(Dabo, 2018)</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w:t>
      </w:r>
    </w:p>
    <w:p w14:paraId="2050DF43" w14:textId="0A8A1823" w:rsidR="00A54103" w:rsidRPr="0022305D" w:rsidRDefault="00A54103" w:rsidP="00A54103">
      <w:pPr>
        <w:spacing w:line="480" w:lineRule="auto"/>
        <w:ind w:firstLine="720"/>
        <w:rPr>
          <w:rFonts w:asciiTheme="majorHAnsi" w:eastAsia="Times New Roman" w:hAnsiTheme="majorHAnsi" w:cstheme="majorHAnsi"/>
          <w:sz w:val="24"/>
          <w:szCs w:val="24"/>
        </w:rPr>
      </w:pPr>
      <w:r w:rsidRPr="0022305D">
        <w:rPr>
          <w:rFonts w:asciiTheme="majorHAnsi" w:hAnsiTheme="majorHAnsi" w:cstheme="majorHAnsi"/>
          <w:sz w:val="24"/>
          <w:szCs w:val="24"/>
        </w:rPr>
        <w:t xml:space="preserve">Since profitability </w:t>
      </w:r>
      <w:r w:rsidRPr="0022305D">
        <w:rPr>
          <w:rFonts w:asciiTheme="majorHAnsi" w:hAnsiTheme="majorHAnsi" w:cstheme="majorHAnsi"/>
        </w:rPr>
        <w:t>measures ability to produce income based on available resources</w:t>
      </w:r>
      <w:r w:rsidRPr="0022305D">
        <w:rPr>
          <w:rFonts w:asciiTheme="majorHAnsi" w:hAnsiTheme="majorHAnsi" w:cstheme="majorHAnsi"/>
          <w:sz w:val="24"/>
          <w:szCs w:val="24"/>
        </w:rPr>
        <w:t xml:space="preserve">, it is </w:t>
      </w:r>
      <w:r w:rsidRPr="0022305D">
        <w:rPr>
          <w:rFonts w:asciiTheme="majorHAnsi" w:hAnsiTheme="majorHAnsi" w:cstheme="majorHAnsi"/>
        </w:rPr>
        <w:t>essential</w:t>
      </w:r>
      <w:r w:rsidRPr="0022305D">
        <w:rPr>
          <w:rFonts w:asciiTheme="majorHAnsi" w:hAnsiTheme="majorHAnsi" w:cstheme="majorHAnsi"/>
          <w:sz w:val="24"/>
          <w:szCs w:val="24"/>
        </w:rPr>
        <w:t xml:space="preserve"> for any firm to </w:t>
      </w:r>
      <w:r w:rsidRPr="0022305D">
        <w:rPr>
          <w:rFonts w:asciiTheme="majorHAnsi" w:hAnsiTheme="majorHAnsi" w:cstheme="majorHAnsi"/>
        </w:rPr>
        <w:t xml:space="preserve">remain competitive and to </w:t>
      </w:r>
      <w:r w:rsidRPr="0022305D">
        <w:rPr>
          <w:rFonts w:asciiTheme="majorHAnsi" w:hAnsiTheme="majorHAnsi" w:cstheme="majorHAnsi"/>
          <w:sz w:val="24"/>
          <w:szCs w:val="24"/>
        </w:rPr>
        <w:t xml:space="preserve">facilitate long-term financial </w:t>
      </w:r>
      <w:r w:rsidRPr="0022305D">
        <w:rPr>
          <w:rFonts w:asciiTheme="majorHAnsi" w:hAnsiTheme="majorHAnsi" w:cstheme="majorHAnsi"/>
          <w:sz w:val="24"/>
          <w:szCs w:val="24"/>
        </w:rPr>
        <w:lastRenderedPageBreak/>
        <w:t>prosperity</w:t>
      </w:r>
      <w:r w:rsidR="00D873C7">
        <w:rPr>
          <w:rFonts w:asciiTheme="majorHAnsi" w:hAnsiTheme="majorHAnsi" w:cstheme="majorHAnsi"/>
          <w:sz w:val="24"/>
          <w:szCs w:val="24"/>
        </w:rPr>
        <w:t xml:space="preserve"> </w:t>
      </w:r>
      <w:r w:rsidRPr="0022305D">
        <w:rPr>
          <w:rFonts w:asciiTheme="majorHAnsi" w:hAnsiTheme="majorHAnsi" w:cstheme="majorHAnsi"/>
          <w:sz w:val="24"/>
          <w:szCs w:val="24"/>
        </w:rPr>
        <w:fldChar w:fldCharType="begin" w:fldLock="1"/>
      </w:r>
      <w:r w:rsidRPr="0022305D">
        <w:rPr>
          <w:rFonts w:asciiTheme="majorHAnsi" w:hAnsiTheme="majorHAnsi" w:cstheme="majorHAnsi"/>
        </w:rPr>
        <w:instrText>ADDIN CSL_CITATION {"citationItems":[{"id":"ITEM-1","itemData":{"DOI":"10.5267/j.ac.2019.11.002","ISSN":"23697407","abstract":"This paper examines the relationship between capital structure and profitability of non-financial companies listed on Vietnam's stock market. The panel data is extracted from financial statements of 488 listed companies between 2013 and 2018. Capital structure discussed is represented by the ratios of short-term liabilities, long-term liabilities and total liabilities to total assets, and profitability is measured by Return on Equity (ROE), Return on Assets (ROA) and Earnings per share (EPS). Firm size, growth rate, liquidity, ratio of fixed assets to total assets are control variables in the study. The Generalized Least Square (GLS) is applied to different models, including ROE, ROA and EPS Model, and tests of autocorrelation, multicollinearity and heteroskedasticity are run to confirm the relationship between capital structure and business performance. The results show that the capital structure of Vietnamese listed non-financial companies is negatively related to their performance. Taking industrial product sectors as the preference sectors, the results show that pharmaceutical and medical, the consumer goods and the public utility industries had a higher relationship between capital structure and firm’s performance (via ROE, ROA, EPS) than industrial product sectors. These evidences are useful new insights to investors, business managers and governmental authorities.","author":[{"dropping-particle":"","family":"Nguyen","given":"Anh","non-dropping-particle":"","parse-names":false,"suffix":""}],"container-title":"Journal of Accounting","id":"ITEM-1","issue":"2","issued":{"date-parts":[["2020"]]},"page":"137-150","title":"Capital structure and firm performance of non-financial listed companies: Cross-sector empirical evidences from Vietnam","type":"article-journal","volume":"6"},"uris":["http://www.mendeley.com/documents/?uuid=99661c88-ebc0-4166-b69d-71013f986846"]}],"mendeley":{"formattedCitation":"(Nguyen, 2020)","plainTextFormattedCitation":"(Nguyen, 2020)","previouslyFormattedCitation":"(Nguyen, 2020)"},"properties":{"noteIndex":0},"schema":"https://github.com/citation-style-language/schema/raw/master/csl-citation.json"}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(Nguyen, 2020)</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xml:space="preserve">. According to </w:t>
      </w:r>
      <w:r w:rsidRPr="0022305D">
        <w:rPr>
          <w:rFonts w:asciiTheme="majorHAnsi" w:hAnsiTheme="majorHAnsi" w:cstheme="majorHAnsi"/>
        </w:rPr>
        <w:t xml:space="preserve"> </w:t>
      </w:r>
      <w:r w:rsidRPr="0022305D">
        <w:rPr>
          <w:rFonts w:asciiTheme="majorHAnsi" w:hAnsiTheme="majorHAnsi" w:cstheme="majorHAnsi"/>
        </w:rPr>
        <w:fldChar w:fldCharType="begin" w:fldLock="1"/>
      </w:r>
      <w:r w:rsidRPr="0022305D">
        <w:rPr>
          <w:rFonts w:asciiTheme="majorHAnsi" w:hAnsiTheme="majorHAnsi" w:cstheme="majorHAnsi"/>
        </w:rPr>
        <w:instrText>ADDIN CSL_CITATION {"citationItems":[{"id":"ITEM-1","itemData":{"abstract":"In the light of the global financial crisis of 2007 which is considered to be the worst since the Great Depression of the 1930s, it is evident that no bank is too big to fail. There have been a number of corporate failures in recent years, including instances in the United Kingdom. These events, therefore, motivated this study in terms of emphasising the need to apply financial distress prediction models to examine the performance of UK banks. This work aims at empirically examining and analysing the performance of UK retail banks amid the financial crisis, covering three periods: before, during and afterwards. In doing so, the accuracy of Altman‘s financial ratios of early warning statistical distress prediction models was examined. Both primary and secondary data were employed to find answers to the research questions. The first result indicated that Altman‘s ratios: leverage, solvency and turnover ratios significantly discriminated the three crisis periods. Yet, Altman‘s model had high misclassification error rate and less predictive power during the crisis than before and afterwards. With regards to the performance of banks, the result revealed that banks performed better in terms of profitability, liquidity and activity ratios for pre and post crisis than during the crisis. Additionally, researchers have become increasingly interested in linking marketing variables such as satisfaction, trust and loyalty to financial performance. While profitability ratio is commonly confirmed to be a significant predictor of performance, loyalty constructs are not generally assessed in this manner in the profit link framework. This implied that loyalty has not been shown to have a direct impact on financial performance. Hence, since both loyalty and profitability play vital roles to determine the success of banks, they should be fully considered before performance is established. In this thesis, an extension of past profit link research to include nonfinancial variables was considered. This research examined the link between satisfaction, trust and loyalty, and overall financial performance. The overall empirical findings provided evidence of a positive relationship of loyalty and levels of relative profitability. Nevertheless, satisfaction and trust were not statistically related to profitability in the UK retail banking sector.","author":[{"dropping-particle":"","family":"Ngwa","given":"Leonard Ndifor","non-dropping-particle":"","parse-names":false,"suffix":""}],"container-title":"Managing Service Quality","id":"ITEM-1","issue":"1","issued":{"date-parts":[["2016"]]},"number-of-pages":"1-278","title":"Impact of financial distress on UK public entities performance and customer loyalty: An empirical study","type":"thesis","volume":"5"},"uris":["http://www.mendeley.com/documents/?uuid=056781b5-6c6b-4946-bb04-6192c59e0dd9"]}],"mendeley":{"formattedCitation":"(Ngwa, 2016)","manualFormatting":"Ngwa (2016)","plainTextFormattedCitation":"(Ngwa, 2016)","previouslyFormattedCitation":"(Ngwa, 2016)"},"properties":{"noteIndex":0},"schema":"https://github.com/citation-style-language/schema/raw/master/csl-citation.json"}</w:instrText>
      </w:r>
      <w:r w:rsidRPr="0022305D">
        <w:rPr>
          <w:rFonts w:asciiTheme="majorHAnsi" w:hAnsiTheme="majorHAnsi" w:cstheme="majorHAnsi"/>
        </w:rPr>
        <w:fldChar w:fldCharType="separate"/>
      </w:r>
      <w:r w:rsidRPr="0022305D">
        <w:rPr>
          <w:rFonts w:asciiTheme="majorHAnsi" w:hAnsiTheme="majorHAnsi" w:cstheme="majorHAnsi"/>
          <w:noProof/>
        </w:rPr>
        <w:t>Ngwa (2016)</w:t>
      </w:r>
      <w:r w:rsidRPr="0022305D">
        <w:rPr>
          <w:rFonts w:asciiTheme="majorHAnsi" w:hAnsiTheme="majorHAnsi" w:cstheme="majorHAnsi"/>
        </w:rPr>
        <w:fldChar w:fldCharType="end"/>
      </w:r>
      <w:r w:rsidRPr="0022305D">
        <w:rPr>
          <w:rFonts w:asciiTheme="majorHAnsi" w:hAnsiTheme="majorHAnsi" w:cstheme="majorHAnsi"/>
          <w:sz w:val="24"/>
          <w:szCs w:val="24"/>
        </w:rPr>
        <w:t xml:space="preserve"> there is a positive relationship between profitability and earnings. This implies that the higher the profitability, the higher the earnings, and the lower the profitability the lower the earnings.</w:t>
      </w:r>
      <w:r w:rsidRPr="0022305D">
        <w:rPr>
          <w:rFonts w:asciiTheme="majorHAnsi" w:hAnsiTheme="majorHAnsi" w:cstheme="majorHAnsi"/>
          <w:sz w:val="30"/>
          <w:szCs w:val="30"/>
        </w:rPr>
        <w:t xml:space="preserve"> </w:t>
      </w:r>
      <w:r w:rsidRPr="0022305D">
        <w:rPr>
          <w:rFonts w:asciiTheme="majorHAnsi" w:hAnsiTheme="majorHAnsi" w:cstheme="majorHAnsi"/>
          <w:sz w:val="24"/>
          <w:szCs w:val="24"/>
        </w:rPr>
        <w:t xml:space="preserve">Increased profitability largely minimizes the risk of commercial banks being closed down due to inability to meet their obligations because higher returns makes the banking sector more sustainable, thereby financing economic growth and development of a country </w:t>
      </w:r>
      <w:r w:rsidRPr="0022305D">
        <w:rPr>
          <w:rFonts w:asciiTheme="majorHAnsi" w:hAnsiTheme="majorHAnsi" w:cstheme="majorHAnsi"/>
          <w:sz w:val="24"/>
          <w:szCs w:val="24"/>
        </w:rPr>
        <w:fldChar w:fldCharType="begin" w:fldLock="1"/>
      </w:r>
      <w:r w:rsidR="0002347B">
        <w:rPr>
          <w:rFonts w:asciiTheme="majorHAnsi" w:hAnsiTheme="majorHAnsi" w:cstheme="majorHAnsi"/>
          <w:sz w:val="24"/>
          <w:szCs w:val="24"/>
        </w:rPr>
        <w:instrText>ADDIN CSL_CITATION {"citationItems":[{"id":"ITEM-1","itemData":{"author":[{"dropping-particle":"","family":"Malgit","given":"Amos","non-dropping-particle":"","parse-names":false,"suffix":""}],"container-title":"Journal of accounting and business education","id":"ITEM-1","issued":{"date-parts":[["2020"]]},"page":"1-183","title":"Fundamental risk factors and profitability of commercial banks in Nigeria","type":"article-journal"},"uris":["http://www.mendeley.com/documents/?uuid=5a9edf5d-11cc-49da-9cc6-876dd80dcc15"]}],"mendeley":{"formattedCitation":"(Malgit, 2020)","plainTextFormattedCitation":"(Malgit, 2020)","previouslyFormattedCitation":"(Malgit, 2020)"},"properties":{"noteIndex":0},"schema":"https://github.com/citation-style-language/schema/raw/master/csl-citation.json"}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(Malgit, 2020)</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xml:space="preserve">. Profitability is the eventual goal of all business endeavors, whether short-term and long-term </w:t>
      </w:r>
      <w:r w:rsidRPr="0022305D">
        <w:rPr>
          <w:rFonts w:asciiTheme="majorHAnsi" w:eastAsia="Times New Roman" w:hAnsiTheme="majorHAnsi" w:cstheme="majorHAnsi"/>
          <w:sz w:val="24"/>
          <w:szCs w:val="24"/>
        </w:rPr>
        <w:t xml:space="preserve">because it provide complete information to stakeholders for decision making and management of assets, revenue and expenses </w:t>
      </w:r>
      <w:r w:rsidRPr="0022305D">
        <w:rPr>
          <w:rFonts w:asciiTheme="majorHAnsi" w:eastAsia="Times New Roman" w:hAnsiTheme="majorHAnsi" w:cstheme="majorHAnsi"/>
          <w:sz w:val="24"/>
          <w:szCs w:val="24"/>
        </w:rPr>
        <w:fldChar w:fldCharType="begin" w:fldLock="1"/>
      </w:r>
      <w:r w:rsidRPr="0022305D">
        <w:rPr>
          <w:rFonts w:asciiTheme="majorHAnsi" w:eastAsia="Times New Roman" w:hAnsiTheme="majorHAnsi" w:cstheme="majorHAnsi"/>
          <w:sz w:val="24"/>
          <w:szCs w:val="24"/>
        </w:rPr>
        <w:instrText>ADDIN CSL_CITATION {"citationItems":[{"id":"ITEM-1","itemData":{"abstract":"This study aims to examine the effect of profitability ration on market capitalization in the Jordanian insurance companies listed in Amman stock exchange (ASE) by examining time series data collected over a period of four years from (2010 – 2013) which included 25 companies and utilizing content analysis to extract the data from the company's annual reports. The finding indicated that there's an effect of Return on Investment (ROI) upon market capitalization for the companies operating in the insurance sector listed in the ASE. In terms of the effect of Return on Equity (ROE) on market capitalization, the study revealed that ROE does not affect the market capitalization for the companies operating in the insurance sector listed in ASE. In respect of the effect of Return on Asset (ROA) on market capitalization, the result indicated that there is an effect of ROA on Market Capitalization for the companies operating in the insurance sector listed in ASE. Additionally, by examining the effect of the independent variables (ROA, ROI, and ROE) combined in the market capitalization variable, the study revealed that all of ROA, ROI, ROE combined effects on the market capitalization and thus the main hypothesis was accepted and requires that there is an effect of profitability measured by (ROA, ROI, ROE) on market capitalization for the companies operating in the insurance listed in (ASE). Finally, the study contributes by utilizing a content analysis for a time series data in order to track the relation between financial performance indicators and market capitalization in an emerging economy such as Jordan, specifically Jordanian insurance sector. 1. Introduction Financial Analysis defined as the process of assessing the financial position of a company by analyzing its stability, viability and profitability. One of the primary objectives of financial analysis is to recognize changes in financial trends, to help measure the progress made by an enterprise and identify a relationship to draw a logical conclusion on the performance of the company, (Sultan, 2014). Profitability or financial performance could be defined as a measurement of the results of a firm's polices and operations in monetary terms. In order to evaluate the company's inclusive financial situation, accounting out provides two main statements, the income statement and the financial position statement which are significant recourses, as the income statement captures the company's operating performa…","author":[{"dropping-particle":"","family":"Al-Nimer","given":"Munther","non-dropping-particle":"","parse-names":false,"suffix":""},{"dropping-particle":"","family":"Al-sliha","given":"Nimer","non-dropping-particle":"","parse-names":false,"suffix":""}],"container-title":"Journal of Economics and Sustainable Development","id":"ITEM-1","issue":"6","issued":{"date-parts":[["2015"]]},"page":"140-147","title":"The effect of profitability ratios on market capitalization in Jordanian insurance companies listed in Amman stock exchange","type":"article-journal","volume":"6"},"uris":["http://www.mendeley.com/documents/?uuid=ad889b79-0f02-4d18-b374-33587ead8a59"]}],"mendeley":{"formattedCitation":"(Al-Nimer &amp; Al-sliha, 2015)","plainTextFormattedCitation":"(Al-Nimer &amp; Al-sliha, 2015)","previouslyFormattedCitation":"(Al-Nimer &amp; Al-sliha, 2015)"},"properties":{"noteIndex":0},"schema":"https://github.com/citation-style-language/schema/raw/master/csl-citation.json"}</w:instrText>
      </w:r>
      <w:r w:rsidRPr="0022305D">
        <w:rPr>
          <w:rFonts w:asciiTheme="majorHAnsi" w:eastAsia="Times New Roman" w:hAnsiTheme="majorHAnsi" w:cstheme="majorHAnsi"/>
          <w:sz w:val="24"/>
          <w:szCs w:val="24"/>
        </w:rPr>
        <w:fldChar w:fldCharType="separate"/>
      </w:r>
      <w:r w:rsidRPr="0022305D">
        <w:rPr>
          <w:rFonts w:asciiTheme="majorHAnsi" w:eastAsia="Times New Roman" w:hAnsiTheme="majorHAnsi" w:cstheme="majorHAnsi"/>
          <w:noProof/>
          <w:sz w:val="24"/>
          <w:szCs w:val="24"/>
        </w:rPr>
        <w:t>(Al-Nimer &amp; Al-sliha, 2015)</w:t>
      </w:r>
      <w:r w:rsidRPr="0022305D">
        <w:rPr>
          <w:rFonts w:asciiTheme="majorHAnsi" w:eastAsia="Times New Roman" w:hAnsiTheme="majorHAnsi" w:cstheme="majorHAnsi"/>
          <w:sz w:val="24"/>
          <w:szCs w:val="24"/>
        </w:rPr>
        <w:fldChar w:fldCharType="end"/>
      </w:r>
      <w:r w:rsidRPr="0022305D">
        <w:rPr>
          <w:rFonts w:asciiTheme="majorHAnsi" w:eastAsia="Times New Roman" w:hAnsiTheme="majorHAnsi" w:cstheme="majorHAnsi"/>
          <w:sz w:val="24"/>
          <w:szCs w:val="24"/>
        </w:rPr>
        <w:t>.</w:t>
      </w:r>
    </w:p>
    <w:p w14:paraId="174B6E40" w14:textId="2FD45FE6" w:rsidR="009300F5" w:rsidRPr="0022305D" w:rsidRDefault="004E258C" w:rsidP="002D647E">
      <w:pPr>
        <w:spacing w:line="480" w:lineRule="auto"/>
        <w:ind w:firstLine="720"/>
        <w:rPr>
          <w:rFonts w:asciiTheme="majorHAnsi" w:hAnsiTheme="majorHAnsi" w:cstheme="majorHAnsi"/>
          <w:color w:val="FF0000"/>
          <w:sz w:val="24"/>
          <w:szCs w:val="24"/>
        </w:rPr>
      </w:pPr>
      <w:r w:rsidRPr="0022305D">
        <w:rPr>
          <w:rFonts w:asciiTheme="majorHAnsi" w:hAnsiTheme="majorHAnsi" w:cstheme="majorHAnsi"/>
          <w:sz w:val="24"/>
          <w:szCs w:val="24"/>
        </w:rPr>
        <w:t>Literature shows that some banks have been closed down due to low profitability, wh</w:t>
      </w:r>
      <w:r w:rsidR="00E03159" w:rsidRPr="0022305D">
        <w:rPr>
          <w:rFonts w:asciiTheme="majorHAnsi" w:hAnsiTheme="majorHAnsi" w:cstheme="majorHAnsi"/>
          <w:sz w:val="24"/>
          <w:szCs w:val="24"/>
        </w:rPr>
        <w:t>ile</w:t>
      </w:r>
      <w:r w:rsidRPr="0022305D">
        <w:rPr>
          <w:rFonts w:asciiTheme="majorHAnsi" w:hAnsiTheme="majorHAnsi" w:cstheme="majorHAnsi"/>
          <w:sz w:val="24"/>
          <w:szCs w:val="24"/>
        </w:rPr>
        <w:t xml:space="preserve"> they have high level of solvency; For example, </w:t>
      </w:r>
      <w:r w:rsidR="00823AD1" w:rsidRPr="0022305D">
        <w:rPr>
          <w:rFonts w:asciiTheme="majorHAnsi" w:hAnsiTheme="majorHAnsi" w:cstheme="majorHAnsi"/>
          <w:sz w:val="24"/>
          <w:szCs w:val="24"/>
        </w:rPr>
        <w:t xml:space="preserve">according to </w:t>
      </w:r>
      <w:r w:rsidR="00823AD1" w:rsidRPr="0022305D">
        <w:rPr>
          <w:rFonts w:asciiTheme="majorHAnsi" w:hAnsiTheme="majorHAnsi" w:cstheme="majorHAnsi"/>
          <w:sz w:val="24"/>
          <w:szCs w:val="24"/>
        </w:rPr>
        <w:fldChar w:fldCharType="begin" w:fldLock="1"/>
      </w:r>
      <w:r w:rsidR="007B2007">
        <w:rPr>
          <w:rFonts w:asciiTheme="majorHAnsi" w:hAnsiTheme="majorHAnsi" w:cstheme="majorHAnsi"/>
          <w:sz w:val="24"/>
          <w:szCs w:val="24"/>
        </w:rPr>
        <w:instrText>ADDIN CSL_CITATION {"citationItems":[{"id":"ITEM-1","itemData":{"author":[{"dropping-particle":"","family":"Federal Deposit Insurance Corporation","given":"","non-dropping-particle":"","parse-names":false,"suffix":""}],"id":"ITEM-1","issued":{"date-parts":[["2020"]]},"number-of-pages":"2-3","title":"Failed banks in USA","type":"report"},"uris":["http://www.mendeley.com/documents/?uuid=0cec7601-a46f-4a65-8afa-f529ad0e2c92"]}],"mendeley":{"formattedCitation":"(Federal Deposit Insurance Corporation, 2020)","manualFormatting":"Federal Deposit Insurance Corporation (2020)","plainTextFormattedCitation":"(Federal Deposit Insurance Corporation, 2020)","previouslyFormattedCitation":"(Federal Deposit Insurance Corporation, 2020)"},"properties":{"noteIndex":0},"schema":"https://github.com/citation-style-language/schema/raw/master/csl-citation.json"}</w:instrText>
      </w:r>
      <w:r w:rsidR="00823AD1" w:rsidRPr="0022305D">
        <w:rPr>
          <w:rFonts w:asciiTheme="majorHAnsi" w:hAnsiTheme="majorHAnsi" w:cstheme="majorHAnsi"/>
          <w:sz w:val="24"/>
          <w:szCs w:val="24"/>
        </w:rPr>
        <w:fldChar w:fldCharType="separate"/>
      </w:r>
      <w:r w:rsidR="00823AD1" w:rsidRPr="0022305D">
        <w:rPr>
          <w:rFonts w:asciiTheme="majorHAnsi" w:hAnsiTheme="majorHAnsi" w:cstheme="majorHAnsi"/>
          <w:noProof/>
          <w:sz w:val="24"/>
          <w:szCs w:val="24"/>
        </w:rPr>
        <w:t>Federal Deposit Insurance Corporation (2020)</w:t>
      </w:r>
      <w:r w:rsidR="00823AD1" w:rsidRPr="0022305D">
        <w:rPr>
          <w:rFonts w:asciiTheme="majorHAnsi" w:hAnsiTheme="majorHAnsi" w:cstheme="majorHAnsi"/>
          <w:sz w:val="24"/>
          <w:szCs w:val="24"/>
        </w:rPr>
        <w:fldChar w:fldCharType="end"/>
      </w:r>
      <w:r w:rsidR="00E46C59" w:rsidRPr="0022305D">
        <w:rPr>
          <w:rFonts w:asciiTheme="majorHAnsi" w:hAnsiTheme="majorHAnsi" w:cstheme="majorHAnsi"/>
          <w:sz w:val="24"/>
          <w:szCs w:val="24"/>
        </w:rPr>
        <w:t>,</w:t>
      </w:r>
      <w:r w:rsidR="00823AD1" w:rsidRPr="0022305D">
        <w:rPr>
          <w:rFonts w:asciiTheme="majorHAnsi" w:hAnsiTheme="majorHAnsi" w:cstheme="majorHAnsi"/>
          <w:sz w:val="24"/>
          <w:szCs w:val="24"/>
        </w:rPr>
        <w:t xml:space="preserve"> eight commercial banks in the United States of America were closed down between 2019 and 2020 due to low profitability</w:t>
      </w:r>
      <w:r w:rsidR="00484B61" w:rsidRPr="0022305D">
        <w:rPr>
          <w:rFonts w:asciiTheme="majorHAnsi" w:hAnsiTheme="majorHAnsi" w:cstheme="majorHAnsi"/>
          <w:sz w:val="24"/>
          <w:szCs w:val="24"/>
        </w:rPr>
        <w:t>, yet their solvency level were high</w:t>
      </w:r>
      <w:r w:rsidR="00823AD1" w:rsidRPr="0022305D">
        <w:rPr>
          <w:rFonts w:asciiTheme="majorHAnsi" w:hAnsiTheme="majorHAnsi" w:cstheme="majorHAnsi"/>
          <w:sz w:val="24"/>
          <w:szCs w:val="24"/>
        </w:rPr>
        <w:t xml:space="preserve">. </w:t>
      </w:r>
      <w:r w:rsidR="00561037" w:rsidRPr="0022305D">
        <w:rPr>
          <w:rFonts w:asciiTheme="majorHAnsi" w:hAnsiTheme="majorHAnsi" w:cstheme="majorHAnsi"/>
          <w:sz w:val="24"/>
          <w:szCs w:val="24"/>
        </w:rPr>
        <w:t>Bank of Tanzania closed 5 commercial banks in January 2018</w:t>
      </w:r>
      <w:r w:rsidR="00017027" w:rsidRPr="0022305D">
        <w:rPr>
          <w:rFonts w:asciiTheme="majorHAnsi" w:hAnsiTheme="majorHAnsi" w:cstheme="majorHAnsi"/>
          <w:sz w:val="24"/>
          <w:szCs w:val="24"/>
        </w:rPr>
        <w:t xml:space="preserve"> due to </w:t>
      </w:r>
      <w:r w:rsidR="00581E8B" w:rsidRPr="0022305D">
        <w:rPr>
          <w:rFonts w:asciiTheme="majorHAnsi" w:hAnsiTheme="majorHAnsi" w:cstheme="majorHAnsi"/>
          <w:sz w:val="24"/>
          <w:szCs w:val="24"/>
        </w:rPr>
        <w:t>low profitability</w:t>
      </w:r>
      <w:r w:rsidR="00D04027" w:rsidRPr="0022305D">
        <w:rPr>
          <w:rFonts w:asciiTheme="majorHAnsi" w:hAnsiTheme="majorHAnsi" w:cstheme="majorHAnsi"/>
          <w:sz w:val="24"/>
          <w:szCs w:val="24"/>
        </w:rPr>
        <w:t>,</w:t>
      </w:r>
      <w:r w:rsidR="00013227" w:rsidRPr="0022305D">
        <w:rPr>
          <w:rFonts w:asciiTheme="majorHAnsi" w:hAnsiTheme="majorHAnsi" w:cstheme="majorHAnsi"/>
          <w:sz w:val="24"/>
          <w:szCs w:val="24"/>
        </w:rPr>
        <w:t xml:space="preserve"> </w:t>
      </w:r>
      <w:r w:rsidR="00484B61" w:rsidRPr="0022305D">
        <w:rPr>
          <w:rFonts w:asciiTheme="majorHAnsi" w:hAnsiTheme="majorHAnsi" w:cstheme="majorHAnsi"/>
          <w:sz w:val="24"/>
          <w:szCs w:val="24"/>
        </w:rPr>
        <w:t>when</w:t>
      </w:r>
      <w:r w:rsidR="00013227" w:rsidRPr="0022305D">
        <w:rPr>
          <w:rFonts w:asciiTheme="majorHAnsi" w:hAnsiTheme="majorHAnsi" w:cstheme="majorHAnsi"/>
          <w:sz w:val="24"/>
          <w:szCs w:val="24"/>
        </w:rPr>
        <w:t xml:space="preserve"> their solvency level</w:t>
      </w:r>
      <w:r w:rsidR="001D3806" w:rsidRPr="0022305D">
        <w:rPr>
          <w:rFonts w:asciiTheme="majorHAnsi" w:hAnsiTheme="majorHAnsi" w:cstheme="majorHAnsi"/>
          <w:sz w:val="24"/>
          <w:szCs w:val="24"/>
        </w:rPr>
        <w:t>s</w:t>
      </w:r>
      <w:r w:rsidR="00013227" w:rsidRPr="0022305D">
        <w:rPr>
          <w:rFonts w:asciiTheme="majorHAnsi" w:hAnsiTheme="majorHAnsi" w:cstheme="majorHAnsi"/>
          <w:sz w:val="24"/>
          <w:szCs w:val="24"/>
        </w:rPr>
        <w:t xml:space="preserve"> were high</w:t>
      </w:r>
      <w:r w:rsidR="00406D13" w:rsidRPr="0022305D">
        <w:rPr>
          <w:rFonts w:asciiTheme="majorHAnsi" w:hAnsiTheme="majorHAnsi" w:cstheme="majorHAnsi"/>
          <w:sz w:val="24"/>
          <w:szCs w:val="24"/>
        </w:rPr>
        <w:t xml:space="preserve"> </w:t>
      </w:r>
      <w:r w:rsidR="00406D13" w:rsidRPr="0022305D">
        <w:rPr>
          <w:rFonts w:asciiTheme="majorHAnsi" w:hAnsiTheme="majorHAnsi" w:cstheme="majorHAnsi"/>
          <w:sz w:val="24"/>
          <w:szCs w:val="24"/>
        </w:rPr>
        <w:fldChar w:fldCharType="begin" w:fldLock="1"/>
      </w:r>
      <w:r w:rsidR="00F409A5" w:rsidRPr="0022305D">
        <w:rPr>
          <w:rFonts w:asciiTheme="majorHAnsi" w:hAnsiTheme="majorHAnsi" w:cstheme="majorHAnsi"/>
          <w:sz w:val="24"/>
          <w:szCs w:val="24"/>
        </w:rPr>
        <w:instrText>ADDIN CSL_CITATION {"citationItems":[{"id":"ITEM-1","itemData":{"author":[{"dropping-particle":"","family":"International Monetary Fund","given":"","non-dropping-particle":"","parse-names":false,"suffix":""}],"id":"ITEM-1","issue":"18","issued":{"date-parts":[["2018"]]},"number-of-pages":"346","title":"Financial system stability assessment-United republic of Tanzania","type":"report"},"uris":["http://www.mendeley.com/documents/?uuid=fea697cf-3156-4f80-a12a-57c930754a0b"]}],"mendeley":{"formattedCitation":"(International Monetary Fund, 2018)","plainTextFormattedCitation":"(International Monetary Fund, 2018)","previouslyFormattedCitation":"(International Monetary Fund, 2018)"},"properties":{"noteIndex":0},"schema":"https://github.com/citation-style-language/schema/raw/master/csl-citation.json"}</w:instrText>
      </w:r>
      <w:r w:rsidR="00406D13" w:rsidRPr="0022305D">
        <w:rPr>
          <w:rFonts w:asciiTheme="majorHAnsi" w:hAnsiTheme="majorHAnsi" w:cstheme="majorHAnsi"/>
          <w:sz w:val="24"/>
          <w:szCs w:val="24"/>
        </w:rPr>
        <w:fldChar w:fldCharType="separate"/>
      </w:r>
      <w:r w:rsidR="00406D13" w:rsidRPr="0022305D">
        <w:rPr>
          <w:rFonts w:asciiTheme="majorHAnsi" w:hAnsiTheme="majorHAnsi" w:cstheme="majorHAnsi"/>
          <w:noProof/>
          <w:sz w:val="24"/>
          <w:szCs w:val="24"/>
        </w:rPr>
        <w:t>(International Monetary Fund, 2018)</w:t>
      </w:r>
      <w:r w:rsidR="00406D13" w:rsidRPr="0022305D">
        <w:rPr>
          <w:rFonts w:asciiTheme="majorHAnsi" w:hAnsiTheme="majorHAnsi" w:cstheme="majorHAnsi"/>
          <w:sz w:val="24"/>
          <w:szCs w:val="24"/>
        </w:rPr>
        <w:fldChar w:fldCharType="end"/>
      </w:r>
      <w:r w:rsidR="0039621D" w:rsidRPr="0022305D">
        <w:rPr>
          <w:rFonts w:asciiTheme="majorHAnsi" w:hAnsiTheme="majorHAnsi" w:cstheme="majorHAnsi"/>
          <w:sz w:val="24"/>
          <w:szCs w:val="24"/>
        </w:rPr>
        <w:t>.</w:t>
      </w:r>
      <w:r w:rsidR="004A4B61" w:rsidRPr="0022305D">
        <w:rPr>
          <w:rFonts w:asciiTheme="majorHAnsi" w:hAnsiTheme="majorHAnsi" w:cstheme="majorHAnsi"/>
          <w:sz w:val="24"/>
          <w:szCs w:val="24"/>
        </w:rPr>
        <w:t xml:space="preserve"> </w:t>
      </w:r>
      <w:r w:rsidR="00484B61" w:rsidRPr="0022305D">
        <w:rPr>
          <w:rFonts w:asciiTheme="majorHAnsi" w:hAnsiTheme="majorHAnsi" w:cstheme="majorHAnsi"/>
          <w:sz w:val="24"/>
          <w:szCs w:val="24"/>
        </w:rPr>
        <w:t xml:space="preserve">According to the </w:t>
      </w:r>
      <w:r w:rsidR="00484B61" w:rsidRPr="0022305D">
        <w:rPr>
          <w:rFonts w:asciiTheme="majorHAnsi" w:hAnsiTheme="majorHAnsi" w:cstheme="majorHAnsi"/>
          <w:sz w:val="24"/>
          <w:szCs w:val="24"/>
        </w:rPr>
        <w:fldChar w:fldCharType="begin" w:fldLock="1"/>
      </w:r>
      <w:r w:rsidR="00B869BB" w:rsidRPr="0022305D">
        <w:rPr>
          <w:rFonts w:asciiTheme="majorHAnsi" w:hAnsiTheme="majorHAnsi" w:cstheme="majorHAnsi"/>
          <w:sz w:val="24"/>
          <w:szCs w:val="24"/>
        </w:rPr>
        <w:instrText>ADDIN CSL_CITATION {"citationItems":[{"id":"ITEM-1","itemData":{"DOI":"10.1023/A:1017395523868","ISBN":"8089567479","ISSN":"0921898X","author":[{"dropping-particle":"","family":"The Central Bank of Kenya","given":"","non-dropping-particle":"","parse-names":false,"suffix":""}],"id":"ITEM-1","issued":{"date-parts":[["2016"]]},"publisher":"The Central Bank of Kenya (CBK)","publisher-place":"Nairobi","title":"Press release on Chase bank limited.","type":"article"},"uris":["http://www.mendeley.com/documents/?uuid=b4e8441c-f42a-4f32-97fe-1d045f489b77"]}],"mendeley":{"formattedCitation":"(The Central Bank of Kenya, 2016)","manualFormatting":" Central Bank of Kenya (2016)","plainTextFormattedCitation":"(The Central Bank of Kenya, 2016)","previouslyFormattedCitation":"(The Central Bank of Kenya, 2016)"},"properties":{"noteIndex":0},"schema":"https://github.com/citation-style-language/schema/raw/master/csl-citation.json"}</w:instrText>
      </w:r>
      <w:r w:rsidR="00484B61" w:rsidRPr="0022305D">
        <w:rPr>
          <w:rFonts w:asciiTheme="majorHAnsi" w:hAnsiTheme="majorHAnsi" w:cstheme="majorHAnsi"/>
          <w:sz w:val="24"/>
          <w:szCs w:val="24"/>
        </w:rPr>
        <w:fldChar w:fldCharType="separate"/>
      </w:r>
      <w:r w:rsidR="00484B61" w:rsidRPr="0022305D">
        <w:rPr>
          <w:rFonts w:asciiTheme="majorHAnsi" w:hAnsiTheme="majorHAnsi" w:cstheme="majorHAnsi"/>
          <w:noProof/>
          <w:sz w:val="24"/>
          <w:szCs w:val="24"/>
        </w:rPr>
        <w:t xml:space="preserve"> Central Bank of Kenya (2016)</w:t>
      </w:r>
      <w:r w:rsidR="00484B61" w:rsidRPr="0022305D">
        <w:rPr>
          <w:rFonts w:asciiTheme="majorHAnsi" w:hAnsiTheme="majorHAnsi" w:cstheme="majorHAnsi"/>
          <w:sz w:val="24"/>
          <w:szCs w:val="24"/>
        </w:rPr>
        <w:fldChar w:fldCharType="end"/>
      </w:r>
      <w:r w:rsidR="00484B61" w:rsidRPr="0022305D">
        <w:rPr>
          <w:rFonts w:asciiTheme="majorHAnsi" w:hAnsiTheme="majorHAnsi" w:cstheme="majorHAnsi"/>
          <w:sz w:val="24"/>
          <w:szCs w:val="24"/>
        </w:rPr>
        <w:t xml:space="preserve">, </w:t>
      </w:r>
      <w:r w:rsidR="002A4CE5" w:rsidRPr="0022305D">
        <w:rPr>
          <w:rFonts w:asciiTheme="majorHAnsi" w:hAnsiTheme="majorHAnsi" w:cstheme="majorHAnsi"/>
          <w:sz w:val="24"/>
          <w:szCs w:val="24"/>
        </w:rPr>
        <w:t>Imperial Bank Limited and Chase Bank Limited were put in receivership in 201</w:t>
      </w:r>
      <w:r w:rsidR="00B354DC" w:rsidRPr="0022305D">
        <w:rPr>
          <w:rFonts w:asciiTheme="majorHAnsi" w:hAnsiTheme="majorHAnsi" w:cstheme="majorHAnsi"/>
          <w:sz w:val="24"/>
          <w:szCs w:val="24"/>
        </w:rPr>
        <w:t>5</w:t>
      </w:r>
      <w:r w:rsidR="002D647E" w:rsidRPr="0022305D">
        <w:rPr>
          <w:rFonts w:asciiTheme="majorHAnsi" w:hAnsiTheme="majorHAnsi" w:cstheme="majorHAnsi"/>
          <w:sz w:val="24"/>
          <w:szCs w:val="24"/>
        </w:rPr>
        <w:t xml:space="preserve"> due to low profitability</w:t>
      </w:r>
      <w:r w:rsidR="00E46C59" w:rsidRPr="0022305D">
        <w:rPr>
          <w:rFonts w:asciiTheme="majorHAnsi" w:hAnsiTheme="majorHAnsi" w:cstheme="majorHAnsi"/>
          <w:sz w:val="24"/>
          <w:szCs w:val="24"/>
        </w:rPr>
        <w:t xml:space="preserve"> even though they met the minimum level of solvency set by the Central Bank of Kenya</w:t>
      </w:r>
      <w:r w:rsidR="00B354DC" w:rsidRPr="0022305D">
        <w:rPr>
          <w:rFonts w:asciiTheme="majorHAnsi" w:hAnsiTheme="majorHAnsi" w:cstheme="majorHAnsi"/>
          <w:sz w:val="24"/>
          <w:szCs w:val="24"/>
        </w:rPr>
        <w:t xml:space="preserve">. This is despite the </w:t>
      </w:r>
      <w:r w:rsidR="002D647E" w:rsidRPr="0022305D">
        <w:rPr>
          <w:rFonts w:asciiTheme="majorHAnsi" w:hAnsiTheme="majorHAnsi" w:cstheme="majorHAnsi"/>
          <w:sz w:val="24"/>
          <w:szCs w:val="24"/>
        </w:rPr>
        <w:t xml:space="preserve">Imperial bank limited having </w:t>
      </w:r>
      <w:r w:rsidR="002A4CE5" w:rsidRPr="0022305D">
        <w:rPr>
          <w:rFonts w:asciiTheme="majorHAnsi" w:hAnsiTheme="majorHAnsi" w:cstheme="majorHAnsi"/>
          <w:sz w:val="24"/>
          <w:szCs w:val="24"/>
        </w:rPr>
        <w:t>high sol</w:t>
      </w:r>
      <w:r w:rsidR="00B354DC" w:rsidRPr="0022305D">
        <w:rPr>
          <w:rFonts w:asciiTheme="majorHAnsi" w:hAnsiTheme="majorHAnsi" w:cstheme="majorHAnsi"/>
          <w:sz w:val="24"/>
          <w:szCs w:val="24"/>
        </w:rPr>
        <w:t xml:space="preserve">vency ratio of </w:t>
      </w:r>
      <w:r w:rsidR="002D647E" w:rsidRPr="0022305D">
        <w:rPr>
          <w:rFonts w:asciiTheme="majorHAnsi" w:hAnsiTheme="majorHAnsi" w:cstheme="majorHAnsi"/>
          <w:sz w:val="24"/>
          <w:szCs w:val="24"/>
        </w:rPr>
        <w:t>87</w:t>
      </w:r>
      <w:r w:rsidR="002A4CE5" w:rsidRPr="0022305D">
        <w:rPr>
          <w:rFonts w:asciiTheme="majorHAnsi" w:hAnsiTheme="majorHAnsi" w:cstheme="majorHAnsi"/>
          <w:sz w:val="24"/>
          <w:szCs w:val="24"/>
        </w:rPr>
        <w:t>% and 6</w:t>
      </w:r>
      <w:r w:rsidR="002D647E" w:rsidRPr="0022305D">
        <w:rPr>
          <w:rFonts w:asciiTheme="majorHAnsi" w:hAnsiTheme="majorHAnsi" w:cstheme="majorHAnsi"/>
          <w:sz w:val="24"/>
          <w:szCs w:val="24"/>
        </w:rPr>
        <w:t>5</w:t>
      </w:r>
      <w:r w:rsidR="00823AD1" w:rsidRPr="0022305D">
        <w:rPr>
          <w:rFonts w:asciiTheme="majorHAnsi" w:hAnsiTheme="majorHAnsi" w:cstheme="majorHAnsi"/>
          <w:sz w:val="24"/>
          <w:szCs w:val="24"/>
        </w:rPr>
        <w:t>.</w:t>
      </w:r>
      <w:r w:rsidR="002A4CE5" w:rsidRPr="0022305D">
        <w:rPr>
          <w:rFonts w:asciiTheme="majorHAnsi" w:hAnsiTheme="majorHAnsi" w:cstheme="majorHAnsi"/>
          <w:sz w:val="24"/>
          <w:szCs w:val="24"/>
        </w:rPr>
        <w:t xml:space="preserve">8% </w:t>
      </w:r>
      <w:r w:rsidR="00B354DC" w:rsidRPr="0022305D">
        <w:rPr>
          <w:rFonts w:asciiTheme="majorHAnsi" w:hAnsiTheme="majorHAnsi" w:cstheme="majorHAnsi"/>
          <w:sz w:val="24"/>
          <w:szCs w:val="24"/>
        </w:rPr>
        <w:t xml:space="preserve">in terms of </w:t>
      </w:r>
      <w:r w:rsidR="00CB2CDC">
        <w:rPr>
          <w:rFonts w:asciiTheme="majorHAnsi" w:hAnsiTheme="majorHAnsi" w:cstheme="majorHAnsi"/>
          <w:sz w:val="24"/>
          <w:szCs w:val="24"/>
        </w:rPr>
        <w:t>total debt to total assets ratio</w:t>
      </w:r>
      <w:r w:rsidR="00B354DC" w:rsidRPr="0022305D">
        <w:rPr>
          <w:rFonts w:asciiTheme="majorHAnsi" w:hAnsiTheme="majorHAnsi" w:cstheme="majorHAnsi"/>
          <w:sz w:val="24"/>
          <w:szCs w:val="24"/>
        </w:rPr>
        <w:t xml:space="preserve"> and </w:t>
      </w:r>
      <w:r w:rsidR="00BE06BC">
        <w:rPr>
          <w:rFonts w:asciiTheme="majorHAnsi" w:hAnsiTheme="majorHAnsi" w:cstheme="majorHAnsi"/>
          <w:sz w:val="24"/>
          <w:szCs w:val="24"/>
        </w:rPr>
        <w:t>total debt to equity</w:t>
      </w:r>
      <w:r w:rsidR="00B354DC" w:rsidRPr="0022305D">
        <w:rPr>
          <w:rFonts w:asciiTheme="majorHAnsi" w:hAnsiTheme="majorHAnsi" w:cstheme="majorHAnsi"/>
          <w:sz w:val="24"/>
          <w:szCs w:val="24"/>
        </w:rPr>
        <w:t xml:space="preserve"> ratio respectively</w:t>
      </w:r>
      <w:r w:rsidR="002D647E" w:rsidRPr="0022305D">
        <w:rPr>
          <w:rFonts w:asciiTheme="majorHAnsi" w:hAnsiTheme="majorHAnsi" w:cstheme="majorHAnsi"/>
          <w:sz w:val="24"/>
          <w:szCs w:val="24"/>
        </w:rPr>
        <w:t>; and Chase bank having solvency level of 90% and 86</w:t>
      </w:r>
      <w:r w:rsidR="00823AD1" w:rsidRPr="0022305D">
        <w:rPr>
          <w:rFonts w:asciiTheme="majorHAnsi" w:hAnsiTheme="majorHAnsi" w:cstheme="majorHAnsi"/>
          <w:sz w:val="24"/>
          <w:szCs w:val="24"/>
        </w:rPr>
        <w:t>.</w:t>
      </w:r>
      <w:r w:rsidR="002D647E" w:rsidRPr="0022305D">
        <w:rPr>
          <w:rFonts w:asciiTheme="majorHAnsi" w:hAnsiTheme="majorHAnsi" w:cstheme="majorHAnsi"/>
          <w:sz w:val="24"/>
          <w:szCs w:val="24"/>
        </w:rPr>
        <w:t xml:space="preserve">8% in terms of </w:t>
      </w:r>
      <w:r w:rsidR="00CB2CDC">
        <w:rPr>
          <w:rFonts w:asciiTheme="majorHAnsi" w:hAnsiTheme="majorHAnsi" w:cstheme="majorHAnsi"/>
          <w:sz w:val="24"/>
          <w:szCs w:val="24"/>
        </w:rPr>
        <w:t>total debt to total assets ratio</w:t>
      </w:r>
      <w:r w:rsidR="002D647E" w:rsidRPr="0022305D">
        <w:rPr>
          <w:rFonts w:asciiTheme="majorHAnsi" w:hAnsiTheme="majorHAnsi" w:cstheme="majorHAnsi"/>
          <w:sz w:val="24"/>
          <w:szCs w:val="24"/>
        </w:rPr>
        <w:t xml:space="preserve"> and </w:t>
      </w:r>
      <w:r w:rsidR="00BE06BC">
        <w:rPr>
          <w:rFonts w:asciiTheme="majorHAnsi" w:hAnsiTheme="majorHAnsi" w:cstheme="majorHAnsi"/>
          <w:sz w:val="24"/>
          <w:szCs w:val="24"/>
        </w:rPr>
        <w:t>total debt to equity</w:t>
      </w:r>
      <w:r w:rsidR="002D647E" w:rsidRPr="0022305D">
        <w:rPr>
          <w:rFonts w:asciiTheme="majorHAnsi" w:hAnsiTheme="majorHAnsi" w:cstheme="majorHAnsi"/>
          <w:sz w:val="24"/>
          <w:szCs w:val="24"/>
        </w:rPr>
        <w:t xml:space="preserve"> ratio respectively</w:t>
      </w:r>
      <w:r w:rsidR="002A4CE5" w:rsidRPr="0022305D">
        <w:rPr>
          <w:rFonts w:asciiTheme="majorHAnsi" w:hAnsiTheme="majorHAnsi" w:cstheme="majorHAnsi"/>
          <w:sz w:val="24"/>
          <w:szCs w:val="24"/>
        </w:rPr>
        <w:t xml:space="preserve"> </w:t>
      </w:r>
      <w:r w:rsidR="00881397" w:rsidRPr="0022305D">
        <w:rPr>
          <w:rFonts w:asciiTheme="majorHAnsi" w:hAnsiTheme="majorHAnsi" w:cstheme="majorHAnsi"/>
          <w:sz w:val="24"/>
          <w:szCs w:val="24"/>
        </w:rPr>
        <w:fldChar w:fldCharType="begin" w:fldLock="1"/>
      </w:r>
      <w:r w:rsidR="0007631D" w:rsidRPr="0022305D">
        <w:rPr>
          <w:rFonts w:asciiTheme="majorHAnsi" w:hAnsiTheme="majorHAnsi" w:cstheme="majorHAnsi"/>
          <w:sz w:val="24"/>
          <w:szCs w:val="24"/>
        </w:rPr>
        <w:instrText>ADDIN CSL_CITATION {"citationItems":[{"id":"ITEM-1","itemData":{"DOI":"10.1023/A:1017395523868","ISBN":"8089567479","ISSN":"0921898X","author":[{"dropping-particle":"","family":"The Central Bank of Kenya","given":"","non-dropping-particle":"","parse-names":false,"suffix":""}],"id":"ITEM-1","issued":{"date-parts":[["2016"]]},"publisher":"The Central Bank of Kenya (CBK)","publisher-place":"Nairobi","title":"Press release on Chase bank limited.","type":"article"},"uris":["http://www.mendeley.com/documents/?uuid=b4e8441c-f42a-4f32-97fe-1d045f489b77"]}],"mendeley":{"formattedCitation":"(The Central Bank of Kenya, 2016)","plainTextFormattedCitation":"(The Central Bank of Kenya, 2016)","previouslyFormattedCitation":"(The Central Bank of Kenya, 2016)"},"properties":{"noteIndex":0},"schema":"https://github.com/citation-style-language/schema/raw/master/csl-citation.json"}</w:instrText>
      </w:r>
      <w:r w:rsidR="00881397" w:rsidRPr="0022305D">
        <w:rPr>
          <w:rFonts w:asciiTheme="majorHAnsi" w:hAnsiTheme="majorHAnsi" w:cstheme="majorHAnsi"/>
          <w:sz w:val="24"/>
          <w:szCs w:val="24"/>
        </w:rPr>
        <w:fldChar w:fldCharType="separate"/>
      </w:r>
      <w:r w:rsidR="00602AE6" w:rsidRPr="0022305D">
        <w:rPr>
          <w:rFonts w:asciiTheme="majorHAnsi" w:hAnsiTheme="majorHAnsi" w:cstheme="majorHAnsi"/>
          <w:noProof/>
          <w:sz w:val="24"/>
          <w:szCs w:val="24"/>
        </w:rPr>
        <w:t>(The Central Bank of Kenya, 2016)</w:t>
      </w:r>
      <w:r w:rsidR="00881397" w:rsidRPr="0022305D">
        <w:rPr>
          <w:rFonts w:asciiTheme="majorHAnsi" w:hAnsiTheme="majorHAnsi" w:cstheme="majorHAnsi"/>
          <w:sz w:val="24"/>
          <w:szCs w:val="24"/>
        </w:rPr>
        <w:fldChar w:fldCharType="end"/>
      </w:r>
      <w:r w:rsidR="00881397" w:rsidRPr="0022305D">
        <w:rPr>
          <w:rFonts w:asciiTheme="majorHAnsi" w:hAnsiTheme="majorHAnsi" w:cstheme="majorHAnsi"/>
          <w:sz w:val="24"/>
          <w:szCs w:val="24"/>
        </w:rPr>
        <w:t>.</w:t>
      </w:r>
      <w:r w:rsidR="00D04027" w:rsidRPr="0022305D">
        <w:rPr>
          <w:rFonts w:asciiTheme="majorHAnsi" w:hAnsiTheme="majorHAnsi" w:cstheme="majorHAnsi"/>
          <w:sz w:val="24"/>
          <w:szCs w:val="24"/>
        </w:rPr>
        <w:t xml:space="preserve"> </w:t>
      </w:r>
      <w:r w:rsidR="005853C3" w:rsidRPr="0022305D">
        <w:rPr>
          <w:rFonts w:asciiTheme="majorHAnsi" w:hAnsiTheme="majorHAnsi" w:cstheme="majorHAnsi"/>
          <w:sz w:val="24"/>
          <w:szCs w:val="24"/>
        </w:rPr>
        <w:t xml:space="preserve">Based on the above, the solvency ratio for Chase bank and Imperial bank was beyond the minimum level of </w:t>
      </w:r>
      <w:r w:rsidR="00BE06BC">
        <w:rPr>
          <w:rFonts w:asciiTheme="majorHAnsi" w:hAnsiTheme="majorHAnsi" w:cstheme="majorHAnsi"/>
          <w:sz w:val="24"/>
          <w:szCs w:val="24"/>
        </w:rPr>
        <w:t xml:space="preserve">total </w:t>
      </w:r>
      <w:r w:rsidR="00BE06BC">
        <w:rPr>
          <w:rFonts w:asciiTheme="majorHAnsi" w:hAnsiTheme="majorHAnsi" w:cstheme="majorHAnsi"/>
          <w:sz w:val="24"/>
          <w:szCs w:val="24"/>
        </w:rPr>
        <w:lastRenderedPageBreak/>
        <w:t>debt to equity</w:t>
      </w:r>
      <w:r w:rsidR="00E46C59" w:rsidRPr="0022305D">
        <w:rPr>
          <w:rFonts w:asciiTheme="majorHAnsi" w:hAnsiTheme="majorHAnsi" w:cstheme="majorHAnsi"/>
          <w:sz w:val="24"/>
          <w:szCs w:val="24"/>
        </w:rPr>
        <w:t xml:space="preserve"> ratio of </w:t>
      </w:r>
      <w:r w:rsidR="008E78C3" w:rsidRPr="0022305D">
        <w:rPr>
          <w:rFonts w:asciiTheme="majorHAnsi" w:hAnsiTheme="majorHAnsi" w:cstheme="majorHAnsi"/>
          <w:sz w:val="24"/>
          <w:szCs w:val="24"/>
        </w:rPr>
        <w:t xml:space="preserve">30% and </w:t>
      </w:r>
      <w:r w:rsidR="00CB2CDC">
        <w:rPr>
          <w:rFonts w:asciiTheme="majorHAnsi" w:hAnsiTheme="majorHAnsi" w:cstheme="majorHAnsi"/>
          <w:sz w:val="24"/>
          <w:szCs w:val="24"/>
        </w:rPr>
        <w:t>total debt to total assets ratio</w:t>
      </w:r>
      <w:r w:rsidR="00E46C59" w:rsidRPr="0022305D">
        <w:rPr>
          <w:rFonts w:asciiTheme="majorHAnsi" w:hAnsiTheme="majorHAnsi" w:cstheme="majorHAnsi"/>
          <w:sz w:val="24"/>
          <w:szCs w:val="24"/>
        </w:rPr>
        <w:t xml:space="preserve"> of </w:t>
      </w:r>
      <w:r w:rsidR="006E6EE1" w:rsidRPr="0022305D">
        <w:rPr>
          <w:rFonts w:asciiTheme="majorHAnsi" w:hAnsiTheme="majorHAnsi" w:cstheme="majorHAnsi"/>
          <w:sz w:val="24"/>
          <w:szCs w:val="24"/>
        </w:rPr>
        <w:t xml:space="preserve">40% </w:t>
      </w:r>
      <w:r w:rsidR="005853C3" w:rsidRPr="0022305D">
        <w:rPr>
          <w:rFonts w:asciiTheme="majorHAnsi" w:hAnsiTheme="majorHAnsi" w:cstheme="majorHAnsi"/>
          <w:sz w:val="24"/>
          <w:szCs w:val="24"/>
        </w:rPr>
        <w:t xml:space="preserve">set by the Central bank of Kenya. These reports </w:t>
      </w:r>
      <w:r w:rsidR="00592BC7" w:rsidRPr="0022305D">
        <w:rPr>
          <w:rFonts w:asciiTheme="majorHAnsi" w:hAnsiTheme="majorHAnsi" w:cstheme="majorHAnsi"/>
          <w:sz w:val="24"/>
          <w:szCs w:val="24"/>
        </w:rPr>
        <w:t>suggest</w:t>
      </w:r>
      <w:r w:rsidR="00916C1F" w:rsidRPr="0022305D">
        <w:rPr>
          <w:rFonts w:asciiTheme="majorHAnsi" w:hAnsiTheme="majorHAnsi" w:cstheme="majorHAnsi"/>
          <w:sz w:val="24"/>
          <w:szCs w:val="24"/>
        </w:rPr>
        <w:t xml:space="preserve"> that</w:t>
      </w:r>
      <w:r w:rsidR="00A01A29" w:rsidRPr="0022305D">
        <w:rPr>
          <w:rFonts w:asciiTheme="majorHAnsi" w:hAnsiTheme="majorHAnsi" w:cstheme="majorHAnsi"/>
          <w:sz w:val="24"/>
          <w:szCs w:val="24"/>
        </w:rPr>
        <w:t xml:space="preserve"> </w:t>
      </w:r>
      <w:r w:rsidR="00561037" w:rsidRPr="0022305D">
        <w:rPr>
          <w:rFonts w:asciiTheme="majorHAnsi" w:hAnsiTheme="majorHAnsi" w:cstheme="majorHAnsi"/>
          <w:sz w:val="24"/>
          <w:szCs w:val="24"/>
        </w:rPr>
        <w:t>at high level of solvency, banks can experience low profitability</w:t>
      </w:r>
      <w:r w:rsidR="00205FFA" w:rsidRPr="0022305D">
        <w:rPr>
          <w:rFonts w:asciiTheme="majorHAnsi" w:hAnsiTheme="majorHAnsi" w:cstheme="majorHAnsi"/>
          <w:sz w:val="24"/>
          <w:szCs w:val="24"/>
        </w:rPr>
        <w:t xml:space="preserve"> which may lead to closure</w:t>
      </w:r>
      <w:r w:rsidR="00916C1F" w:rsidRPr="0022305D">
        <w:rPr>
          <w:rFonts w:asciiTheme="majorHAnsi" w:hAnsiTheme="majorHAnsi" w:cstheme="majorHAnsi"/>
          <w:sz w:val="24"/>
          <w:szCs w:val="24"/>
        </w:rPr>
        <w:t>. On the contrary,</w:t>
      </w:r>
      <w:r w:rsidR="00592BC7" w:rsidRPr="0022305D">
        <w:rPr>
          <w:rFonts w:asciiTheme="majorHAnsi" w:hAnsiTheme="majorHAnsi" w:cstheme="majorHAnsi"/>
          <w:sz w:val="24"/>
          <w:szCs w:val="24"/>
        </w:rPr>
        <w:t xml:space="preserve"> other</w:t>
      </w:r>
      <w:r w:rsidR="00A766D6" w:rsidRPr="0022305D">
        <w:rPr>
          <w:rFonts w:asciiTheme="majorHAnsi" w:hAnsiTheme="majorHAnsi" w:cstheme="majorHAnsi"/>
          <w:sz w:val="24"/>
          <w:szCs w:val="24"/>
        </w:rPr>
        <w:t xml:space="preserve"> banks </w:t>
      </w:r>
      <w:r w:rsidR="00177794" w:rsidRPr="0022305D">
        <w:rPr>
          <w:rFonts w:asciiTheme="majorHAnsi" w:hAnsiTheme="majorHAnsi" w:cstheme="majorHAnsi"/>
          <w:sz w:val="24"/>
          <w:szCs w:val="24"/>
        </w:rPr>
        <w:t xml:space="preserve">can maintain high profitability with high </w:t>
      </w:r>
      <w:r w:rsidR="00A11A42" w:rsidRPr="0022305D">
        <w:rPr>
          <w:rFonts w:asciiTheme="majorHAnsi" w:hAnsiTheme="majorHAnsi" w:cstheme="majorHAnsi"/>
          <w:sz w:val="24"/>
          <w:szCs w:val="24"/>
        </w:rPr>
        <w:t>level of solvency.</w:t>
      </w:r>
      <w:r w:rsidR="00A766D6" w:rsidRPr="0022305D">
        <w:rPr>
          <w:rFonts w:asciiTheme="majorHAnsi" w:hAnsiTheme="majorHAnsi" w:cstheme="majorHAnsi"/>
          <w:sz w:val="24"/>
          <w:szCs w:val="24"/>
        </w:rPr>
        <w:t xml:space="preserve"> For example, in September 2019, </w:t>
      </w:r>
      <w:r w:rsidR="00592BC7" w:rsidRPr="0022305D">
        <w:rPr>
          <w:rFonts w:asciiTheme="majorHAnsi" w:hAnsiTheme="majorHAnsi" w:cstheme="majorHAnsi"/>
          <w:sz w:val="24"/>
          <w:szCs w:val="24"/>
        </w:rPr>
        <w:t xml:space="preserve">both solvency and profitability of </w:t>
      </w:r>
      <w:r w:rsidR="00A766D6" w:rsidRPr="0022305D">
        <w:rPr>
          <w:rFonts w:asciiTheme="majorHAnsi" w:hAnsiTheme="majorHAnsi" w:cstheme="majorHAnsi"/>
          <w:sz w:val="24"/>
          <w:szCs w:val="24"/>
        </w:rPr>
        <w:t>Kenya Commercial Bank</w:t>
      </w:r>
      <w:r w:rsidR="00BA3D34" w:rsidRPr="0022305D">
        <w:rPr>
          <w:rFonts w:asciiTheme="majorHAnsi" w:hAnsiTheme="majorHAnsi" w:cstheme="majorHAnsi"/>
          <w:sz w:val="24"/>
          <w:szCs w:val="24"/>
        </w:rPr>
        <w:t xml:space="preserve"> </w:t>
      </w:r>
      <w:r w:rsidR="00A766D6" w:rsidRPr="0022305D">
        <w:rPr>
          <w:rFonts w:asciiTheme="majorHAnsi" w:hAnsiTheme="majorHAnsi" w:cstheme="majorHAnsi"/>
          <w:sz w:val="24"/>
          <w:szCs w:val="24"/>
        </w:rPr>
        <w:t xml:space="preserve">(KCB) </w:t>
      </w:r>
      <w:r w:rsidR="00916C1F" w:rsidRPr="0022305D">
        <w:rPr>
          <w:rFonts w:asciiTheme="majorHAnsi" w:hAnsiTheme="majorHAnsi" w:cstheme="majorHAnsi"/>
          <w:sz w:val="24"/>
          <w:szCs w:val="24"/>
        </w:rPr>
        <w:t>was high and</w:t>
      </w:r>
      <w:r w:rsidR="00592BC7" w:rsidRPr="0022305D">
        <w:rPr>
          <w:rFonts w:asciiTheme="majorHAnsi" w:hAnsiTheme="majorHAnsi" w:cstheme="majorHAnsi"/>
          <w:sz w:val="24"/>
          <w:szCs w:val="24"/>
        </w:rPr>
        <w:t xml:space="preserve"> it was able </w:t>
      </w:r>
      <w:r w:rsidR="00D0762D" w:rsidRPr="0022305D">
        <w:rPr>
          <w:rFonts w:asciiTheme="majorHAnsi" w:hAnsiTheme="majorHAnsi" w:cstheme="majorHAnsi"/>
          <w:sz w:val="24"/>
          <w:szCs w:val="24"/>
        </w:rPr>
        <w:t>acquir</w:t>
      </w:r>
      <w:r w:rsidR="00592BC7" w:rsidRPr="0022305D">
        <w:rPr>
          <w:rFonts w:asciiTheme="majorHAnsi" w:hAnsiTheme="majorHAnsi" w:cstheme="majorHAnsi"/>
          <w:sz w:val="24"/>
          <w:szCs w:val="24"/>
        </w:rPr>
        <w:t>e</w:t>
      </w:r>
      <w:r w:rsidR="00A766D6" w:rsidRPr="0022305D">
        <w:rPr>
          <w:rFonts w:asciiTheme="majorHAnsi" w:hAnsiTheme="majorHAnsi" w:cstheme="majorHAnsi"/>
          <w:sz w:val="24"/>
          <w:szCs w:val="24"/>
        </w:rPr>
        <w:t xml:space="preserve"> 100 percent shareholding o</w:t>
      </w:r>
      <w:r w:rsidR="00D04027" w:rsidRPr="0022305D">
        <w:rPr>
          <w:rFonts w:asciiTheme="majorHAnsi" w:hAnsiTheme="majorHAnsi" w:cstheme="majorHAnsi"/>
          <w:sz w:val="24"/>
          <w:szCs w:val="24"/>
        </w:rPr>
        <w:t>f the National Bank of Kenya</w:t>
      </w:r>
      <w:r w:rsidR="005B65C0" w:rsidRPr="0022305D">
        <w:rPr>
          <w:rFonts w:asciiTheme="majorHAnsi" w:hAnsiTheme="majorHAnsi" w:cstheme="majorHAnsi"/>
          <w:sz w:val="24"/>
          <w:szCs w:val="24"/>
        </w:rPr>
        <w:t xml:space="preserve"> </w:t>
      </w:r>
      <w:r w:rsidR="003668FF" w:rsidRPr="0022305D">
        <w:rPr>
          <w:rFonts w:asciiTheme="majorHAnsi" w:hAnsiTheme="majorHAnsi" w:cstheme="majorHAnsi"/>
          <w:sz w:val="24"/>
          <w:szCs w:val="24"/>
        </w:rPr>
        <w:fldChar w:fldCharType="begin" w:fldLock="1"/>
      </w:r>
      <w:r w:rsidR="00DE6FD5">
        <w:rPr>
          <w:rFonts w:asciiTheme="majorHAnsi" w:hAnsiTheme="majorHAnsi" w:cstheme="majorHAnsi"/>
          <w:sz w:val="24"/>
          <w:szCs w:val="24"/>
        </w:rPr>
        <w:instrText>ADDIN CSL_CITATION {"citationItems":[{"id":"ITEM-1","itemData":{"author":[{"dropping-particle":"","family":"Central bank of Kenya","given":"","non-dropping-particle":"","parse-names":false,"suffix":""}],"id":"ITEM-1","issued":{"date-parts":[["2019"]]},"number-of-pages":"1-3","publisher":"Central Bank of Kenya (CBK)","publisher-place":"Nairobi","title":"Acquisition of national bank of Kenya limited by KCB group plc","type":"report"},"uris":["http://www.mendeley.com/documents/?uuid=bd8cbda8-8c70-405b-a4a8-f7fd3f0ba326"]}],"mendeley":{"formattedCitation":"(Central bank of Kenya, 2019)","manualFormatting":"(Central Bank of Kenya, 2019)","plainTextFormattedCitation":"(Central bank of Kenya, 2019)","previouslyFormattedCitation":"(Central bank of Kenya, 2019)"},"properties":{"noteIndex":0},"schema":"https://github.com/citation-style-language/schema/raw/master/csl-citation.json"}</w:instrText>
      </w:r>
      <w:r w:rsidR="003668FF" w:rsidRPr="0022305D">
        <w:rPr>
          <w:rFonts w:asciiTheme="majorHAnsi" w:hAnsiTheme="majorHAnsi" w:cstheme="majorHAnsi"/>
          <w:sz w:val="24"/>
          <w:szCs w:val="24"/>
        </w:rPr>
        <w:fldChar w:fldCharType="separate"/>
      </w:r>
      <w:r w:rsidR="00896F7B" w:rsidRPr="0022305D">
        <w:rPr>
          <w:rFonts w:asciiTheme="majorHAnsi" w:hAnsiTheme="majorHAnsi" w:cstheme="majorHAnsi"/>
          <w:noProof/>
          <w:sz w:val="24"/>
          <w:szCs w:val="24"/>
        </w:rPr>
        <w:t>(Central Bank of Kenya, 2019)</w:t>
      </w:r>
      <w:r w:rsidR="003668FF" w:rsidRPr="0022305D">
        <w:rPr>
          <w:rFonts w:asciiTheme="majorHAnsi" w:hAnsiTheme="majorHAnsi" w:cstheme="majorHAnsi"/>
          <w:sz w:val="24"/>
          <w:szCs w:val="24"/>
        </w:rPr>
        <w:fldChar w:fldCharType="end"/>
      </w:r>
      <w:r w:rsidR="00A766D6" w:rsidRPr="0022305D">
        <w:rPr>
          <w:rFonts w:asciiTheme="majorHAnsi" w:hAnsiTheme="majorHAnsi" w:cstheme="majorHAnsi"/>
          <w:sz w:val="24"/>
          <w:szCs w:val="24"/>
        </w:rPr>
        <w:t>.</w:t>
      </w:r>
    </w:p>
    <w:p w14:paraId="6A415162" w14:textId="5F2FD739" w:rsidR="00E46C59" w:rsidRPr="0022305D" w:rsidRDefault="00881640" w:rsidP="00032AB2">
      <w:pPr>
        <w:spacing w:line="480" w:lineRule="auto"/>
        <w:ind w:firstLine="720"/>
        <w:rPr>
          <w:rFonts w:asciiTheme="majorHAnsi" w:hAnsiTheme="majorHAnsi" w:cstheme="majorHAnsi"/>
          <w:sz w:val="24"/>
          <w:szCs w:val="24"/>
        </w:rPr>
      </w:pPr>
      <w:r w:rsidRPr="0022305D">
        <w:rPr>
          <w:rFonts w:asciiTheme="majorHAnsi" w:hAnsiTheme="majorHAnsi" w:cstheme="majorHAnsi"/>
          <w:sz w:val="24"/>
          <w:szCs w:val="24"/>
        </w:rPr>
        <w:t xml:space="preserve">There has been scholarly debate on whether there is relationship between solvency and profitability. </w:t>
      </w:r>
      <w:r w:rsidR="00BE49A3" w:rsidRPr="0022305D">
        <w:rPr>
          <w:rFonts w:asciiTheme="majorHAnsi" w:hAnsiTheme="majorHAnsi" w:cstheme="majorHAnsi"/>
          <w:sz w:val="24"/>
          <w:szCs w:val="24"/>
        </w:rPr>
        <w:t xml:space="preserve">For example, </w:t>
      </w:r>
      <w:r w:rsidR="00BE49A3" w:rsidRPr="0022305D">
        <w:rPr>
          <w:rFonts w:asciiTheme="majorHAnsi" w:hAnsiTheme="majorHAnsi" w:cstheme="majorHAnsi"/>
          <w:sz w:val="24"/>
          <w:szCs w:val="24"/>
        </w:rPr>
        <w:fldChar w:fldCharType="begin" w:fldLock="1"/>
      </w:r>
      <w:r w:rsidR="00EE66E8" w:rsidRPr="0022305D">
        <w:rPr>
          <w:rFonts w:asciiTheme="majorHAnsi" w:hAnsiTheme="majorHAnsi" w:cstheme="majorHAnsi"/>
          <w:sz w:val="24"/>
          <w:szCs w:val="24"/>
        </w:rPr>
        <w:instrText>ADDIN CSL_CITATION {"citationItems":[{"id":"ITEM-1","itemData":{"author":[{"dropping-particle":"","family":"Rehman","given":"Mobeen Ur","non-dropping-particle":"","parse-names":false,"suffix":""},{"dropping-particle":"","family":"Waqas","given":"Bin Khidmat","non-dropping-particle":"","parse-names":false,"suffix":""}],"container-title":"Ekonomika Management Inovace","id":"ITEM-1","issue":"3","issued":{"date-parts":[["2014"]]},"page":"12","title":"Impact of Liquidity &amp; Solvency on Profitability of Chemical sector in Pakistan","type":"article-journal","volume":"6"},"uris":["http://www.mendeley.com/documents/?uuid=11eb3096-ab31-44b6-8ff9-c884812356cf"]}],"mendeley":{"formattedCitation":"(M. U. Rehman &amp; Waqas, 2014)","manualFormatting":"Rehman and Waqas (2014)","plainTextFormattedCitation":"(M. U. Rehman &amp; Waqas, 2014)","previouslyFormattedCitation":"(M. U. Rehman &amp; Waqas, 2014)"},"properties":{"noteIndex":0},"schema":"https://github.com/citation-style-language/schema/raw/master/csl-citation.json"}</w:instrText>
      </w:r>
      <w:r w:rsidR="00BE49A3" w:rsidRPr="0022305D">
        <w:rPr>
          <w:rFonts w:asciiTheme="majorHAnsi" w:hAnsiTheme="majorHAnsi" w:cstheme="majorHAnsi"/>
          <w:sz w:val="24"/>
          <w:szCs w:val="24"/>
        </w:rPr>
        <w:fldChar w:fldCharType="separate"/>
      </w:r>
      <w:r w:rsidR="00BE49A3" w:rsidRPr="0022305D">
        <w:rPr>
          <w:rFonts w:asciiTheme="majorHAnsi" w:hAnsiTheme="majorHAnsi" w:cstheme="majorHAnsi"/>
          <w:noProof/>
          <w:sz w:val="24"/>
          <w:szCs w:val="24"/>
        </w:rPr>
        <w:t>Rehman and Waqas (2014)</w:t>
      </w:r>
      <w:r w:rsidR="00BE49A3" w:rsidRPr="0022305D">
        <w:rPr>
          <w:rFonts w:asciiTheme="majorHAnsi" w:hAnsiTheme="majorHAnsi" w:cstheme="majorHAnsi"/>
          <w:sz w:val="24"/>
          <w:szCs w:val="24"/>
        </w:rPr>
        <w:fldChar w:fldCharType="end"/>
      </w:r>
      <w:r w:rsidR="001F1931" w:rsidRPr="0022305D">
        <w:rPr>
          <w:rFonts w:asciiTheme="majorHAnsi" w:hAnsiTheme="majorHAnsi" w:cstheme="majorHAnsi"/>
          <w:sz w:val="24"/>
          <w:szCs w:val="24"/>
        </w:rPr>
        <w:t xml:space="preserve"> conducted research on the impact of liquidity and solvency on profitability of chemical sector in Pakistan and they found that </w:t>
      </w:r>
      <w:r w:rsidR="00BE49A3" w:rsidRPr="0022305D">
        <w:rPr>
          <w:rFonts w:asciiTheme="majorHAnsi" w:hAnsiTheme="majorHAnsi" w:cstheme="majorHAnsi"/>
          <w:sz w:val="24"/>
          <w:szCs w:val="24"/>
        </w:rPr>
        <w:t>s</w:t>
      </w:r>
      <w:r w:rsidR="00FD5CB8" w:rsidRPr="0022305D">
        <w:rPr>
          <w:rFonts w:asciiTheme="majorHAnsi" w:hAnsiTheme="majorHAnsi" w:cstheme="majorHAnsi"/>
          <w:sz w:val="24"/>
          <w:szCs w:val="24"/>
        </w:rPr>
        <w:t xml:space="preserve">olvency has negative and highly significant </w:t>
      </w:r>
      <w:r w:rsidR="00A04CE5" w:rsidRPr="0022305D">
        <w:rPr>
          <w:rFonts w:asciiTheme="majorHAnsi" w:hAnsiTheme="majorHAnsi" w:cstheme="majorHAnsi"/>
          <w:sz w:val="24"/>
          <w:szCs w:val="24"/>
        </w:rPr>
        <w:t xml:space="preserve">relationship with </w:t>
      </w:r>
      <w:r w:rsidR="00581E8B" w:rsidRPr="0022305D">
        <w:rPr>
          <w:rFonts w:asciiTheme="majorHAnsi" w:hAnsiTheme="majorHAnsi" w:cstheme="majorHAnsi"/>
          <w:sz w:val="24"/>
          <w:szCs w:val="24"/>
        </w:rPr>
        <w:t>profitability</w:t>
      </w:r>
      <w:r w:rsidR="00BE49A3" w:rsidRPr="0022305D">
        <w:rPr>
          <w:rFonts w:asciiTheme="majorHAnsi" w:hAnsiTheme="majorHAnsi" w:cstheme="majorHAnsi"/>
          <w:sz w:val="24"/>
          <w:szCs w:val="24"/>
        </w:rPr>
        <w:t>.</w:t>
      </w:r>
      <w:r w:rsidR="00032AB2" w:rsidRPr="0022305D">
        <w:rPr>
          <w:rFonts w:asciiTheme="majorHAnsi" w:hAnsiTheme="majorHAnsi" w:cstheme="majorHAnsi"/>
          <w:sz w:val="24"/>
          <w:szCs w:val="24"/>
        </w:rPr>
        <w:t xml:space="preserve"> That means,</w:t>
      </w:r>
      <w:r w:rsidR="00FD5CB8" w:rsidRPr="0022305D">
        <w:rPr>
          <w:rFonts w:asciiTheme="majorHAnsi" w:hAnsiTheme="majorHAnsi" w:cstheme="majorHAnsi"/>
          <w:sz w:val="24"/>
          <w:szCs w:val="24"/>
        </w:rPr>
        <w:t xml:space="preserve"> when solvency ratio i</w:t>
      </w:r>
      <w:r w:rsidR="00154B33" w:rsidRPr="0022305D">
        <w:rPr>
          <w:rFonts w:asciiTheme="majorHAnsi" w:hAnsiTheme="majorHAnsi" w:cstheme="majorHAnsi"/>
          <w:sz w:val="24"/>
          <w:szCs w:val="24"/>
        </w:rPr>
        <w:t>s high profitability is low; and when solvency ratio is low, profitability is high</w:t>
      </w:r>
      <w:r w:rsidR="00FD5CB8" w:rsidRPr="0022305D">
        <w:rPr>
          <w:rFonts w:asciiTheme="majorHAnsi" w:hAnsiTheme="majorHAnsi" w:cstheme="majorHAnsi"/>
          <w:sz w:val="24"/>
          <w:szCs w:val="24"/>
        </w:rPr>
        <w:t>.</w:t>
      </w:r>
      <w:r w:rsidR="00916C1F" w:rsidRPr="0022305D">
        <w:rPr>
          <w:rFonts w:asciiTheme="majorHAnsi" w:hAnsiTheme="majorHAnsi" w:cstheme="majorHAnsi"/>
          <w:sz w:val="24"/>
          <w:szCs w:val="24"/>
        </w:rPr>
        <w:t xml:space="preserve"> </w:t>
      </w:r>
      <w:r w:rsidR="00FD5CB8" w:rsidRPr="0022305D">
        <w:rPr>
          <w:rFonts w:asciiTheme="majorHAnsi" w:hAnsiTheme="majorHAnsi" w:cstheme="majorHAnsi"/>
          <w:sz w:val="24"/>
          <w:szCs w:val="24"/>
        </w:rPr>
        <w:t>On the contrary,</w:t>
      </w:r>
      <w:r w:rsidR="003668FF" w:rsidRPr="0022305D">
        <w:rPr>
          <w:rFonts w:asciiTheme="majorHAnsi" w:hAnsiTheme="majorHAnsi" w:cstheme="majorHAnsi"/>
          <w:sz w:val="24"/>
          <w:szCs w:val="24"/>
        </w:rPr>
        <w:fldChar w:fldCharType="begin" w:fldLock="1"/>
      </w:r>
      <w:r w:rsidR="005E1E9B" w:rsidRPr="0022305D">
        <w:rPr>
          <w:rFonts w:asciiTheme="majorHAnsi" w:hAnsiTheme="majorHAnsi" w:cstheme="majorHAnsi"/>
          <w:sz w:val="24"/>
          <w:szCs w:val="24"/>
        </w:rPr>
        <w:instrText>ADDIN CSL_CITATION {"citationItems":[{"id":"ITEM-1","itemData":{"DOI":"10.6007/ijarafms/v6-i1/1954","abstract":"This paper examines the impact of liquidity and solvency on banks profitability. All banks listed in Amman exchange were selected (15 banks) for the period 2012-2014. To measure the liquidity the quick ratio was calculated, Debt ratio was calculated to measure the solvency, whereas return on assets ratio was calculated to measure the profitability. Simple regression was used to examine the relations; the results showed that the liquidity has a negative (inverse) significant impact on profitability, whereas the solvency has a no impact on profitability.","author":[{"dropping-particle":"","family":"Dahiyat","given":"Ahmad","non-dropping-particle":"","parse-names":false,"suffix":""}],"container-title":"International Journal of Academic Research in Accounting, Finance and Management Sciences","id":"ITEM-1","issue":"1","issued":{"date-parts":[["2016"]]},"page":"35-40","title":"Does liquidity and solvency affect banks profitability? Evidence from listed banks in Jordan","type":"article-journal","volume":"6"},"uris":["http://www.mendeley.com/documents/?uuid=92ce5dd0-5523-4493-913f-7aa687b0533b"]}],"mendeley":{"formattedCitation":"(Dahiyat, 2016)","manualFormatting":" Dahiyat (2016)","plainTextFormattedCitation":"(Dahiyat, 2016)","previouslyFormattedCitation":"(Dahiyat, 2016)"},"properties":{"noteIndex":0},"schema":"https://github.com/citation-style-language/schema/raw/master/csl-citation.json"}</w:instrText>
      </w:r>
      <w:r w:rsidR="003668FF" w:rsidRPr="0022305D">
        <w:rPr>
          <w:rFonts w:asciiTheme="majorHAnsi" w:hAnsiTheme="majorHAnsi" w:cstheme="majorHAnsi"/>
          <w:sz w:val="24"/>
          <w:szCs w:val="24"/>
        </w:rPr>
        <w:fldChar w:fldCharType="separate"/>
      </w:r>
      <w:r w:rsidR="00154B33" w:rsidRPr="0022305D">
        <w:rPr>
          <w:rFonts w:asciiTheme="majorHAnsi" w:hAnsiTheme="majorHAnsi" w:cstheme="majorHAnsi"/>
          <w:noProof/>
          <w:sz w:val="24"/>
          <w:szCs w:val="24"/>
        </w:rPr>
        <w:t xml:space="preserve"> </w:t>
      </w:r>
      <w:r w:rsidR="00E25647" w:rsidRPr="0022305D">
        <w:rPr>
          <w:rFonts w:asciiTheme="majorHAnsi" w:hAnsiTheme="majorHAnsi" w:cstheme="majorHAnsi"/>
          <w:noProof/>
          <w:sz w:val="24"/>
          <w:szCs w:val="24"/>
        </w:rPr>
        <w:t xml:space="preserve">Dahiyat </w:t>
      </w:r>
      <w:r w:rsidR="00154B33" w:rsidRPr="0022305D">
        <w:rPr>
          <w:rFonts w:asciiTheme="majorHAnsi" w:hAnsiTheme="majorHAnsi" w:cstheme="majorHAnsi"/>
          <w:noProof/>
          <w:sz w:val="24"/>
          <w:szCs w:val="24"/>
        </w:rPr>
        <w:t>(</w:t>
      </w:r>
      <w:r w:rsidR="00E25647" w:rsidRPr="0022305D">
        <w:rPr>
          <w:rFonts w:asciiTheme="majorHAnsi" w:hAnsiTheme="majorHAnsi" w:cstheme="majorHAnsi"/>
          <w:noProof/>
          <w:sz w:val="24"/>
          <w:szCs w:val="24"/>
        </w:rPr>
        <w:t>2016)</w:t>
      </w:r>
      <w:r w:rsidR="003668FF" w:rsidRPr="0022305D">
        <w:rPr>
          <w:rFonts w:asciiTheme="majorHAnsi" w:hAnsiTheme="majorHAnsi" w:cstheme="majorHAnsi"/>
          <w:sz w:val="24"/>
          <w:szCs w:val="24"/>
        </w:rPr>
        <w:fldChar w:fldCharType="end"/>
      </w:r>
      <w:r w:rsidR="00916C1F" w:rsidRPr="0022305D">
        <w:rPr>
          <w:rFonts w:asciiTheme="majorHAnsi" w:hAnsiTheme="majorHAnsi" w:cstheme="majorHAnsi"/>
          <w:sz w:val="24"/>
          <w:szCs w:val="24"/>
        </w:rPr>
        <w:t xml:space="preserve"> </w:t>
      </w:r>
      <w:r w:rsidR="0082234A" w:rsidRPr="0022305D">
        <w:rPr>
          <w:rFonts w:asciiTheme="majorHAnsi" w:hAnsiTheme="majorHAnsi" w:cstheme="majorHAnsi"/>
          <w:sz w:val="24"/>
          <w:szCs w:val="24"/>
        </w:rPr>
        <w:t>concluded</w:t>
      </w:r>
      <w:r w:rsidR="00FD5CB8" w:rsidRPr="0022305D">
        <w:rPr>
          <w:rFonts w:asciiTheme="majorHAnsi" w:hAnsiTheme="majorHAnsi" w:cstheme="majorHAnsi"/>
          <w:sz w:val="24"/>
          <w:szCs w:val="24"/>
        </w:rPr>
        <w:t xml:space="preserve"> that solvency has no significant </w:t>
      </w:r>
      <w:r w:rsidR="00154B33" w:rsidRPr="0022305D">
        <w:rPr>
          <w:rFonts w:asciiTheme="majorHAnsi" w:hAnsiTheme="majorHAnsi" w:cstheme="majorHAnsi"/>
          <w:sz w:val="24"/>
          <w:szCs w:val="24"/>
        </w:rPr>
        <w:t>relationship with</w:t>
      </w:r>
      <w:r w:rsidR="00FD5CB8" w:rsidRPr="0022305D">
        <w:rPr>
          <w:rFonts w:asciiTheme="majorHAnsi" w:hAnsiTheme="majorHAnsi" w:cstheme="majorHAnsi"/>
          <w:sz w:val="24"/>
          <w:szCs w:val="24"/>
        </w:rPr>
        <w:t xml:space="preserve"> </w:t>
      </w:r>
      <w:r w:rsidR="00581E8B" w:rsidRPr="0022305D">
        <w:rPr>
          <w:rFonts w:asciiTheme="majorHAnsi" w:hAnsiTheme="majorHAnsi" w:cstheme="majorHAnsi"/>
          <w:sz w:val="24"/>
          <w:szCs w:val="24"/>
        </w:rPr>
        <w:t>profitability</w:t>
      </w:r>
      <w:r w:rsidR="00FD5CB8" w:rsidRPr="0022305D">
        <w:rPr>
          <w:rFonts w:asciiTheme="majorHAnsi" w:hAnsiTheme="majorHAnsi" w:cstheme="majorHAnsi"/>
          <w:sz w:val="24"/>
          <w:szCs w:val="24"/>
        </w:rPr>
        <w:t xml:space="preserve"> </w:t>
      </w:r>
      <w:r w:rsidR="00DD4335" w:rsidRPr="0022305D">
        <w:rPr>
          <w:rFonts w:asciiTheme="majorHAnsi" w:hAnsiTheme="majorHAnsi" w:cstheme="majorHAnsi"/>
          <w:sz w:val="24"/>
          <w:szCs w:val="24"/>
        </w:rPr>
        <w:t xml:space="preserve">in a research conducted to determine whether liquidity and solvency affect banks profitability in Jordan. </w:t>
      </w:r>
      <w:r w:rsidR="00E46C59" w:rsidRPr="0022305D">
        <w:rPr>
          <w:rFonts w:asciiTheme="majorHAnsi" w:hAnsiTheme="majorHAnsi" w:cstheme="majorHAnsi"/>
          <w:sz w:val="24"/>
          <w:szCs w:val="24"/>
        </w:rPr>
        <w:t>He</w:t>
      </w:r>
      <w:r w:rsidR="00DD4335" w:rsidRPr="0022305D">
        <w:rPr>
          <w:rFonts w:asciiTheme="majorHAnsi" w:hAnsiTheme="majorHAnsi" w:cstheme="majorHAnsi"/>
          <w:sz w:val="24"/>
          <w:szCs w:val="24"/>
        </w:rPr>
        <w:t xml:space="preserve"> suggest</w:t>
      </w:r>
      <w:r w:rsidR="00E46C59" w:rsidRPr="0022305D">
        <w:rPr>
          <w:rFonts w:asciiTheme="majorHAnsi" w:hAnsiTheme="majorHAnsi" w:cstheme="majorHAnsi"/>
          <w:sz w:val="24"/>
          <w:szCs w:val="24"/>
        </w:rPr>
        <w:t>ed</w:t>
      </w:r>
      <w:r w:rsidR="00DD4335" w:rsidRPr="0022305D">
        <w:rPr>
          <w:rFonts w:asciiTheme="majorHAnsi" w:hAnsiTheme="majorHAnsi" w:cstheme="majorHAnsi"/>
          <w:sz w:val="24"/>
          <w:szCs w:val="24"/>
        </w:rPr>
        <w:t xml:space="preserve"> that</w:t>
      </w:r>
      <w:r w:rsidR="00FD5CB8" w:rsidRPr="0022305D">
        <w:rPr>
          <w:rFonts w:asciiTheme="majorHAnsi" w:hAnsiTheme="majorHAnsi" w:cstheme="majorHAnsi"/>
          <w:sz w:val="24"/>
          <w:szCs w:val="24"/>
        </w:rPr>
        <w:t xml:space="preserve"> firms should concentrate on liquidity ratios and not the solvency</w:t>
      </w:r>
      <w:r w:rsidR="00DD4335" w:rsidRPr="0022305D">
        <w:rPr>
          <w:rFonts w:asciiTheme="majorHAnsi" w:hAnsiTheme="majorHAnsi" w:cstheme="majorHAnsi"/>
          <w:sz w:val="24"/>
          <w:szCs w:val="24"/>
        </w:rPr>
        <w:t xml:space="preserve"> ratios</w:t>
      </w:r>
      <w:r w:rsidR="00FD5CB8" w:rsidRPr="0022305D">
        <w:rPr>
          <w:rFonts w:asciiTheme="majorHAnsi" w:hAnsiTheme="majorHAnsi" w:cstheme="majorHAnsi"/>
          <w:sz w:val="24"/>
          <w:szCs w:val="24"/>
        </w:rPr>
        <w:t xml:space="preserve">. </w:t>
      </w:r>
      <w:r w:rsidR="009618F0" w:rsidRPr="0022305D">
        <w:rPr>
          <w:rFonts w:asciiTheme="majorHAnsi" w:hAnsiTheme="majorHAnsi" w:cstheme="majorHAnsi"/>
          <w:sz w:val="24"/>
          <w:szCs w:val="24"/>
        </w:rPr>
        <w:t xml:space="preserve">According to the research conducted by </w:t>
      </w:r>
      <w:r w:rsidR="009618F0" w:rsidRPr="0022305D">
        <w:rPr>
          <w:rFonts w:asciiTheme="majorHAnsi" w:hAnsiTheme="majorHAnsi" w:cstheme="majorHAnsi"/>
          <w:sz w:val="24"/>
          <w:szCs w:val="24"/>
        </w:rPr>
        <w:fldChar w:fldCharType="begin" w:fldLock="1"/>
      </w:r>
      <w:r w:rsidR="0054167C" w:rsidRPr="0022305D">
        <w:rPr>
          <w:rFonts w:asciiTheme="majorHAnsi" w:hAnsiTheme="majorHAnsi" w:cstheme="majorHAnsi"/>
          <w:sz w:val="24"/>
          <w:szCs w:val="24"/>
        </w:rPr>
        <w:instrText>ADDIN CSL_CITATION {"citationItems":[{"id":"ITEM-1","itemData":{"DOI":"10.1016/j.ajsl.2016.12.007","ISSN":"20925212","abstract":"This study examines factors affecting the solvency of shipping firms. The paper uses a panel dataset and employs the GLM and FGLS regression analyses. This study explores the financial structure of top 130 shipping firms provided by the Factiva database during the period between 2009 and 2013. The paper finds that liquidity is closely related to the leverage of shipping companies. The negative association between the asset liquidity and the leverage level implies that there exist conflicts of interest between managers and investors. Shipping firms have a comfortable high liquidity position, but they have a high degree of leverage. They need to take steps to reduce debts. There is evidence of heterogeneity in the determinants of leverage level. The paper also finds that the variables such as profitability, FSIZE, FAGE influence differently the leverage level whether the debt is short-term or long-term.","author":[{"dropping-particle":"","family":"Yeo","given":"Heejung","non-dropping-particle":"","parse-names":false,"suffix":""}],"container-title":"Asian Journal of Shipping and Logistics","id":"ITEM-1","issue":"4","issued":{"date-parts":[["2016"]]},"page":"235-241","title":"Solvency and Liquidity in Shipping Companies","type":"article-journal","volume":"32"},"uris":["http://www.mendeley.com/documents/?uuid=63cfd63a-c3f1-4ef2-a780-15165a535c2c"]}],"mendeley":{"formattedCitation":"(Yeo, 2016)","manualFormatting":"Yeo (2016)","plainTextFormattedCitation":"(Yeo, 2016)","previouslyFormattedCitation":"(Yeo, 2016)"},"properties":{"noteIndex":0},"schema":"https://github.com/citation-style-language/schema/raw/master/csl-citation.json"}</w:instrText>
      </w:r>
      <w:r w:rsidR="009618F0" w:rsidRPr="0022305D">
        <w:rPr>
          <w:rFonts w:asciiTheme="majorHAnsi" w:hAnsiTheme="majorHAnsi" w:cstheme="majorHAnsi"/>
          <w:sz w:val="24"/>
          <w:szCs w:val="24"/>
        </w:rPr>
        <w:fldChar w:fldCharType="separate"/>
      </w:r>
      <w:r w:rsidR="009618F0" w:rsidRPr="0022305D">
        <w:rPr>
          <w:rFonts w:asciiTheme="majorHAnsi" w:hAnsiTheme="majorHAnsi" w:cstheme="majorHAnsi"/>
          <w:noProof/>
          <w:sz w:val="24"/>
          <w:szCs w:val="24"/>
        </w:rPr>
        <w:t>Yeo (2016)</w:t>
      </w:r>
      <w:r w:rsidR="009618F0" w:rsidRPr="0022305D">
        <w:rPr>
          <w:rFonts w:asciiTheme="majorHAnsi" w:hAnsiTheme="majorHAnsi" w:cstheme="majorHAnsi"/>
          <w:sz w:val="24"/>
          <w:szCs w:val="24"/>
        </w:rPr>
        <w:fldChar w:fldCharType="end"/>
      </w:r>
      <w:r w:rsidR="009618F0" w:rsidRPr="0022305D">
        <w:rPr>
          <w:rFonts w:asciiTheme="majorHAnsi" w:hAnsiTheme="majorHAnsi" w:cstheme="majorHAnsi"/>
          <w:sz w:val="24"/>
          <w:szCs w:val="24"/>
        </w:rPr>
        <w:t xml:space="preserve"> to investigate the impact of solvency on profitability of shipping companies, he found that solvency has a significant and  positive relationship with profitability of shipping companies.</w:t>
      </w:r>
    </w:p>
    <w:p w14:paraId="43D13FAD" w14:textId="265771FE" w:rsidR="00FD5CB8" w:rsidRPr="0022305D" w:rsidRDefault="00F00721" w:rsidP="00032AB2">
      <w:pPr>
        <w:spacing w:line="480" w:lineRule="auto"/>
        <w:ind w:firstLine="720"/>
        <w:rPr>
          <w:rFonts w:asciiTheme="majorHAnsi" w:hAnsiTheme="majorHAnsi" w:cstheme="majorHAnsi"/>
          <w:sz w:val="24"/>
          <w:szCs w:val="24"/>
        </w:rPr>
      </w:pPr>
      <w:r w:rsidRPr="0022305D">
        <w:rPr>
          <w:rFonts w:asciiTheme="majorHAnsi" w:hAnsiTheme="majorHAnsi" w:cstheme="majorHAnsi"/>
          <w:sz w:val="24"/>
          <w:szCs w:val="24"/>
        </w:rPr>
        <w:t xml:space="preserve">This is an ongoing </w:t>
      </w:r>
      <w:r w:rsidR="00BE49A3" w:rsidRPr="0022305D">
        <w:rPr>
          <w:rFonts w:asciiTheme="majorHAnsi" w:hAnsiTheme="majorHAnsi" w:cstheme="majorHAnsi"/>
          <w:sz w:val="24"/>
          <w:szCs w:val="24"/>
        </w:rPr>
        <w:t>debate</w:t>
      </w:r>
      <w:r w:rsidRPr="0022305D">
        <w:rPr>
          <w:rFonts w:asciiTheme="majorHAnsi" w:hAnsiTheme="majorHAnsi" w:cstheme="majorHAnsi"/>
          <w:sz w:val="24"/>
          <w:szCs w:val="24"/>
        </w:rPr>
        <w:t xml:space="preserve"> which has not been concluded</w:t>
      </w:r>
      <w:r w:rsidR="00BE49A3" w:rsidRPr="0022305D">
        <w:rPr>
          <w:rFonts w:asciiTheme="majorHAnsi" w:hAnsiTheme="majorHAnsi" w:cstheme="majorHAnsi"/>
          <w:sz w:val="24"/>
          <w:szCs w:val="24"/>
        </w:rPr>
        <w:t xml:space="preserve"> since </w:t>
      </w:r>
      <w:r w:rsidR="002F0607">
        <w:rPr>
          <w:rFonts w:asciiTheme="majorHAnsi" w:hAnsiTheme="majorHAnsi" w:cstheme="majorHAnsi"/>
          <w:sz w:val="24"/>
          <w:szCs w:val="24"/>
        </w:rPr>
        <w:t xml:space="preserve">scholars such as </w:t>
      </w:r>
      <w:r w:rsidR="003A6D6D">
        <w:rPr>
          <w:rFonts w:asciiTheme="majorHAnsi" w:hAnsiTheme="majorHAnsi" w:cstheme="majorHAnsi"/>
          <w:sz w:val="24"/>
          <w:szCs w:val="24"/>
        </w:rPr>
        <w:fldChar w:fldCharType="begin" w:fldLock="1"/>
      </w:r>
      <w:r w:rsidR="003A6D6D">
        <w:rPr>
          <w:rFonts w:asciiTheme="majorHAnsi" w:hAnsiTheme="majorHAnsi" w:cstheme="majorHAnsi"/>
          <w:sz w:val="24"/>
          <w:szCs w:val="24"/>
        </w:rPr>
        <w:instrText>ADDIN CSL_CITATION {"citationItems":[{"id":"ITEM-1","itemData":{"DOI":"10.13106/jafeb.2021.vol8.no5.0135","author":[{"dropping-particle":"","family":"Raji","given":"Suleiman","non-dropping-particle":"","parse-names":false,"suffix":""}],"container-title":"Journal of Asian Finance, Economics and Business","id":"ITEM-1","issue":"5","issued":{"date-parts":[["2021"]]},"page":"135-141","title":"Liquidity and solvency management and its impact on financial performance: empirical evidence from Jordan","type":"article-journal","volume":"8"},"uris":["http://www.mendeley.com/documents/?uuid=f691c5d2-5fdf-49bd-892e-6ed189df2790"]}],"mendeley":{"formattedCitation":"(Raji, 2021)","manualFormatting":"Raji (2021)","plainTextFormattedCitation":"(Raji, 2021)","previouslyFormattedCitation":"(Raji, 2021)"},"properties":{"noteIndex":0},"schema":"https://github.com/citation-style-language/schema/raw/master/csl-citation.json"}</w:instrText>
      </w:r>
      <w:r w:rsidR="003A6D6D">
        <w:rPr>
          <w:rFonts w:asciiTheme="majorHAnsi" w:hAnsiTheme="majorHAnsi" w:cstheme="majorHAnsi"/>
          <w:sz w:val="24"/>
          <w:szCs w:val="24"/>
        </w:rPr>
        <w:fldChar w:fldCharType="separate"/>
      </w:r>
      <w:r w:rsidR="003A6D6D" w:rsidRPr="003A6D6D">
        <w:rPr>
          <w:rFonts w:asciiTheme="majorHAnsi" w:hAnsiTheme="majorHAnsi" w:cstheme="majorHAnsi"/>
          <w:noProof/>
          <w:sz w:val="24"/>
          <w:szCs w:val="24"/>
        </w:rPr>
        <w:t xml:space="preserve">Raji </w:t>
      </w:r>
      <w:r w:rsidR="003A6D6D">
        <w:rPr>
          <w:rFonts w:asciiTheme="majorHAnsi" w:hAnsiTheme="majorHAnsi" w:cstheme="majorHAnsi"/>
          <w:noProof/>
          <w:sz w:val="24"/>
          <w:szCs w:val="24"/>
        </w:rPr>
        <w:t>(</w:t>
      </w:r>
      <w:r w:rsidR="003A6D6D" w:rsidRPr="003A6D6D">
        <w:rPr>
          <w:rFonts w:asciiTheme="majorHAnsi" w:hAnsiTheme="majorHAnsi" w:cstheme="majorHAnsi"/>
          <w:noProof/>
          <w:sz w:val="24"/>
          <w:szCs w:val="24"/>
        </w:rPr>
        <w:t>2021)</w:t>
      </w:r>
      <w:r w:rsidR="003A6D6D">
        <w:rPr>
          <w:rFonts w:asciiTheme="majorHAnsi" w:hAnsiTheme="majorHAnsi" w:cstheme="majorHAnsi"/>
          <w:sz w:val="24"/>
          <w:szCs w:val="24"/>
        </w:rPr>
        <w:fldChar w:fldCharType="end"/>
      </w:r>
      <w:r w:rsidR="003A6D6D">
        <w:rPr>
          <w:rFonts w:asciiTheme="majorHAnsi" w:hAnsiTheme="majorHAnsi" w:cstheme="majorHAnsi"/>
          <w:sz w:val="24"/>
          <w:szCs w:val="24"/>
        </w:rPr>
        <w:t xml:space="preserve"> and </w:t>
      </w:r>
      <w:r w:rsidR="002F0607">
        <w:rPr>
          <w:rFonts w:asciiTheme="majorHAnsi" w:hAnsiTheme="majorHAnsi" w:cstheme="majorHAnsi"/>
          <w:sz w:val="24"/>
          <w:szCs w:val="24"/>
        </w:rPr>
        <w:t xml:space="preserve"> </w:t>
      </w:r>
      <w:r w:rsidR="003A6D6D">
        <w:rPr>
          <w:rFonts w:asciiTheme="majorHAnsi" w:hAnsiTheme="majorHAnsi" w:cstheme="majorHAnsi"/>
          <w:sz w:val="24"/>
          <w:szCs w:val="24"/>
        </w:rPr>
        <w:fldChar w:fldCharType="begin" w:fldLock="1"/>
      </w:r>
      <w:r w:rsidR="00AE6641">
        <w:rPr>
          <w:rFonts w:asciiTheme="majorHAnsi" w:hAnsiTheme="majorHAnsi" w:cstheme="majorHAnsi"/>
          <w:sz w:val="24"/>
          <w:szCs w:val="24"/>
        </w:rPr>
        <w:instrText>ADDIN CSL_CITATION {"citationItems":[{"id":"ITEM-1","itemData":{"DOI":"10.12816/0033281","ISSN":"2311326X","abstract":"Business firms exist in a world of rapid changes. In 21st century, business and economic environment is characterized by various changes like High-growth markets, financial crisis, technological advances, stiff competition, innovation etc. In such a complex and rapidly changing corporate environment, a firm will not be able to survive in the long-run if its financial performance is not sound in all respects. The present study is an attempt to analyze financial performance of Steel Authority of India Limited, a Public Sector Undertaking in India enjoying the status of Maharatna, for a period of ten years from 2005 to 2014 using various financial ratios. The analysis of the present study revealed that there was a decline in the financial performance of SAIL during the study period i.e. between 2005 and 2014.","author":[{"dropping-particle":"","family":"Yameen","given":"Mohd","non-dropping-particle":"","parse-names":false,"suffix":""}],"container-title":"International Journal of Accounting Research","id":"ITEM-1","issue":"12","issued":{"date-parts":[["2016"]]},"page":"32-41","title":"Impact of liquidity , solvency and efficiency on profitability of steel authority of India limited","type":"article-journal","volume":"2"},"uris":["http://www.mendeley.com/documents/?uuid=d9f2d236-2e71-4f4b-8e1a-0bec99f13038"]}],"mendeley":{"formattedCitation":"(Yameen, 2016)","manualFormatting":"Yameen (2016)","plainTextFormattedCitation":"(Yameen, 2016)","previouslyFormattedCitation":"(Yameen, 2016)"},"properties":{"noteIndex":0},"schema":"https://github.com/citation-style-language/schema/raw/master/csl-citation.json"}</w:instrText>
      </w:r>
      <w:r w:rsidR="003A6D6D">
        <w:rPr>
          <w:rFonts w:asciiTheme="majorHAnsi" w:hAnsiTheme="majorHAnsi" w:cstheme="majorHAnsi"/>
          <w:sz w:val="24"/>
          <w:szCs w:val="24"/>
        </w:rPr>
        <w:fldChar w:fldCharType="separate"/>
      </w:r>
      <w:r w:rsidR="003A6D6D" w:rsidRPr="003A6D6D">
        <w:rPr>
          <w:rFonts w:asciiTheme="majorHAnsi" w:hAnsiTheme="majorHAnsi" w:cstheme="majorHAnsi"/>
          <w:noProof/>
          <w:sz w:val="24"/>
          <w:szCs w:val="24"/>
        </w:rPr>
        <w:t xml:space="preserve">Yameen </w:t>
      </w:r>
      <w:r w:rsidR="003A6D6D">
        <w:rPr>
          <w:rFonts w:asciiTheme="majorHAnsi" w:hAnsiTheme="majorHAnsi" w:cstheme="majorHAnsi"/>
          <w:noProof/>
          <w:sz w:val="24"/>
          <w:szCs w:val="24"/>
        </w:rPr>
        <w:t>(</w:t>
      </w:r>
      <w:r w:rsidR="003A6D6D" w:rsidRPr="003A6D6D">
        <w:rPr>
          <w:rFonts w:asciiTheme="majorHAnsi" w:hAnsiTheme="majorHAnsi" w:cstheme="majorHAnsi"/>
          <w:noProof/>
          <w:sz w:val="24"/>
          <w:szCs w:val="24"/>
        </w:rPr>
        <w:t>2016)</w:t>
      </w:r>
      <w:r w:rsidR="003A6D6D">
        <w:rPr>
          <w:rFonts w:asciiTheme="majorHAnsi" w:hAnsiTheme="majorHAnsi" w:cstheme="majorHAnsi"/>
          <w:sz w:val="24"/>
          <w:szCs w:val="24"/>
        </w:rPr>
        <w:fldChar w:fldCharType="end"/>
      </w:r>
      <w:r w:rsidR="003A6D6D">
        <w:rPr>
          <w:rFonts w:asciiTheme="majorHAnsi" w:hAnsiTheme="majorHAnsi" w:cstheme="majorHAnsi"/>
          <w:sz w:val="24"/>
          <w:szCs w:val="24"/>
        </w:rPr>
        <w:t xml:space="preserve"> found positive </w:t>
      </w:r>
      <w:r w:rsidR="00BE49A3" w:rsidRPr="0022305D">
        <w:rPr>
          <w:rFonts w:asciiTheme="majorHAnsi" w:hAnsiTheme="majorHAnsi" w:cstheme="majorHAnsi"/>
          <w:sz w:val="24"/>
          <w:szCs w:val="24"/>
        </w:rPr>
        <w:t>relationship</w:t>
      </w:r>
      <w:r w:rsidR="003A6D6D">
        <w:rPr>
          <w:rFonts w:asciiTheme="majorHAnsi" w:hAnsiTheme="majorHAnsi" w:cstheme="majorHAnsi"/>
          <w:sz w:val="24"/>
          <w:szCs w:val="24"/>
        </w:rPr>
        <w:t xml:space="preserve"> while scholars such as </w:t>
      </w:r>
      <w:r w:rsidR="00112C9B" w:rsidRPr="0022305D">
        <w:rPr>
          <w:rFonts w:asciiTheme="majorHAnsi" w:hAnsiTheme="majorHAnsi" w:cstheme="majorHAnsi"/>
          <w:bCs/>
          <w:iCs/>
        </w:rPr>
        <w:fldChar w:fldCharType="begin" w:fldLock="1"/>
      </w:r>
      <w:r w:rsidR="00112C9B" w:rsidRPr="0022305D">
        <w:rPr>
          <w:rFonts w:asciiTheme="majorHAnsi" w:hAnsiTheme="majorHAnsi" w:cstheme="majorHAnsi"/>
          <w:bCs/>
          <w:iCs/>
        </w:rPr>
        <w:instrText>ADDIN CSL_CITATION {"citationItems":[{"id":"ITEM-1","itemData":{"DOI":"10.25255/jss.2016.5.3.408.424","ISSN":"23059494","abstract":"This study examines the relationship between several financial indicators (profitability&amp; leverage measures) and stock return, to assist the management in the Jordanian manufacturing companies in decision making. The study sample consists of 65 manufacturing companies that have been listed in Amman Stock Exchange over the 10-year period (2001-2011). Five financial ratios are used to examine the relationship between profitability measures (Net Profit margin (NPM), Gross Profit Margin (GPM), Return on Assets (ROA), Return on Equity (ROE), Earnings per Share (EPS)) and stock returns.Three financial ratios are used to examine the relationship between leverage measures (Debt Ratio (DR), Debt to Equity Ratio (DER), Interest Coverage Ratio (CR)) and stock returns. Statistical analysis undertaken to examine the relationship between stock return and the financial indicators (Profitability and Leverage measures) are: correlation analysis, multiple regression and descriptive statistics. Data are obtained from the published annual reports and the monthly statistical bulletins issued by (ASE) over the study period. The results show that (GPM), (ROA), (ROE), and (EPS) have a significant relationship with stock return. And the others (NPM) and leverage measures ((DR), (DER), and (CR)) don't have a significant relationship with stock return. This study recommends managers of manufacturing companies to focus more on financial ratios that have significant relationship with stock return for more profits and less debts, future research is also recommended to examine this relation in other sectors and to use other financial ratios.","author":[{"dropping-particle":"","family":"Allozi","given":"Nurah Musa","non-dropping-particle":"","parse-names":false,"suffix":""},{"dropping-particle":"","family":"Obeidat","given":"Ghassan","non-dropping-particle":"","parse-names":false,"suffix":""}],"container-title":"Journal of Social Sciences","id":"ITEM-1","issue":"3","issued":{"date-parts":[["2016"]]},"page":"408-424","title":"The relationship between the stock return and financial indicators (Profitability, Leverage): An empirical study on manufacturing companies listed in Amman stock exchange","type":"article-journal","volume":"5"},"uris":["http://www.mendeley.com/documents/?uuid=d4cc606d-9fb2-45e0-be5a-f28f48ff3214"]}],"mendeley":{"formattedCitation":"(Allozi &amp; Obeidat, 2016)","manualFormatting":"Allozi and Obeidat (2016)","plainTextFormattedCitation":"(Allozi &amp; Obeidat, 2016)","previouslyFormattedCitation":"(Allozi &amp; Obeidat, 2016)"},"properties":{"noteIndex":0},"schema":"https://github.com/citation-style-language/schema/raw/master/csl-citation.json"}</w:instrText>
      </w:r>
      <w:r w:rsidR="00112C9B" w:rsidRPr="0022305D">
        <w:rPr>
          <w:rFonts w:asciiTheme="majorHAnsi" w:hAnsiTheme="majorHAnsi" w:cstheme="majorHAnsi"/>
          <w:bCs/>
          <w:iCs/>
        </w:rPr>
        <w:fldChar w:fldCharType="separate"/>
      </w:r>
      <w:r w:rsidR="00112C9B" w:rsidRPr="0022305D">
        <w:rPr>
          <w:rFonts w:asciiTheme="majorHAnsi" w:hAnsiTheme="majorHAnsi" w:cstheme="majorHAnsi"/>
          <w:bCs/>
          <w:iCs/>
          <w:noProof/>
        </w:rPr>
        <w:t>Allozi and Obeidat (2016)</w:t>
      </w:r>
      <w:r w:rsidR="00112C9B" w:rsidRPr="0022305D">
        <w:rPr>
          <w:rFonts w:asciiTheme="majorHAnsi" w:hAnsiTheme="majorHAnsi" w:cstheme="majorHAnsi"/>
          <w:bCs/>
          <w:iCs/>
        </w:rPr>
        <w:fldChar w:fldCharType="end"/>
      </w:r>
      <w:r w:rsidR="00112C9B">
        <w:rPr>
          <w:rFonts w:asciiTheme="majorHAnsi" w:hAnsiTheme="majorHAnsi" w:cstheme="majorHAnsi"/>
          <w:bCs/>
          <w:iCs/>
        </w:rPr>
        <w:t xml:space="preserve"> </w:t>
      </w:r>
      <w:r w:rsidR="003A6D6D">
        <w:rPr>
          <w:rFonts w:asciiTheme="majorHAnsi" w:hAnsiTheme="majorHAnsi" w:cstheme="majorHAnsi"/>
          <w:sz w:val="24"/>
          <w:szCs w:val="24"/>
        </w:rPr>
        <w:t xml:space="preserve">found </w:t>
      </w:r>
      <w:r w:rsidR="00BE49A3" w:rsidRPr="0022305D">
        <w:rPr>
          <w:rFonts w:asciiTheme="majorHAnsi" w:hAnsiTheme="majorHAnsi" w:cstheme="majorHAnsi"/>
          <w:sz w:val="24"/>
          <w:szCs w:val="24"/>
        </w:rPr>
        <w:t>negative relationship</w:t>
      </w:r>
      <w:r w:rsidR="00112C9B">
        <w:rPr>
          <w:rFonts w:asciiTheme="majorHAnsi" w:hAnsiTheme="majorHAnsi" w:cstheme="majorHAnsi"/>
          <w:sz w:val="24"/>
          <w:szCs w:val="24"/>
        </w:rPr>
        <w:t xml:space="preserve"> between solvency and profitability</w:t>
      </w:r>
      <w:r w:rsidR="003A6D6D">
        <w:rPr>
          <w:rFonts w:asciiTheme="majorHAnsi" w:hAnsiTheme="majorHAnsi" w:cstheme="majorHAnsi"/>
          <w:sz w:val="24"/>
          <w:szCs w:val="24"/>
        </w:rPr>
        <w:t>.</w:t>
      </w:r>
      <w:r w:rsidR="00112C9B">
        <w:rPr>
          <w:rFonts w:asciiTheme="majorHAnsi" w:hAnsiTheme="majorHAnsi" w:cstheme="majorHAnsi"/>
          <w:sz w:val="24"/>
          <w:szCs w:val="24"/>
        </w:rPr>
        <w:t xml:space="preserve"> There is need therefore to assess whether there is relationship between solvency and </w:t>
      </w:r>
      <w:r w:rsidR="00112C9B">
        <w:rPr>
          <w:rFonts w:asciiTheme="majorHAnsi" w:hAnsiTheme="majorHAnsi" w:cstheme="majorHAnsi"/>
          <w:sz w:val="24"/>
          <w:szCs w:val="24"/>
        </w:rPr>
        <w:lastRenderedPageBreak/>
        <w:t>profitability.</w:t>
      </w:r>
      <w:r w:rsidR="00916C1F" w:rsidRPr="0022305D">
        <w:rPr>
          <w:rFonts w:asciiTheme="majorHAnsi" w:hAnsiTheme="majorHAnsi" w:cstheme="majorHAnsi"/>
          <w:sz w:val="24"/>
          <w:szCs w:val="24"/>
        </w:rPr>
        <w:t xml:space="preserve"> </w:t>
      </w:r>
      <w:r w:rsidR="007D6145" w:rsidRPr="0022305D">
        <w:rPr>
          <w:rFonts w:asciiTheme="majorHAnsi" w:hAnsiTheme="majorHAnsi" w:cstheme="majorHAnsi"/>
          <w:sz w:val="24"/>
          <w:szCs w:val="24"/>
        </w:rPr>
        <w:t xml:space="preserve">Thus, this study </w:t>
      </w:r>
      <w:r w:rsidR="00112C9B">
        <w:rPr>
          <w:rFonts w:asciiTheme="majorHAnsi" w:hAnsiTheme="majorHAnsi" w:cstheme="majorHAnsi"/>
          <w:sz w:val="24"/>
          <w:szCs w:val="24"/>
        </w:rPr>
        <w:t xml:space="preserve">therefore </w:t>
      </w:r>
      <w:r w:rsidR="007D6145" w:rsidRPr="0022305D">
        <w:rPr>
          <w:rFonts w:asciiTheme="majorHAnsi" w:hAnsiTheme="majorHAnsi" w:cstheme="majorHAnsi"/>
          <w:sz w:val="24"/>
          <w:szCs w:val="24"/>
        </w:rPr>
        <w:t xml:space="preserve">seeks to </w:t>
      </w:r>
      <w:r w:rsidR="005A57D6" w:rsidRPr="0022305D">
        <w:rPr>
          <w:rFonts w:asciiTheme="majorHAnsi" w:hAnsiTheme="majorHAnsi" w:cstheme="majorHAnsi"/>
          <w:sz w:val="24"/>
          <w:szCs w:val="24"/>
        </w:rPr>
        <w:t>re-</w:t>
      </w:r>
      <w:r w:rsidR="007D6145" w:rsidRPr="0022305D">
        <w:rPr>
          <w:rFonts w:asciiTheme="majorHAnsi" w:hAnsiTheme="majorHAnsi" w:cstheme="majorHAnsi"/>
          <w:sz w:val="24"/>
          <w:szCs w:val="24"/>
        </w:rPr>
        <w:t xml:space="preserve">examine the </w:t>
      </w:r>
      <w:r w:rsidR="00947258" w:rsidRPr="0022305D">
        <w:rPr>
          <w:rFonts w:asciiTheme="majorHAnsi" w:hAnsiTheme="majorHAnsi" w:cstheme="majorHAnsi"/>
          <w:sz w:val="24"/>
          <w:szCs w:val="24"/>
        </w:rPr>
        <w:t xml:space="preserve">relationship between </w:t>
      </w:r>
      <w:r w:rsidR="007D6145" w:rsidRPr="0022305D">
        <w:rPr>
          <w:rFonts w:asciiTheme="majorHAnsi" w:hAnsiTheme="majorHAnsi" w:cstheme="majorHAnsi"/>
          <w:sz w:val="24"/>
          <w:szCs w:val="24"/>
        </w:rPr>
        <w:t xml:space="preserve">solvency </w:t>
      </w:r>
      <w:r w:rsidR="00916C1F" w:rsidRPr="0022305D">
        <w:rPr>
          <w:rFonts w:asciiTheme="majorHAnsi" w:hAnsiTheme="majorHAnsi" w:cstheme="majorHAnsi"/>
          <w:sz w:val="24"/>
          <w:szCs w:val="24"/>
        </w:rPr>
        <w:t xml:space="preserve">and </w:t>
      </w:r>
      <w:r w:rsidR="00581E8B" w:rsidRPr="0022305D">
        <w:rPr>
          <w:rFonts w:asciiTheme="majorHAnsi" w:hAnsiTheme="majorHAnsi" w:cstheme="majorHAnsi"/>
          <w:sz w:val="24"/>
          <w:szCs w:val="24"/>
        </w:rPr>
        <w:t>profitability</w:t>
      </w:r>
      <w:r w:rsidR="00916C1F" w:rsidRPr="0022305D">
        <w:rPr>
          <w:rFonts w:asciiTheme="majorHAnsi" w:hAnsiTheme="majorHAnsi" w:cstheme="majorHAnsi"/>
          <w:sz w:val="24"/>
          <w:szCs w:val="24"/>
        </w:rPr>
        <w:t xml:space="preserve"> </w:t>
      </w:r>
      <w:r w:rsidR="00581E8B" w:rsidRPr="0022305D">
        <w:rPr>
          <w:rFonts w:asciiTheme="majorHAnsi" w:hAnsiTheme="majorHAnsi" w:cstheme="majorHAnsi"/>
          <w:sz w:val="24"/>
          <w:szCs w:val="24"/>
        </w:rPr>
        <w:t>of</w:t>
      </w:r>
      <w:r w:rsidR="00916C1F" w:rsidRPr="0022305D">
        <w:rPr>
          <w:rFonts w:asciiTheme="majorHAnsi" w:hAnsiTheme="majorHAnsi" w:cstheme="majorHAnsi"/>
          <w:sz w:val="24"/>
          <w:szCs w:val="24"/>
        </w:rPr>
        <w:t xml:space="preserve"> </w:t>
      </w:r>
      <w:r w:rsidR="00375493" w:rsidRPr="0022305D">
        <w:rPr>
          <w:rFonts w:asciiTheme="majorHAnsi" w:hAnsiTheme="majorHAnsi" w:cstheme="majorHAnsi"/>
          <w:sz w:val="24"/>
          <w:szCs w:val="24"/>
        </w:rPr>
        <w:t xml:space="preserve">commercial banks </w:t>
      </w:r>
      <w:r w:rsidR="008C2107" w:rsidRPr="0022305D">
        <w:rPr>
          <w:rFonts w:asciiTheme="majorHAnsi" w:hAnsiTheme="majorHAnsi" w:cstheme="majorHAnsi"/>
          <w:sz w:val="24"/>
          <w:szCs w:val="24"/>
        </w:rPr>
        <w:t>in Kenya.</w:t>
      </w:r>
    </w:p>
    <w:p w14:paraId="527AEA71" w14:textId="77777777" w:rsidR="00B64A79" w:rsidRPr="0022305D" w:rsidRDefault="00B64A79" w:rsidP="00996894">
      <w:pPr>
        <w:spacing w:line="480" w:lineRule="auto"/>
        <w:rPr>
          <w:rFonts w:asciiTheme="majorHAnsi" w:hAnsiTheme="majorHAnsi" w:cstheme="majorHAnsi"/>
          <w:b/>
          <w:sz w:val="24"/>
          <w:szCs w:val="24"/>
        </w:rPr>
      </w:pPr>
    </w:p>
    <w:p w14:paraId="76D5E671" w14:textId="53443355" w:rsidR="00096E5F" w:rsidRPr="0022305D" w:rsidRDefault="00032B80" w:rsidP="00DE2846">
      <w:pPr>
        <w:pStyle w:val="Heading2"/>
        <w:jc w:val="left"/>
        <w:rPr>
          <w:rFonts w:asciiTheme="majorHAnsi" w:eastAsia="Times New Roman" w:hAnsiTheme="majorHAnsi" w:cstheme="majorHAnsi"/>
          <w:sz w:val="28"/>
          <w:szCs w:val="28"/>
        </w:rPr>
      </w:pPr>
      <w:bookmarkStart w:id="17" w:name="_Toc78205771"/>
      <w:r w:rsidRPr="0022305D">
        <w:rPr>
          <w:rFonts w:asciiTheme="majorHAnsi" w:hAnsiTheme="majorHAnsi" w:cstheme="majorHAnsi"/>
          <w:sz w:val="28"/>
          <w:szCs w:val="28"/>
        </w:rPr>
        <w:t>C</w:t>
      </w:r>
      <w:r w:rsidR="00401CFA" w:rsidRPr="0022305D">
        <w:rPr>
          <w:rFonts w:asciiTheme="majorHAnsi" w:hAnsiTheme="majorHAnsi" w:cstheme="majorHAnsi"/>
          <w:sz w:val="28"/>
          <w:szCs w:val="28"/>
        </w:rPr>
        <w:t xml:space="preserve">ommercial banks </w:t>
      </w:r>
      <w:r w:rsidR="00347367" w:rsidRPr="0022305D">
        <w:rPr>
          <w:rFonts w:asciiTheme="majorHAnsi" w:hAnsiTheme="majorHAnsi" w:cstheme="majorHAnsi"/>
          <w:sz w:val="28"/>
          <w:szCs w:val="28"/>
        </w:rPr>
        <w:t>in Kenya</w:t>
      </w:r>
      <w:bookmarkEnd w:id="17"/>
      <w:r w:rsidR="00D74118" w:rsidRPr="0022305D">
        <w:rPr>
          <w:rFonts w:asciiTheme="majorHAnsi" w:eastAsia="Times New Roman" w:hAnsiTheme="majorHAnsi" w:cstheme="majorHAnsi"/>
          <w:sz w:val="28"/>
          <w:szCs w:val="28"/>
        </w:rPr>
        <w:t xml:space="preserve"> </w:t>
      </w:r>
    </w:p>
    <w:p w14:paraId="73D2F05A" w14:textId="77777777" w:rsidR="006E6EE1" w:rsidRPr="0022305D" w:rsidRDefault="006E6EE1" w:rsidP="00037DEA">
      <w:pPr>
        <w:spacing w:after="0" w:line="480" w:lineRule="auto"/>
        <w:ind w:firstLine="720"/>
        <w:rPr>
          <w:rFonts w:asciiTheme="majorHAnsi" w:hAnsiTheme="majorHAnsi" w:cstheme="majorHAnsi"/>
        </w:rPr>
      </w:pPr>
    </w:p>
    <w:p w14:paraId="4871898C" w14:textId="77777777" w:rsidR="00A54103" w:rsidRPr="0022305D" w:rsidRDefault="00A54103" w:rsidP="00A54103">
      <w:pPr>
        <w:spacing w:after="0" w:line="480" w:lineRule="auto"/>
        <w:ind w:firstLine="720"/>
        <w:rPr>
          <w:rFonts w:asciiTheme="majorHAnsi" w:hAnsiTheme="majorHAnsi" w:cstheme="majorHAnsi"/>
          <w:color w:val="FF0000"/>
          <w:sz w:val="24"/>
          <w:szCs w:val="24"/>
        </w:rPr>
      </w:pPr>
      <w:r w:rsidRPr="0022305D">
        <w:rPr>
          <w:rFonts w:asciiTheme="majorHAnsi" w:hAnsiTheme="majorHAnsi" w:cstheme="majorHAnsi"/>
          <w:sz w:val="24"/>
          <w:szCs w:val="24"/>
        </w:rPr>
        <w:t xml:space="preserve">The central bank of Kenya act as well as the companies act regulate the banking sector in Kenya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{"citationItems":[{"id":"ITEM-1","itemData":{"author":[{"dropping-particle":"","family":"Kiprotich","given":"Murikwa Dennis","non-dropping-particle":"","parse-names":false,"suffix":""}],"id":"ITEM-1","issued":{"date-parts":[["2017"]]},"title":"The relationship between leverage and financial performance of banks listed at the Nairobi securities exchange","type":"thesis"},"uris":["http://www.mendeley.com/documents/?uuid=7b352d96-0ea8-4f52-b923-14a2beebf005"]}],"mendeley":{"formattedCitation":"(Kiprotich, 2017)","plainTextFormattedCitation":"(Kiprotich, 2017)","previouslyFormattedCitation":"(Kiprotich, 2017)"},"properties":{"noteIndex":0},"schema":"https://github.com/citation-style-language/schema/raw/master/csl-citation.json"}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(Kiprotich, 2017)</w:t>
      </w:r>
      <w:r w:rsidRPr="0022305D">
        <w:rPr>
          <w:rFonts w:asciiTheme="majorHAnsi" w:hAnsiTheme="majorHAnsi" w:cstheme="majorHAnsi"/>
          <w:sz w:val="24"/>
          <w:szCs w:val="24"/>
        </w:rPr>
        <w:fldChar w:fldCharType="end"/>
      </w:r>
      <w:r w:rsidRPr="0022305D">
        <w:rPr>
          <w:rFonts w:asciiTheme="majorHAnsi" w:hAnsiTheme="majorHAnsi" w:cstheme="majorHAnsi"/>
          <w:color w:val="FF0000"/>
          <w:sz w:val="24"/>
          <w:szCs w:val="24"/>
        </w:rPr>
        <w:t xml:space="preserve">. </w:t>
      </w:r>
      <w:r w:rsidRPr="0022305D">
        <w:rPr>
          <w:rFonts w:asciiTheme="majorHAnsi" w:hAnsiTheme="majorHAnsi" w:cstheme="majorHAnsi"/>
          <w:sz w:val="24"/>
          <w:szCs w:val="24"/>
        </w:rPr>
        <w:t>The operation of commercial banks in Kenya is regulated by the central bank of Kenya which defines the environment in which these banks should operate. It controls the operations by setting up the minimum level of solvency and liquidity; and also formulating and implementing monetary policy.</w:t>
      </w:r>
    </w:p>
    <w:p w14:paraId="46B6A0F7" w14:textId="36A1E17D" w:rsidR="00A54103" w:rsidRPr="0022305D" w:rsidRDefault="00A54103" w:rsidP="00A54103">
      <w:pPr>
        <w:spacing w:after="0" w:line="480" w:lineRule="auto"/>
        <w:ind w:firstLine="720"/>
        <w:rPr>
          <w:rFonts w:asciiTheme="majorHAnsi" w:eastAsia="Times New Roman" w:hAnsiTheme="majorHAnsi" w:cstheme="majorHAnsi"/>
          <w:sz w:val="24"/>
          <w:szCs w:val="24"/>
        </w:rPr>
      </w:pPr>
      <w:r w:rsidRPr="0022305D">
        <w:rPr>
          <w:rFonts w:asciiTheme="majorHAnsi" w:eastAsia="Times New Roman" w:hAnsiTheme="majorHAnsi" w:cstheme="majorHAnsi"/>
          <w:sz w:val="24"/>
          <w:szCs w:val="24"/>
        </w:rPr>
        <w:t>As at 31</w:t>
      </w:r>
      <w:r w:rsidRPr="0022305D">
        <w:rPr>
          <w:rFonts w:asciiTheme="majorHAnsi" w:eastAsia="Times New Roman" w:hAnsiTheme="majorHAnsi" w:cstheme="majorHAnsi"/>
          <w:sz w:val="24"/>
          <w:szCs w:val="24"/>
          <w:vertAlign w:val="superscript"/>
        </w:rPr>
        <w:t>st</w:t>
      </w:r>
      <w:r w:rsidRPr="0022305D">
        <w:rPr>
          <w:rFonts w:asciiTheme="majorHAnsi" w:eastAsia="Times New Roman" w:hAnsiTheme="majorHAnsi" w:cstheme="majorHAnsi"/>
          <w:sz w:val="24"/>
          <w:szCs w:val="24"/>
        </w:rPr>
        <w:t xml:space="preserve"> December,2020, there were 43 commercial banks in Kenya, out of which two were in receivership while one was under statutory management and twelve were listed in Nairobi securities exchange </w:t>
      </w:r>
      <w:r w:rsidRPr="0022305D">
        <w:rPr>
          <w:rFonts w:asciiTheme="majorHAnsi" w:eastAsia="Times New Roman" w:hAnsiTheme="majorHAnsi" w:cstheme="majorHAnsi"/>
          <w:sz w:val="24"/>
          <w:szCs w:val="24"/>
        </w:rPr>
        <w:fldChar w:fldCharType="begin" w:fldLock="1"/>
      </w:r>
      <w:r w:rsidR="00804351">
        <w:rPr>
          <w:rFonts w:asciiTheme="majorHAnsi" w:eastAsia="Times New Roman" w:hAnsiTheme="majorHAnsi" w:cstheme="majorHAnsi"/>
          <w:sz w:val="24"/>
          <w:szCs w:val="24"/>
        </w:rPr>
        <w:instrText>ADDIN CSL_CITATION {"citationItems":[{"id":"ITEM-1","itemData":{"author":[{"dropping-particle":"","family":"Central bank of Kenya","given":"","non-dropping-particle":"","parse-names":false,"suffix":""}],"id":"ITEM-1","issued":{"date-parts":[["2020"]]},"number-of-pages":"1-117","title":"Central bank on Kenya supervision annual report","type":"report"},"uris":["http://www.mendeley.com/documents/?uuid=fa561b60-a014-4172-9956-f515b623ec92"]}],"mendeley":{"formattedCitation":"(Central bank of Kenya, 2020)","plainTextFormattedCitation":"(Central bank of Kenya, 2020)","previouslyFormattedCitation":"(Central bank of Kenya, 2020)"},"properties":{"noteIndex":0},"schema":"https://github.com/citation-style-language/schema/raw/master/csl-citation.json"}</w:instrText>
      </w:r>
      <w:r w:rsidRPr="0022305D">
        <w:rPr>
          <w:rFonts w:asciiTheme="majorHAnsi" w:eastAsia="Times New Roman" w:hAnsiTheme="majorHAnsi" w:cstheme="majorHAnsi"/>
          <w:sz w:val="24"/>
          <w:szCs w:val="24"/>
        </w:rPr>
        <w:fldChar w:fldCharType="separate"/>
      </w:r>
      <w:r w:rsidRPr="0022305D">
        <w:rPr>
          <w:rFonts w:asciiTheme="majorHAnsi" w:eastAsia="Times New Roman" w:hAnsiTheme="majorHAnsi" w:cstheme="majorHAnsi"/>
          <w:noProof/>
          <w:sz w:val="24"/>
          <w:szCs w:val="24"/>
        </w:rPr>
        <w:t>(Central bank of Kenya, 2020)</w:t>
      </w:r>
      <w:r w:rsidRPr="0022305D">
        <w:rPr>
          <w:rFonts w:asciiTheme="majorHAnsi" w:eastAsia="Times New Roman" w:hAnsiTheme="majorHAnsi" w:cstheme="majorHAnsi"/>
          <w:sz w:val="24"/>
          <w:szCs w:val="24"/>
        </w:rPr>
        <w:fldChar w:fldCharType="end"/>
      </w:r>
      <w:r w:rsidRPr="0022305D">
        <w:rPr>
          <w:rFonts w:asciiTheme="majorHAnsi" w:eastAsia="Times New Roman" w:hAnsiTheme="majorHAnsi" w:cstheme="majorHAnsi"/>
          <w:sz w:val="24"/>
          <w:szCs w:val="24"/>
        </w:rPr>
        <w:t>. The return on assets and return on equity for all commercial banks in Kenya as at 31</w:t>
      </w:r>
      <w:r w:rsidRPr="0022305D">
        <w:rPr>
          <w:rFonts w:asciiTheme="majorHAnsi" w:eastAsia="Times New Roman" w:hAnsiTheme="majorHAnsi" w:cstheme="majorHAnsi"/>
          <w:sz w:val="24"/>
          <w:szCs w:val="24"/>
          <w:vertAlign w:val="superscript"/>
        </w:rPr>
        <w:t>st</w:t>
      </w:r>
      <w:r w:rsidRPr="0022305D">
        <w:rPr>
          <w:rFonts w:asciiTheme="majorHAnsi" w:eastAsia="Times New Roman" w:hAnsiTheme="majorHAnsi" w:cstheme="majorHAnsi"/>
          <w:sz w:val="24"/>
          <w:szCs w:val="24"/>
        </w:rPr>
        <w:t xml:space="preserve"> December, 2020 stood at 18% and42% respectively while </w:t>
      </w:r>
      <w:r w:rsidR="00CB2CDC">
        <w:rPr>
          <w:rFonts w:asciiTheme="majorHAnsi" w:eastAsia="Times New Roman" w:hAnsiTheme="majorHAnsi" w:cstheme="majorHAnsi"/>
          <w:sz w:val="24"/>
          <w:szCs w:val="24"/>
        </w:rPr>
        <w:t>total debt to total assets ratio</w:t>
      </w:r>
      <w:r w:rsidRPr="0022305D">
        <w:rPr>
          <w:rFonts w:asciiTheme="majorHAnsi" w:eastAsia="Times New Roman" w:hAnsiTheme="majorHAnsi" w:cstheme="majorHAnsi"/>
          <w:sz w:val="24"/>
          <w:szCs w:val="24"/>
        </w:rPr>
        <w:t xml:space="preserve"> and </w:t>
      </w:r>
      <w:r w:rsidR="00BE06BC">
        <w:rPr>
          <w:rFonts w:asciiTheme="majorHAnsi" w:eastAsia="Times New Roman" w:hAnsiTheme="majorHAnsi" w:cstheme="majorHAnsi"/>
          <w:sz w:val="24"/>
          <w:szCs w:val="24"/>
        </w:rPr>
        <w:t>total debt to equity</w:t>
      </w:r>
      <w:r w:rsidRPr="0022305D">
        <w:rPr>
          <w:rFonts w:asciiTheme="majorHAnsi" w:eastAsia="Times New Roman" w:hAnsiTheme="majorHAnsi" w:cstheme="majorHAnsi"/>
          <w:sz w:val="24"/>
          <w:szCs w:val="24"/>
        </w:rPr>
        <w:t xml:space="preserve"> ratio stood at 0.86 and 6.17 times respectively </w:t>
      </w:r>
      <w:r w:rsidRPr="0022305D">
        <w:rPr>
          <w:rFonts w:asciiTheme="majorHAnsi" w:eastAsia="Times New Roman" w:hAnsiTheme="majorHAnsi" w:cstheme="majorHAnsi"/>
          <w:sz w:val="24"/>
          <w:szCs w:val="24"/>
        </w:rPr>
        <w:fldChar w:fldCharType="begin" w:fldLock="1"/>
      </w:r>
      <w:r w:rsidR="00804351">
        <w:rPr>
          <w:rFonts w:asciiTheme="majorHAnsi" w:eastAsia="Times New Roman" w:hAnsiTheme="majorHAnsi" w:cstheme="majorHAnsi"/>
          <w:sz w:val="24"/>
          <w:szCs w:val="24"/>
        </w:rPr>
        <w:instrText>ADDIN CSL_CITATION {"citationItems":[{"id":"ITEM-1","itemData":{"author":[{"dropping-particle":"","family":"Central bank of Kenya","given":"","non-dropping-particle":"","parse-names":false,"suffix":""}],"id":"ITEM-1","issued":{"date-parts":[["2020"]]},"number-of-pages":"1-117","title":"Central bank on Kenya supervision annual report","type":"report"},"uris":["http://www.mendeley.com/documents/?uuid=fa561b60-a014-4172-9956-f515b623ec92"]}],"mendeley":{"formattedCitation":"(Central bank of Kenya, 2020)","plainTextFormattedCitation":"(Central bank of Kenya, 2020)","previouslyFormattedCitation":"(Central bank of Kenya, 2020)"},"properties":{"noteIndex":0},"schema":"https://github.com/citation-style-language/schema/raw/master/csl-citation.json"}</w:instrText>
      </w:r>
      <w:r w:rsidRPr="0022305D">
        <w:rPr>
          <w:rFonts w:asciiTheme="majorHAnsi" w:eastAsia="Times New Roman" w:hAnsiTheme="majorHAnsi" w:cstheme="majorHAnsi"/>
          <w:sz w:val="24"/>
          <w:szCs w:val="24"/>
        </w:rPr>
        <w:fldChar w:fldCharType="separate"/>
      </w:r>
      <w:r w:rsidRPr="0022305D">
        <w:rPr>
          <w:rFonts w:asciiTheme="majorHAnsi" w:eastAsia="Times New Roman" w:hAnsiTheme="majorHAnsi" w:cstheme="majorHAnsi"/>
          <w:noProof/>
          <w:sz w:val="24"/>
          <w:szCs w:val="24"/>
        </w:rPr>
        <w:t>(Central bank of Kenya, 2020)</w:t>
      </w:r>
      <w:r w:rsidRPr="0022305D">
        <w:rPr>
          <w:rFonts w:asciiTheme="majorHAnsi" w:eastAsia="Times New Roman" w:hAnsiTheme="majorHAnsi" w:cstheme="majorHAnsi"/>
          <w:sz w:val="24"/>
          <w:szCs w:val="24"/>
        </w:rPr>
        <w:fldChar w:fldCharType="end"/>
      </w:r>
      <w:r w:rsidRPr="0022305D">
        <w:rPr>
          <w:rFonts w:asciiTheme="majorHAnsi" w:eastAsia="Times New Roman" w:hAnsiTheme="majorHAnsi" w:cstheme="majorHAnsi"/>
          <w:sz w:val="24"/>
          <w:szCs w:val="24"/>
        </w:rPr>
        <w:t xml:space="preserve">. The commercial banks in Kenya offer corporate as well as retail banking services such as issuing of loans and accepting deposits from the members of the public. Other services offered by commercial banks include investment banking, insurance services, custodial services and purchase of government securities such as treasury bills and bonds </w:t>
      </w:r>
      <w:r w:rsidRPr="0022305D">
        <w:rPr>
          <w:rFonts w:asciiTheme="majorHAnsi" w:eastAsia="Times New Roman" w:hAnsiTheme="majorHAnsi" w:cstheme="majorHAnsi"/>
          <w:sz w:val="24"/>
          <w:szCs w:val="24"/>
        </w:rPr>
        <w:fldChar w:fldCharType="begin" w:fldLock="1"/>
      </w:r>
      <w:r w:rsidRPr="0022305D">
        <w:rPr>
          <w:rFonts w:asciiTheme="majorHAnsi" w:eastAsia="Times New Roman" w:hAnsiTheme="majorHAnsi" w:cstheme="majorHAnsi"/>
          <w:sz w:val="24"/>
          <w:szCs w:val="24"/>
        </w:rPr>
        <w:instrText>ADDIN CSL_CITATION {"citationItems":[{"id":"ITEM-1","itemData":{"author":[{"dropping-particle":"","family":"Kiprotich","given":"Murikwa Dennis","non-dropping-particle":"","parse-names":false,"suffix":""}],"id":"ITEM-1","issued":{"date-parts":[["2017"]]},"title":"The relationship between leverage and financial performance of banks listed at the Nairobi securities exchange","type":"thesis"},"uris":["http://www.mendeley.com/documents/?uuid=7b352d96-0ea8-4f52-b923-14a2beebf005"]}],"mendeley":{"formattedCitation":"(Kiprotich, 2017)","plainTextFormattedCitation":"(Kiprotich, 2017)","previouslyFormattedCitation":"(Kiprotich, 2017)"},"properties":{"noteIndex":0},"schema":"https://github.com/citation-style-language/schema/raw/master/csl-citation.json"}</w:instrText>
      </w:r>
      <w:r w:rsidRPr="0022305D">
        <w:rPr>
          <w:rFonts w:asciiTheme="majorHAnsi" w:eastAsia="Times New Roman" w:hAnsiTheme="majorHAnsi" w:cstheme="majorHAnsi"/>
          <w:sz w:val="24"/>
          <w:szCs w:val="24"/>
        </w:rPr>
        <w:fldChar w:fldCharType="separate"/>
      </w:r>
      <w:r w:rsidRPr="0022305D">
        <w:rPr>
          <w:rFonts w:asciiTheme="majorHAnsi" w:eastAsia="Times New Roman" w:hAnsiTheme="majorHAnsi" w:cstheme="majorHAnsi"/>
          <w:noProof/>
          <w:sz w:val="24"/>
          <w:szCs w:val="24"/>
        </w:rPr>
        <w:t>(Kiprotich, 2017)</w:t>
      </w:r>
      <w:r w:rsidRPr="0022305D">
        <w:rPr>
          <w:rFonts w:asciiTheme="majorHAnsi" w:eastAsia="Times New Roman" w:hAnsiTheme="majorHAnsi" w:cstheme="majorHAnsi"/>
          <w:sz w:val="24"/>
          <w:szCs w:val="24"/>
        </w:rPr>
        <w:fldChar w:fldCharType="end"/>
      </w:r>
      <w:r w:rsidRPr="0022305D">
        <w:rPr>
          <w:rFonts w:asciiTheme="majorHAnsi" w:eastAsia="Times New Roman" w:hAnsiTheme="majorHAnsi" w:cstheme="majorHAnsi"/>
          <w:sz w:val="24"/>
          <w:szCs w:val="24"/>
        </w:rPr>
        <w:t xml:space="preserve">. </w:t>
      </w:r>
    </w:p>
    <w:p w14:paraId="674A0D27" w14:textId="16108529" w:rsidR="00A54103" w:rsidRPr="0022305D" w:rsidRDefault="00A54103" w:rsidP="00A54103">
      <w:pPr>
        <w:pStyle w:val="Default"/>
        <w:spacing w:line="480" w:lineRule="auto"/>
        <w:ind w:firstLine="720"/>
        <w:rPr>
          <w:rFonts w:asciiTheme="majorHAnsi" w:hAnsiTheme="majorHAnsi" w:cstheme="majorHAnsi"/>
        </w:rPr>
      </w:pPr>
      <w:r w:rsidRPr="0022305D">
        <w:rPr>
          <w:rFonts w:asciiTheme="majorHAnsi" w:hAnsiTheme="majorHAnsi" w:cstheme="majorHAnsi"/>
        </w:rPr>
        <w:t xml:space="preserve">According to literature, banking industry plays a major role in most economies by facilitating development through issuing of loans to firms and individuals and accepting </w:t>
      </w:r>
      <w:r w:rsidRPr="0022305D">
        <w:rPr>
          <w:rFonts w:asciiTheme="majorHAnsi" w:hAnsiTheme="majorHAnsi" w:cstheme="majorHAnsi"/>
        </w:rPr>
        <w:lastRenderedPageBreak/>
        <w:t xml:space="preserve">deposits from the public  </w:t>
      </w:r>
      <w:r w:rsidRPr="0022305D">
        <w:rPr>
          <w:rFonts w:asciiTheme="majorHAnsi" w:hAnsiTheme="majorHAnsi" w:cstheme="majorHAnsi"/>
        </w:rPr>
        <w:fldChar w:fldCharType="begin" w:fldLock="1"/>
      </w:r>
      <w:r w:rsidRPr="0022305D">
        <w:rPr>
          <w:rFonts w:asciiTheme="majorHAnsi" w:hAnsiTheme="majorHAnsi" w:cstheme="majorHAnsi"/>
        </w:rPr>
        <w:instrText>ADDIN CSL_CITATION {"citationItems":[{"id":"ITEM-1","itemData":{"author":[{"dropping-particle":"","family":"Pradhan","given":"Prof Radhe S","non-dropping-particle":"","parse-names":false,"suffix":""},{"dropping-particle":"","family":"Shrestha","given":"Deepa","non-dropping-particle":"","parse-names":false,"suffix":""}],"container-title":"Journal of management","id":"ITEM-1","issued":{"date-parts":[["2009"]]},"page":"1-14","title":"Impact of liquidity on bank profitability in Nepalese commercial banks","type":"article-journal"},"uris":["http://www.mendeley.com/documents/?uuid=f93c0496-7c21-43d9-9ae4-a5a156fe3815"]}],"mendeley":{"formattedCitation":"(Pradhan &amp; Shrestha, 2009)","manualFormatting":"(Pradhan &amp; Shrestha 2009","plainTextFormattedCitation":"(Pradhan &amp; Shrestha, 2009)","previouslyFormattedCitation":"(Pradhan &amp; Shrestha, 2009)"},"properties":{"noteIndex":0},"schema":"https://github.com/citation-style-language/schema/raw/master/csl-citation.json"}</w:instrText>
      </w:r>
      <w:r w:rsidRPr="0022305D">
        <w:rPr>
          <w:rFonts w:asciiTheme="majorHAnsi" w:hAnsiTheme="majorHAnsi" w:cstheme="majorHAnsi"/>
        </w:rPr>
        <w:fldChar w:fldCharType="separate"/>
      </w:r>
      <w:r w:rsidRPr="0022305D">
        <w:rPr>
          <w:rFonts w:asciiTheme="majorHAnsi" w:hAnsiTheme="majorHAnsi" w:cstheme="majorHAnsi"/>
          <w:noProof/>
        </w:rPr>
        <w:t>(Pradhan &amp; Shrestha 2009</w:t>
      </w:r>
      <w:r w:rsidRPr="0022305D">
        <w:rPr>
          <w:rFonts w:asciiTheme="majorHAnsi" w:hAnsiTheme="majorHAnsi" w:cstheme="majorHAnsi"/>
        </w:rPr>
        <w:fldChar w:fldCharType="end"/>
      </w:r>
      <w:r w:rsidRPr="0022305D">
        <w:rPr>
          <w:rFonts w:asciiTheme="majorHAnsi" w:hAnsiTheme="majorHAnsi" w:cstheme="majorHAnsi"/>
        </w:rPr>
        <w:t xml:space="preserve">; </w:t>
      </w:r>
      <w:r w:rsidRPr="0022305D">
        <w:rPr>
          <w:rFonts w:asciiTheme="majorHAnsi" w:hAnsiTheme="majorHAnsi" w:cstheme="majorHAnsi"/>
        </w:rPr>
        <w:fldChar w:fldCharType="begin" w:fldLock="1"/>
      </w:r>
      <w:r w:rsidR="0002347B">
        <w:rPr>
          <w:rFonts w:asciiTheme="majorHAnsi" w:hAnsiTheme="majorHAnsi" w:cstheme="majorHAnsi"/>
        </w:rPr>
        <w:instrText>ADDIN CSL_CITATION {"citationItems":[{"id":"ITEM-1","itemData":{"author":[{"dropping-particle":"","family":"Muthoni","given":"Mburu Ruth","non-dropping-particle":"","parse-names":false,"suffix":""}],"container-title":"Journal of Asian Finance, Economics and Business","id":"ITEM-1","issue":"October","issued":{"date-parts":[["2013"]]},"page":"1-62","title":"The effect of liquidity and solvency on the profitability of commercial banks in Kenya","type":"article-journal"},"uris":["http://www.mendeley.com/documents/?uuid=44d5acc2-c2a6-4bc7-9abc-d398a680607e"]}],"mendeley":{"formattedCitation":"(Muthoni, 2013)","manualFormatting":"Muthoni, 2013","plainTextFormattedCitation":"(Muthoni, 2013)","previouslyFormattedCitation":"(Muthoni, 2013)"},"properties":{"noteIndex":0},"schema":"https://github.com/citation-style-language/schema/raw/master/csl-citation.json"}</w:instrText>
      </w:r>
      <w:r w:rsidRPr="0022305D">
        <w:rPr>
          <w:rFonts w:asciiTheme="majorHAnsi" w:hAnsiTheme="majorHAnsi" w:cstheme="majorHAnsi"/>
        </w:rPr>
        <w:fldChar w:fldCharType="separate"/>
      </w:r>
      <w:r w:rsidRPr="0022305D">
        <w:rPr>
          <w:rFonts w:asciiTheme="majorHAnsi" w:hAnsiTheme="majorHAnsi" w:cstheme="majorHAnsi"/>
          <w:noProof/>
        </w:rPr>
        <w:t>Muthoni, 2013</w:t>
      </w:r>
      <w:r w:rsidRPr="0022305D">
        <w:rPr>
          <w:rFonts w:asciiTheme="majorHAnsi" w:hAnsiTheme="majorHAnsi" w:cstheme="majorHAnsi"/>
        </w:rPr>
        <w:fldChar w:fldCharType="end"/>
      </w:r>
      <w:r w:rsidRPr="0022305D">
        <w:rPr>
          <w:rFonts w:asciiTheme="majorHAnsi" w:hAnsiTheme="majorHAnsi" w:cstheme="majorHAnsi"/>
        </w:rPr>
        <w:t xml:space="preserve">; </w:t>
      </w:r>
      <w:r w:rsidRPr="0022305D">
        <w:rPr>
          <w:rFonts w:asciiTheme="majorHAnsi" w:hAnsiTheme="majorHAnsi" w:cstheme="majorHAnsi"/>
        </w:rPr>
        <w:fldChar w:fldCharType="begin" w:fldLock="1"/>
      </w:r>
      <w:r w:rsidR="0002347B">
        <w:rPr>
          <w:rFonts w:asciiTheme="majorHAnsi" w:hAnsiTheme="majorHAnsi" w:cstheme="majorHAnsi"/>
        </w:rPr>
        <w:instrText>ADDIN CSL_CITATION {"citationItems":[{"id":"ITEM-1","itemData":{"author":[{"dropping-particle":"","family":"Kuria","given":"Fredrick","non-dropping-particle":"","parse-names":false,"suffix":""}],"container-title":"Journal of Applied Finance and Accounting","id":"ITEM-1","issued":{"date-parts":[["2013"]]},"page":"1-66","title":"The effect of capital sructure on the financial performance of commercial banks in Kenya","type":"article-journal"},"uris":["http://www.mendeley.com/documents/?uuid=350abe99-5a00-4e53-aea2-a23d122deca4"]}],"mendeley":{"formattedCitation":"(Kuria, 2013)","manualFormatting":"Kuria, 2013","plainTextFormattedCitation":"(Kuria, 2013)","previouslyFormattedCitation":"(Kuria, 2013)"},"properties":{"noteIndex":0},"schema":"https://github.com/citation-style-language/schema/raw/master/csl-citation.json"}</w:instrText>
      </w:r>
      <w:r w:rsidRPr="0022305D">
        <w:rPr>
          <w:rFonts w:asciiTheme="majorHAnsi" w:hAnsiTheme="majorHAnsi" w:cstheme="majorHAnsi"/>
        </w:rPr>
        <w:fldChar w:fldCharType="separate"/>
      </w:r>
      <w:r w:rsidRPr="0022305D">
        <w:rPr>
          <w:rFonts w:asciiTheme="majorHAnsi" w:hAnsiTheme="majorHAnsi" w:cstheme="majorHAnsi"/>
          <w:noProof/>
        </w:rPr>
        <w:t>Kuria, 2013</w:t>
      </w:r>
      <w:r w:rsidRPr="0022305D">
        <w:rPr>
          <w:rFonts w:asciiTheme="majorHAnsi" w:hAnsiTheme="majorHAnsi" w:cstheme="majorHAnsi"/>
        </w:rPr>
        <w:fldChar w:fldCharType="end"/>
      </w:r>
      <w:r w:rsidRPr="0022305D">
        <w:rPr>
          <w:rFonts w:asciiTheme="majorHAnsi" w:hAnsiTheme="majorHAnsi" w:cstheme="majorHAnsi"/>
        </w:rPr>
        <w:t xml:space="preserve"> &amp; </w:t>
      </w:r>
      <w:r w:rsidRPr="0022305D">
        <w:rPr>
          <w:rFonts w:asciiTheme="majorHAnsi" w:hAnsiTheme="majorHAnsi" w:cstheme="majorHAnsi"/>
        </w:rPr>
        <w:fldChar w:fldCharType="begin" w:fldLock="1"/>
      </w:r>
      <w:r w:rsidR="00804351">
        <w:rPr>
          <w:rFonts w:asciiTheme="majorHAnsi" w:hAnsiTheme="majorHAnsi" w:cstheme="majorHAnsi"/>
        </w:rPr>
        <w:instrText>ADDIN CSL_CITATION {"citationItems":[{"id":"ITEM-1","itemData":{"author":[{"dropping-particle":"","family":"Magero","given":"Isack","non-dropping-particle":"","parse-names":false,"suffix":""}],"id":"ITEM-1","issued":{"date-parts":[["2014"]]},"number-of-pages":"1-93","publisher":"University of Nairobi","title":"Effect of capital structure choice on financial performance of commercial banks in Kenya","type":"thesis"},"uris":["http://www.mendeley.com/documents/?uuid=78d2fec9-7986-4f64-a4d8-745bdb8cc8f0"]}],"mendeley":{"formattedCitation":"(Magero, 2014)","manualFormatting":"Magero 2014)","plainTextFormattedCitation":"(Magero, 2014)","previouslyFormattedCitation":"(Magero, 2014)"},"properties":{"noteIndex":0},"schema":"https://github.com/citation-style-language/schema/raw/master/csl-citation.json"}</w:instrText>
      </w:r>
      <w:r w:rsidRPr="0022305D">
        <w:rPr>
          <w:rFonts w:asciiTheme="majorHAnsi" w:hAnsiTheme="majorHAnsi" w:cstheme="majorHAnsi"/>
        </w:rPr>
        <w:fldChar w:fldCharType="separate"/>
      </w:r>
      <w:r w:rsidRPr="0022305D">
        <w:rPr>
          <w:rFonts w:asciiTheme="majorHAnsi" w:hAnsiTheme="majorHAnsi" w:cstheme="majorHAnsi"/>
          <w:noProof/>
        </w:rPr>
        <w:t>Magero 2014)</w:t>
      </w:r>
      <w:r w:rsidRPr="0022305D">
        <w:rPr>
          <w:rFonts w:asciiTheme="majorHAnsi" w:hAnsiTheme="majorHAnsi" w:cstheme="majorHAnsi"/>
        </w:rPr>
        <w:fldChar w:fldCharType="end"/>
      </w:r>
      <w:r w:rsidRPr="0022305D">
        <w:rPr>
          <w:rFonts w:asciiTheme="majorHAnsi" w:hAnsiTheme="majorHAnsi" w:cstheme="majorHAnsi"/>
        </w:rPr>
        <w:t xml:space="preserve">. </w:t>
      </w:r>
      <w:r w:rsidRPr="0022305D">
        <w:rPr>
          <w:rFonts w:asciiTheme="majorHAnsi" w:hAnsiTheme="majorHAnsi" w:cstheme="majorHAnsi"/>
          <w:color w:val="auto"/>
          <w:sz w:val="23"/>
          <w:szCs w:val="23"/>
        </w:rPr>
        <w:t xml:space="preserve">How they carry out the roles of financial intermediation is however dependent on profitability, whereby banks with high profitability have their operations running smoothly while banks with low profitability have operational challenges </w:t>
      </w:r>
      <w:r w:rsidRPr="0022305D">
        <w:rPr>
          <w:rFonts w:asciiTheme="majorHAnsi" w:hAnsiTheme="majorHAnsi" w:cstheme="majorHAnsi"/>
          <w:color w:val="auto"/>
          <w:sz w:val="23"/>
          <w:szCs w:val="23"/>
        </w:rPr>
        <w:fldChar w:fldCharType="begin" w:fldLock="1"/>
      </w:r>
      <w:r w:rsidRPr="0022305D">
        <w:rPr>
          <w:rFonts w:asciiTheme="majorHAnsi" w:hAnsiTheme="majorHAnsi" w:cstheme="majorHAnsi"/>
          <w:color w:val="auto"/>
          <w:sz w:val="23"/>
          <w:szCs w:val="23"/>
        </w:rPr>
        <w:instrText>ADDIN CSL_CITATION {"citationItems":[{"id":"ITEM-1","itemData":{"DOI":"10.30845/ijbss.v11n1p2","abstract":"This study aims to explain the effect of the liquidity management on the profitability of the Palestinian banking sector during the time period 2008–2017. Palestinian banking sector has been chosen for the purpose of this study, which comprised from 14 banks Islamic and commercial. Multiple regression models were used to do the empirical analysis and; develop the econometric model which consisted of one dependent variable and eight independent variables. Return On Assets (ROA) was defined as profitability indicator. The data was collected from the audited annual reports of the sample banks, the Palestinian Monetary Authority (PMA)'s annual reports and Association of Banks in Palestine. The findings and analysis revealed that loans to deposits ratio had the most important significant effect on profitability.","author":[{"dropping-particle":"","family":"Zidan","given":"Khaled","non-dropping-particle":"","parse-names":false,"suffix":""}],"container-title":"Journal, International Vol, Social Science","id":"ITEM-1","issue":"1","issued":{"date-parts":[["2020"]]},"page":"12-17","title":"Impact of Liquidity Management on the Profitability of Banks Operate in Palestine","type":"article-journal","volume":"11"},"uris":["http://www.mendeley.com/documents/?uuid=2ca9b410-98d6-4261-b77c-c57648c9016e"]}],"mendeley":{"formattedCitation":"(Zidan, 2020)","plainTextFormattedCitation":"(Zidan, 2020)","previouslyFormattedCitation":"(Zidan, 2020)"},"properties":{"noteIndex":0},"schema":"https://github.com/citation-style-language/schema/raw/master/csl-citation.json"}</w:instrText>
      </w:r>
      <w:r w:rsidRPr="0022305D">
        <w:rPr>
          <w:rFonts w:asciiTheme="majorHAnsi" w:hAnsiTheme="majorHAnsi" w:cstheme="majorHAnsi"/>
          <w:color w:val="auto"/>
          <w:sz w:val="23"/>
          <w:szCs w:val="23"/>
        </w:rPr>
        <w:fldChar w:fldCharType="separate"/>
      </w:r>
      <w:r w:rsidRPr="0022305D">
        <w:rPr>
          <w:rFonts w:asciiTheme="majorHAnsi" w:hAnsiTheme="majorHAnsi" w:cstheme="majorHAnsi"/>
          <w:noProof/>
          <w:color w:val="auto"/>
          <w:sz w:val="23"/>
          <w:szCs w:val="23"/>
        </w:rPr>
        <w:t>(Zidan, 2020)</w:t>
      </w:r>
      <w:r w:rsidRPr="0022305D">
        <w:rPr>
          <w:rFonts w:asciiTheme="majorHAnsi" w:hAnsiTheme="majorHAnsi" w:cstheme="majorHAnsi"/>
          <w:color w:val="auto"/>
          <w:sz w:val="23"/>
          <w:szCs w:val="23"/>
        </w:rPr>
        <w:fldChar w:fldCharType="end"/>
      </w:r>
      <w:r w:rsidRPr="0022305D">
        <w:rPr>
          <w:rFonts w:asciiTheme="majorHAnsi" w:hAnsiTheme="majorHAnsi" w:cstheme="majorHAnsi"/>
          <w:color w:val="auto"/>
          <w:sz w:val="23"/>
          <w:szCs w:val="23"/>
        </w:rPr>
        <w:t>.</w:t>
      </w:r>
      <w:r w:rsidRPr="0022305D">
        <w:rPr>
          <w:rFonts w:asciiTheme="majorHAnsi" w:hAnsiTheme="majorHAnsi" w:cstheme="majorHAnsi"/>
        </w:rPr>
        <w:t xml:space="preserve"> Therefore, it is important that commercial banks remain profitable at all times. The table below shows the average level of solvency and profitability for commercial banks in Kenya for the period 2011-2020</w:t>
      </w:r>
      <w:r w:rsidR="00196FE4" w:rsidRPr="0022305D">
        <w:rPr>
          <w:rFonts w:asciiTheme="majorHAnsi" w:hAnsiTheme="majorHAnsi" w:cstheme="majorHAnsi"/>
        </w:rPr>
        <w:t>.</w:t>
      </w:r>
    </w:p>
    <w:p w14:paraId="13078436" w14:textId="77777777" w:rsidR="00196FE4" w:rsidRPr="0022305D" w:rsidRDefault="00196FE4" w:rsidP="00A54103">
      <w:pPr>
        <w:pStyle w:val="Default"/>
        <w:spacing w:line="480" w:lineRule="auto"/>
        <w:ind w:firstLine="720"/>
        <w:rPr>
          <w:rFonts w:asciiTheme="majorHAnsi" w:hAnsiTheme="majorHAnsi" w:cstheme="majorHAnsi"/>
        </w:rPr>
      </w:pPr>
    </w:p>
    <w:p w14:paraId="1EE780D0" w14:textId="77777777" w:rsidR="00A54103" w:rsidRPr="0022305D" w:rsidRDefault="00A54103" w:rsidP="00A54103">
      <w:pPr>
        <w:pStyle w:val="Default"/>
        <w:spacing w:line="480" w:lineRule="auto"/>
        <w:ind w:firstLine="720"/>
        <w:rPr>
          <w:rFonts w:asciiTheme="majorHAnsi" w:hAnsiTheme="majorHAnsi" w:cstheme="majorHAnsi"/>
        </w:rPr>
      </w:pPr>
    </w:p>
    <w:p w14:paraId="11DBADF4" w14:textId="371A2B9A" w:rsidR="00196FE4" w:rsidRPr="00C57EC2" w:rsidRDefault="00196FE4" w:rsidP="00196FE4">
      <w:pPr>
        <w:pStyle w:val="Caption"/>
        <w:keepNext/>
        <w:rPr>
          <w:rFonts w:asciiTheme="majorHAnsi" w:hAnsiTheme="majorHAnsi" w:cstheme="majorHAnsi"/>
          <w:color w:val="auto"/>
          <w:sz w:val="24"/>
          <w:szCs w:val="24"/>
        </w:rPr>
      </w:pPr>
      <w:bookmarkStart w:id="18" w:name="_Toc78205367"/>
      <w:r w:rsidRPr="0022305D">
        <w:rPr>
          <w:rFonts w:asciiTheme="majorHAnsi" w:hAnsiTheme="majorHAnsi" w:cstheme="majorHAnsi"/>
          <w:i w:val="0"/>
          <w:iCs w:val="0"/>
          <w:color w:val="auto"/>
          <w:sz w:val="24"/>
          <w:szCs w:val="24"/>
        </w:rPr>
        <w:t xml:space="preserve">Table </w:t>
      </w:r>
      <w:r w:rsidRPr="0022305D">
        <w:rPr>
          <w:rFonts w:asciiTheme="majorHAnsi" w:hAnsiTheme="majorHAnsi" w:cstheme="majorHAnsi"/>
          <w:i w:val="0"/>
          <w:iCs w:val="0"/>
          <w:color w:val="auto"/>
          <w:sz w:val="24"/>
          <w:szCs w:val="24"/>
        </w:rPr>
        <w:fldChar w:fldCharType="begin"/>
      </w:r>
      <w:r w:rsidRPr="0022305D">
        <w:rPr>
          <w:rFonts w:asciiTheme="majorHAnsi" w:hAnsiTheme="majorHAnsi" w:cstheme="majorHAnsi"/>
          <w:i w:val="0"/>
          <w:iCs w:val="0"/>
          <w:color w:val="auto"/>
          <w:sz w:val="24"/>
          <w:szCs w:val="24"/>
        </w:rPr>
        <w:instrText xml:space="preserve"> SEQ Table \* ARABIC </w:instrText>
      </w:r>
      <w:r w:rsidRPr="0022305D">
        <w:rPr>
          <w:rFonts w:asciiTheme="majorHAnsi" w:hAnsiTheme="majorHAnsi" w:cstheme="majorHAnsi"/>
          <w:i w:val="0"/>
          <w:iCs w:val="0"/>
          <w:color w:val="auto"/>
          <w:sz w:val="24"/>
          <w:szCs w:val="24"/>
        </w:rPr>
        <w:fldChar w:fldCharType="separate"/>
      </w:r>
      <w:r w:rsidR="00392CA8">
        <w:rPr>
          <w:rFonts w:asciiTheme="majorHAnsi" w:hAnsiTheme="majorHAnsi" w:cstheme="majorHAnsi"/>
          <w:i w:val="0"/>
          <w:iCs w:val="0"/>
          <w:noProof/>
          <w:color w:val="auto"/>
          <w:sz w:val="24"/>
          <w:szCs w:val="24"/>
        </w:rPr>
        <w:t>1</w:t>
      </w:r>
      <w:r w:rsidRPr="0022305D">
        <w:rPr>
          <w:rFonts w:asciiTheme="majorHAnsi" w:hAnsiTheme="majorHAnsi" w:cstheme="majorHAnsi"/>
          <w:i w:val="0"/>
          <w:iCs w:val="0"/>
          <w:color w:val="auto"/>
          <w:sz w:val="24"/>
          <w:szCs w:val="24"/>
        </w:rPr>
        <w:fldChar w:fldCharType="end"/>
      </w:r>
      <w:r w:rsidRPr="0022305D">
        <w:rPr>
          <w:rFonts w:asciiTheme="majorHAnsi" w:hAnsiTheme="majorHAnsi" w:cstheme="majorHAnsi"/>
          <w:i w:val="0"/>
          <w:iCs w:val="0"/>
          <w:color w:val="auto"/>
          <w:sz w:val="24"/>
          <w:szCs w:val="24"/>
        </w:rPr>
        <w:t>.0</w:t>
      </w:r>
      <w:r w:rsidR="00B173B9">
        <w:rPr>
          <w:rFonts w:asciiTheme="majorHAnsi" w:hAnsiTheme="majorHAnsi" w:cstheme="majorHAnsi"/>
          <w:i w:val="0"/>
          <w:iCs w:val="0"/>
          <w:color w:val="auto"/>
          <w:sz w:val="24"/>
          <w:szCs w:val="24"/>
        </w:rPr>
        <w:t xml:space="preserve"> </w:t>
      </w:r>
      <w:r w:rsidRPr="00C57EC2">
        <w:rPr>
          <w:rFonts w:asciiTheme="majorHAnsi" w:hAnsiTheme="majorHAnsi" w:cstheme="majorHAnsi"/>
          <w:color w:val="auto"/>
          <w:sz w:val="24"/>
          <w:szCs w:val="24"/>
        </w:rPr>
        <w:t>Average profitability and solvency for the period 2011-2020</w:t>
      </w:r>
      <w:bookmarkEnd w:id="18"/>
    </w:p>
    <w:tbl>
      <w:tblPr>
        <w:tblStyle w:val="TableGrid"/>
        <w:tblW w:w="0" w:type="auto"/>
        <w:tblLook w:val="04A0" w:firstRow="1" w:lastRow="0" w:firstColumn="1" w:lastColumn="0" w:noHBand="0" w:noVBand="1"/>
      </w:tblPr>
      <w:tblGrid>
        <w:gridCol w:w="1315"/>
        <w:gridCol w:w="817"/>
        <w:gridCol w:w="849"/>
        <w:gridCol w:w="1354"/>
        <w:gridCol w:w="1060"/>
        <w:gridCol w:w="1080"/>
        <w:gridCol w:w="1175"/>
      </w:tblGrid>
      <w:tr w:rsidR="00A54103" w:rsidRPr="0022305D" w14:paraId="3C163326" w14:textId="77777777" w:rsidTr="00A52602">
        <w:tc>
          <w:tcPr>
            <w:tcW w:w="1315" w:type="dxa"/>
          </w:tcPr>
          <w:p w14:paraId="2E1069A1" w14:textId="77777777" w:rsidR="00A54103" w:rsidRPr="0022305D" w:rsidRDefault="00A54103" w:rsidP="00A52602">
            <w:pPr>
              <w:pStyle w:val="Default"/>
              <w:spacing w:line="480" w:lineRule="auto"/>
              <w:rPr>
                <w:rFonts w:asciiTheme="majorHAnsi" w:hAnsiTheme="majorHAnsi" w:cstheme="majorHAnsi"/>
                <w:color w:val="auto"/>
                <w:sz w:val="23"/>
                <w:szCs w:val="23"/>
              </w:rPr>
            </w:pPr>
          </w:p>
        </w:tc>
        <w:tc>
          <w:tcPr>
            <w:tcW w:w="817" w:type="dxa"/>
          </w:tcPr>
          <w:p w14:paraId="46B10DA5"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ROA</w:t>
            </w:r>
          </w:p>
        </w:tc>
        <w:tc>
          <w:tcPr>
            <w:tcW w:w="849" w:type="dxa"/>
          </w:tcPr>
          <w:p w14:paraId="116549B6"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ROE</w:t>
            </w:r>
          </w:p>
        </w:tc>
        <w:tc>
          <w:tcPr>
            <w:tcW w:w="1354" w:type="dxa"/>
          </w:tcPr>
          <w:p w14:paraId="75C98BA1" w14:textId="77777777" w:rsidR="00A54103" w:rsidRPr="0022305D" w:rsidRDefault="00A54103" w:rsidP="00A52602">
            <w:pPr>
              <w:pStyle w:val="Default"/>
              <w:spacing w:line="480" w:lineRule="auto"/>
              <w:rPr>
                <w:rFonts w:asciiTheme="majorHAnsi" w:hAnsiTheme="majorHAnsi" w:cstheme="majorHAnsi"/>
                <w:b/>
                <w:bCs/>
                <w:i/>
                <w:iCs/>
                <w:color w:val="auto"/>
                <w:sz w:val="23"/>
                <w:szCs w:val="23"/>
              </w:rPr>
            </w:pPr>
            <w:r w:rsidRPr="0022305D">
              <w:rPr>
                <w:rFonts w:asciiTheme="majorHAnsi" w:hAnsiTheme="majorHAnsi" w:cstheme="majorHAnsi"/>
                <w:b/>
                <w:bCs/>
                <w:i/>
                <w:iCs/>
                <w:color w:val="auto"/>
                <w:sz w:val="23"/>
                <w:szCs w:val="23"/>
              </w:rPr>
              <w:t>Profitability</w:t>
            </w:r>
          </w:p>
        </w:tc>
        <w:tc>
          <w:tcPr>
            <w:tcW w:w="1060" w:type="dxa"/>
          </w:tcPr>
          <w:p w14:paraId="4FFE8863"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DR</w:t>
            </w:r>
          </w:p>
        </w:tc>
        <w:tc>
          <w:tcPr>
            <w:tcW w:w="1080" w:type="dxa"/>
          </w:tcPr>
          <w:p w14:paraId="72C32331"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DER</w:t>
            </w:r>
          </w:p>
        </w:tc>
        <w:tc>
          <w:tcPr>
            <w:tcW w:w="1175" w:type="dxa"/>
          </w:tcPr>
          <w:p w14:paraId="4329F7DA" w14:textId="77777777" w:rsidR="00A54103" w:rsidRPr="0022305D" w:rsidRDefault="00A54103" w:rsidP="00A52602">
            <w:pPr>
              <w:pStyle w:val="Default"/>
              <w:spacing w:line="480" w:lineRule="auto"/>
              <w:rPr>
                <w:rFonts w:asciiTheme="majorHAnsi" w:hAnsiTheme="majorHAnsi" w:cstheme="majorHAnsi"/>
                <w:b/>
                <w:bCs/>
                <w:i/>
                <w:iCs/>
                <w:color w:val="auto"/>
                <w:sz w:val="23"/>
                <w:szCs w:val="23"/>
              </w:rPr>
            </w:pPr>
            <w:r w:rsidRPr="0022305D">
              <w:rPr>
                <w:rFonts w:asciiTheme="majorHAnsi" w:hAnsiTheme="majorHAnsi" w:cstheme="majorHAnsi"/>
                <w:b/>
                <w:bCs/>
                <w:i/>
                <w:iCs/>
                <w:color w:val="auto"/>
                <w:sz w:val="23"/>
                <w:szCs w:val="23"/>
              </w:rPr>
              <w:t>Solvency</w:t>
            </w:r>
          </w:p>
        </w:tc>
      </w:tr>
      <w:tr w:rsidR="00A54103" w:rsidRPr="0022305D" w14:paraId="79CA1CBA" w14:textId="77777777" w:rsidTr="00A52602">
        <w:tc>
          <w:tcPr>
            <w:tcW w:w="1315" w:type="dxa"/>
          </w:tcPr>
          <w:p w14:paraId="3AB50130"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2011</w:t>
            </w:r>
          </w:p>
        </w:tc>
        <w:tc>
          <w:tcPr>
            <w:tcW w:w="817" w:type="dxa"/>
          </w:tcPr>
          <w:p w14:paraId="4CFB53BF"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2.82</w:t>
            </w:r>
          </w:p>
        </w:tc>
        <w:tc>
          <w:tcPr>
            <w:tcW w:w="849" w:type="dxa"/>
          </w:tcPr>
          <w:p w14:paraId="60C8A0E6"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20.28</w:t>
            </w:r>
          </w:p>
        </w:tc>
        <w:tc>
          <w:tcPr>
            <w:tcW w:w="1354" w:type="dxa"/>
          </w:tcPr>
          <w:p w14:paraId="0BD18195" w14:textId="77777777" w:rsidR="00A54103" w:rsidRPr="0022305D" w:rsidRDefault="00A54103" w:rsidP="00A52602">
            <w:pPr>
              <w:pStyle w:val="Default"/>
              <w:spacing w:line="480" w:lineRule="auto"/>
              <w:rPr>
                <w:rFonts w:asciiTheme="majorHAnsi" w:hAnsiTheme="majorHAnsi" w:cstheme="majorHAnsi"/>
                <w:b/>
                <w:bCs/>
                <w:i/>
                <w:iCs/>
                <w:color w:val="auto"/>
                <w:sz w:val="23"/>
                <w:szCs w:val="23"/>
              </w:rPr>
            </w:pPr>
            <w:r w:rsidRPr="0022305D">
              <w:rPr>
                <w:rFonts w:asciiTheme="majorHAnsi" w:hAnsiTheme="majorHAnsi" w:cstheme="majorHAnsi"/>
                <w:b/>
                <w:bCs/>
                <w:i/>
                <w:iCs/>
                <w:color w:val="auto"/>
                <w:sz w:val="23"/>
                <w:szCs w:val="23"/>
              </w:rPr>
              <w:t>11.55</w:t>
            </w:r>
          </w:p>
        </w:tc>
        <w:tc>
          <w:tcPr>
            <w:tcW w:w="1060" w:type="dxa"/>
          </w:tcPr>
          <w:p w14:paraId="7F64E56D"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0.84</w:t>
            </w:r>
          </w:p>
        </w:tc>
        <w:tc>
          <w:tcPr>
            <w:tcW w:w="1080" w:type="dxa"/>
          </w:tcPr>
          <w:p w14:paraId="5CC27E8E"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6.40</w:t>
            </w:r>
          </w:p>
        </w:tc>
        <w:tc>
          <w:tcPr>
            <w:tcW w:w="1175" w:type="dxa"/>
          </w:tcPr>
          <w:p w14:paraId="2C7E0672"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3.62</w:t>
            </w:r>
          </w:p>
        </w:tc>
      </w:tr>
      <w:tr w:rsidR="00A54103" w:rsidRPr="0022305D" w14:paraId="6BB705E6" w14:textId="77777777" w:rsidTr="00A52602">
        <w:tc>
          <w:tcPr>
            <w:tcW w:w="1315" w:type="dxa"/>
          </w:tcPr>
          <w:p w14:paraId="59BCF930"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2012</w:t>
            </w:r>
          </w:p>
        </w:tc>
        <w:tc>
          <w:tcPr>
            <w:tcW w:w="817" w:type="dxa"/>
          </w:tcPr>
          <w:p w14:paraId="41B09CC0"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2.52</w:t>
            </w:r>
          </w:p>
        </w:tc>
        <w:tc>
          <w:tcPr>
            <w:tcW w:w="849" w:type="dxa"/>
          </w:tcPr>
          <w:p w14:paraId="2F7A4453"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14.67</w:t>
            </w:r>
          </w:p>
        </w:tc>
        <w:tc>
          <w:tcPr>
            <w:tcW w:w="1354" w:type="dxa"/>
            <w:tcBorders>
              <w:top w:val="nil"/>
              <w:left w:val="nil"/>
              <w:bottom w:val="single" w:sz="8" w:space="0" w:color="auto"/>
              <w:right w:val="single" w:sz="8" w:space="0" w:color="auto"/>
            </w:tcBorders>
            <w:shd w:val="clear" w:color="auto" w:fill="auto"/>
            <w:vAlign w:val="center"/>
          </w:tcPr>
          <w:p w14:paraId="009BDE13" w14:textId="77777777" w:rsidR="00A54103" w:rsidRPr="0022305D" w:rsidRDefault="00A54103" w:rsidP="00A52602">
            <w:pPr>
              <w:pStyle w:val="Default"/>
              <w:spacing w:line="480" w:lineRule="auto"/>
              <w:rPr>
                <w:rFonts w:asciiTheme="majorHAnsi" w:hAnsiTheme="majorHAnsi" w:cstheme="majorHAnsi"/>
                <w:b/>
                <w:bCs/>
                <w:i/>
                <w:iCs/>
                <w:color w:val="auto"/>
                <w:sz w:val="23"/>
                <w:szCs w:val="23"/>
              </w:rPr>
            </w:pPr>
            <w:r w:rsidRPr="0022305D">
              <w:rPr>
                <w:rFonts w:asciiTheme="majorHAnsi" w:hAnsiTheme="majorHAnsi" w:cstheme="majorHAnsi"/>
                <w:b/>
                <w:bCs/>
                <w:i/>
                <w:iCs/>
                <w:color w:val="auto"/>
                <w:sz w:val="23"/>
                <w:szCs w:val="23"/>
              </w:rPr>
              <w:t>8.595</w:t>
            </w:r>
          </w:p>
        </w:tc>
        <w:tc>
          <w:tcPr>
            <w:tcW w:w="1060" w:type="dxa"/>
          </w:tcPr>
          <w:p w14:paraId="76A34209"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0.83</w:t>
            </w:r>
          </w:p>
        </w:tc>
        <w:tc>
          <w:tcPr>
            <w:tcW w:w="1080" w:type="dxa"/>
          </w:tcPr>
          <w:p w14:paraId="702949E1"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6.32</w:t>
            </w:r>
          </w:p>
        </w:tc>
        <w:tc>
          <w:tcPr>
            <w:tcW w:w="1175" w:type="dxa"/>
            <w:tcBorders>
              <w:top w:val="nil"/>
              <w:left w:val="nil"/>
              <w:bottom w:val="single" w:sz="8" w:space="0" w:color="auto"/>
              <w:right w:val="single" w:sz="8" w:space="0" w:color="auto"/>
            </w:tcBorders>
            <w:shd w:val="clear" w:color="auto" w:fill="auto"/>
            <w:vAlign w:val="center"/>
          </w:tcPr>
          <w:p w14:paraId="7B0436CB" w14:textId="77777777" w:rsidR="00A54103" w:rsidRPr="0022305D" w:rsidRDefault="00A54103" w:rsidP="00A52602">
            <w:pPr>
              <w:pStyle w:val="Default"/>
              <w:spacing w:line="480" w:lineRule="auto"/>
              <w:rPr>
                <w:rFonts w:asciiTheme="majorHAnsi" w:hAnsiTheme="majorHAnsi" w:cstheme="majorHAnsi"/>
                <w:b/>
                <w:bCs/>
                <w:i/>
                <w:iCs/>
                <w:color w:val="auto"/>
                <w:sz w:val="23"/>
                <w:szCs w:val="23"/>
              </w:rPr>
            </w:pPr>
            <w:r w:rsidRPr="0022305D">
              <w:rPr>
                <w:rFonts w:asciiTheme="majorHAnsi" w:hAnsiTheme="majorHAnsi" w:cstheme="majorHAnsi"/>
                <w:b/>
                <w:bCs/>
                <w:i/>
                <w:iCs/>
                <w:color w:val="auto"/>
                <w:sz w:val="23"/>
                <w:szCs w:val="23"/>
              </w:rPr>
              <w:t>3.58</w:t>
            </w:r>
          </w:p>
        </w:tc>
      </w:tr>
      <w:tr w:rsidR="00A54103" w:rsidRPr="0022305D" w14:paraId="2194023F" w14:textId="77777777" w:rsidTr="00A52602">
        <w:tc>
          <w:tcPr>
            <w:tcW w:w="1315" w:type="dxa"/>
          </w:tcPr>
          <w:p w14:paraId="676A4801"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2013</w:t>
            </w:r>
          </w:p>
        </w:tc>
        <w:tc>
          <w:tcPr>
            <w:tcW w:w="817" w:type="dxa"/>
          </w:tcPr>
          <w:p w14:paraId="73594D84"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2.96</w:t>
            </w:r>
          </w:p>
        </w:tc>
        <w:tc>
          <w:tcPr>
            <w:tcW w:w="849" w:type="dxa"/>
          </w:tcPr>
          <w:p w14:paraId="43FFA429"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18.75</w:t>
            </w:r>
          </w:p>
        </w:tc>
        <w:tc>
          <w:tcPr>
            <w:tcW w:w="1354" w:type="dxa"/>
            <w:tcBorders>
              <w:top w:val="nil"/>
              <w:left w:val="nil"/>
              <w:bottom w:val="single" w:sz="8" w:space="0" w:color="auto"/>
              <w:right w:val="single" w:sz="8" w:space="0" w:color="auto"/>
            </w:tcBorders>
            <w:shd w:val="clear" w:color="auto" w:fill="auto"/>
            <w:vAlign w:val="center"/>
          </w:tcPr>
          <w:p w14:paraId="41497F41" w14:textId="77777777" w:rsidR="00A54103" w:rsidRPr="0022305D" w:rsidRDefault="00A54103" w:rsidP="00A52602">
            <w:pPr>
              <w:pStyle w:val="Default"/>
              <w:spacing w:line="480" w:lineRule="auto"/>
              <w:rPr>
                <w:rFonts w:asciiTheme="majorHAnsi" w:hAnsiTheme="majorHAnsi" w:cstheme="majorHAnsi"/>
                <w:b/>
                <w:bCs/>
                <w:i/>
                <w:iCs/>
                <w:color w:val="auto"/>
                <w:sz w:val="23"/>
                <w:szCs w:val="23"/>
              </w:rPr>
            </w:pPr>
            <w:r w:rsidRPr="0022305D">
              <w:rPr>
                <w:rFonts w:asciiTheme="majorHAnsi" w:hAnsiTheme="majorHAnsi" w:cstheme="majorHAnsi"/>
                <w:b/>
                <w:bCs/>
                <w:i/>
                <w:iCs/>
                <w:color w:val="auto"/>
                <w:sz w:val="23"/>
                <w:szCs w:val="23"/>
              </w:rPr>
              <w:t>10.86</w:t>
            </w:r>
          </w:p>
        </w:tc>
        <w:tc>
          <w:tcPr>
            <w:tcW w:w="1060" w:type="dxa"/>
          </w:tcPr>
          <w:p w14:paraId="3BA3A998"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0.84</w:t>
            </w:r>
          </w:p>
        </w:tc>
        <w:tc>
          <w:tcPr>
            <w:tcW w:w="1080" w:type="dxa"/>
          </w:tcPr>
          <w:p w14:paraId="10AE02EA"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5.83</w:t>
            </w:r>
          </w:p>
        </w:tc>
        <w:tc>
          <w:tcPr>
            <w:tcW w:w="1175" w:type="dxa"/>
            <w:tcBorders>
              <w:top w:val="nil"/>
              <w:left w:val="nil"/>
              <w:bottom w:val="single" w:sz="8" w:space="0" w:color="auto"/>
              <w:right w:val="single" w:sz="8" w:space="0" w:color="auto"/>
            </w:tcBorders>
            <w:shd w:val="clear" w:color="auto" w:fill="auto"/>
            <w:vAlign w:val="center"/>
          </w:tcPr>
          <w:p w14:paraId="7EB2848D" w14:textId="77777777" w:rsidR="00A54103" w:rsidRPr="0022305D" w:rsidRDefault="00A54103" w:rsidP="00A52602">
            <w:pPr>
              <w:pStyle w:val="Default"/>
              <w:spacing w:line="480" w:lineRule="auto"/>
              <w:rPr>
                <w:rFonts w:asciiTheme="majorHAnsi" w:hAnsiTheme="majorHAnsi" w:cstheme="majorHAnsi"/>
                <w:b/>
                <w:bCs/>
                <w:i/>
                <w:iCs/>
                <w:color w:val="auto"/>
                <w:sz w:val="23"/>
                <w:szCs w:val="23"/>
              </w:rPr>
            </w:pPr>
            <w:r w:rsidRPr="0022305D">
              <w:rPr>
                <w:rFonts w:asciiTheme="majorHAnsi" w:hAnsiTheme="majorHAnsi" w:cstheme="majorHAnsi"/>
                <w:b/>
                <w:bCs/>
                <w:i/>
                <w:iCs/>
                <w:sz w:val="23"/>
                <w:szCs w:val="23"/>
              </w:rPr>
              <w:t>3.34</w:t>
            </w:r>
          </w:p>
        </w:tc>
      </w:tr>
      <w:tr w:rsidR="00A54103" w:rsidRPr="0022305D" w14:paraId="124F16BB" w14:textId="77777777" w:rsidTr="00A52602">
        <w:tc>
          <w:tcPr>
            <w:tcW w:w="1315" w:type="dxa"/>
          </w:tcPr>
          <w:p w14:paraId="4626E974"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2014</w:t>
            </w:r>
          </w:p>
        </w:tc>
        <w:tc>
          <w:tcPr>
            <w:tcW w:w="817" w:type="dxa"/>
          </w:tcPr>
          <w:p w14:paraId="5DD6D451"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2.59</w:t>
            </w:r>
          </w:p>
        </w:tc>
        <w:tc>
          <w:tcPr>
            <w:tcW w:w="849" w:type="dxa"/>
          </w:tcPr>
          <w:p w14:paraId="159C04B7"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15.73</w:t>
            </w:r>
          </w:p>
        </w:tc>
        <w:tc>
          <w:tcPr>
            <w:tcW w:w="1354" w:type="dxa"/>
            <w:tcBorders>
              <w:top w:val="nil"/>
              <w:left w:val="nil"/>
              <w:bottom w:val="single" w:sz="8" w:space="0" w:color="auto"/>
              <w:right w:val="single" w:sz="8" w:space="0" w:color="auto"/>
            </w:tcBorders>
            <w:shd w:val="clear" w:color="auto" w:fill="auto"/>
            <w:vAlign w:val="center"/>
          </w:tcPr>
          <w:p w14:paraId="1D6D996E" w14:textId="77777777" w:rsidR="00A54103" w:rsidRPr="0022305D" w:rsidRDefault="00A54103" w:rsidP="00A52602">
            <w:pPr>
              <w:pStyle w:val="Default"/>
              <w:spacing w:line="480" w:lineRule="auto"/>
              <w:rPr>
                <w:rFonts w:asciiTheme="majorHAnsi" w:hAnsiTheme="majorHAnsi" w:cstheme="majorHAnsi"/>
                <w:b/>
                <w:bCs/>
                <w:i/>
                <w:iCs/>
                <w:color w:val="auto"/>
                <w:sz w:val="23"/>
                <w:szCs w:val="23"/>
              </w:rPr>
            </w:pPr>
            <w:r w:rsidRPr="0022305D">
              <w:rPr>
                <w:rFonts w:asciiTheme="majorHAnsi" w:hAnsiTheme="majorHAnsi" w:cstheme="majorHAnsi"/>
                <w:b/>
                <w:bCs/>
                <w:i/>
                <w:iCs/>
                <w:color w:val="auto"/>
                <w:sz w:val="23"/>
                <w:szCs w:val="23"/>
              </w:rPr>
              <w:t>9.16</w:t>
            </w:r>
          </w:p>
        </w:tc>
        <w:tc>
          <w:tcPr>
            <w:tcW w:w="1060" w:type="dxa"/>
          </w:tcPr>
          <w:p w14:paraId="10A3C63D"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0.84</w:t>
            </w:r>
          </w:p>
        </w:tc>
        <w:tc>
          <w:tcPr>
            <w:tcW w:w="1080" w:type="dxa"/>
          </w:tcPr>
          <w:p w14:paraId="75F8CB41"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5.77</w:t>
            </w:r>
          </w:p>
        </w:tc>
        <w:tc>
          <w:tcPr>
            <w:tcW w:w="1175" w:type="dxa"/>
            <w:tcBorders>
              <w:top w:val="nil"/>
              <w:left w:val="nil"/>
              <w:bottom w:val="single" w:sz="8" w:space="0" w:color="auto"/>
              <w:right w:val="single" w:sz="8" w:space="0" w:color="auto"/>
            </w:tcBorders>
            <w:shd w:val="clear" w:color="auto" w:fill="auto"/>
            <w:vAlign w:val="center"/>
          </w:tcPr>
          <w:p w14:paraId="649A662F" w14:textId="77777777" w:rsidR="00A54103" w:rsidRPr="0022305D" w:rsidRDefault="00A54103" w:rsidP="00A52602">
            <w:pPr>
              <w:pStyle w:val="Default"/>
              <w:spacing w:line="480" w:lineRule="auto"/>
              <w:rPr>
                <w:rFonts w:asciiTheme="majorHAnsi" w:hAnsiTheme="majorHAnsi" w:cstheme="majorHAnsi"/>
                <w:b/>
                <w:bCs/>
                <w:i/>
                <w:iCs/>
                <w:color w:val="auto"/>
                <w:sz w:val="23"/>
                <w:szCs w:val="23"/>
              </w:rPr>
            </w:pPr>
            <w:r w:rsidRPr="0022305D">
              <w:rPr>
                <w:rFonts w:asciiTheme="majorHAnsi" w:hAnsiTheme="majorHAnsi" w:cstheme="majorHAnsi"/>
                <w:b/>
                <w:bCs/>
                <w:i/>
                <w:iCs/>
                <w:sz w:val="23"/>
                <w:szCs w:val="23"/>
              </w:rPr>
              <w:t>3.31</w:t>
            </w:r>
          </w:p>
        </w:tc>
      </w:tr>
      <w:tr w:rsidR="00A54103" w:rsidRPr="0022305D" w14:paraId="0C25999F" w14:textId="77777777" w:rsidTr="00A52602">
        <w:tc>
          <w:tcPr>
            <w:tcW w:w="1315" w:type="dxa"/>
          </w:tcPr>
          <w:p w14:paraId="7F27CEDC"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2015</w:t>
            </w:r>
          </w:p>
        </w:tc>
        <w:tc>
          <w:tcPr>
            <w:tcW w:w="817" w:type="dxa"/>
          </w:tcPr>
          <w:p w14:paraId="3537C057"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2.12</w:t>
            </w:r>
          </w:p>
        </w:tc>
        <w:tc>
          <w:tcPr>
            <w:tcW w:w="849" w:type="dxa"/>
          </w:tcPr>
          <w:p w14:paraId="36DA8B2B"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12.27</w:t>
            </w:r>
          </w:p>
        </w:tc>
        <w:tc>
          <w:tcPr>
            <w:tcW w:w="1354" w:type="dxa"/>
            <w:tcBorders>
              <w:top w:val="nil"/>
              <w:left w:val="nil"/>
              <w:bottom w:val="single" w:sz="8" w:space="0" w:color="auto"/>
              <w:right w:val="single" w:sz="8" w:space="0" w:color="auto"/>
            </w:tcBorders>
            <w:shd w:val="clear" w:color="auto" w:fill="auto"/>
            <w:vAlign w:val="center"/>
          </w:tcPr>
          <w:p w14:paraId="7919C7FC" w14:textId="77777777" w:rsidR="00A54103" w:rsidRPr="0022305D" w:rsidRDefault="00A54103" w:rsidP="00A52602">
            <w:pPr>
              <w:pStyle w:val="Default"/>
              <w:spacing w:line="480" w:lineRule="auto"/>
              <w:rPr>
                <w:rFonts w:asciiTheme="majorHAnsi" w:hAnsiTheme="majorHAnsi" w:cstheme="majorHAnsi"/>
                <w:b/>
                <w:bCs/>
                <w:i/>
                <w:iCs/>
                <w:color w:val="auto"/>
                <w:sz w:val="23"/>
                <w:szCs w:val="23"/>
              </w:rPr>
            </w:pPr>
            <w:r w:rsidRPr="0022305D">
              <w:rPr>
                <w:rFonts w:asciiTheme="majorHAnsi" w:hAnsiTheme="majorHAnsi" w:cstheme="majorHAnsi"/>
                <w:b/>
                <w:bCs/>
                <w:i/>
                <w:iCs/>
                <w:color w:val="auto"/>
                <w:sz w:val="23"/>
                <w:szCs w:val="23"/>
              </w:rPr>
              <w:t>7.20</w:t>
            </w:r>
          </w:p>
        </w:tc>
        <w:tc>
          <w:tcPr>
            <w:tcW w:w="1060" w:type="dxa"/>
          </w:tcPr>
          <w:p w14:paraId="6D1A06CE"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0.80</w:t>
            </w:r>
          </w:p>
        </w:tc>
        <w:tc>
          <w:tcPr>
            <w:tcW w:w="1080" w:type="dxa"/>
          </w:tcPr>
          <w:p w14:paraId="1A83FB35"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5.53</w:t>
            </w:r>
          </w:p>
        </w:tc>
        <w:tc>
          <w:tcPr>
            <w:tcW w:w="1175" w:type="dxa"/>
            <w:tcBorders>
              <w:top w:val="nil"/>
              <w:left w:val="nil"/>
              <w:bottom w:val="single" w:sz="8" w:space="0" w:color="auto"/>
              <w:right w:val="single" w:sz="8" w:space="0" w:color="auto"/>
            </w:tcBorders>
            <w:shd w:val="clear" w:color="auto" w:fill="auto"/>
            <w:vAlign w:val="center"/>
          </w:tcPr>
          <w:p w14:paraId="5448E929" w14:textId="77777777" w:rsidR="00A54103" w:rsidRPr="0022305D" w:rsidRDefault="00A54103" w:rsidP="00A52602">
            <w:pPr>
              <w:pStyle w:val="Default"/>
              <w:spacing w:line="480" w:lineRule="auto"/>
              <w:rPr>
                <w:rFonts w:asciiTheme="majorHAnsi" w:hAnsiTheme="majorHAnsi" w:cstheme="majorHAnsi"/>
                <w:b/>
                <w:bCs/>
                <w:i/>
                <w:iCs/>
                <w:color w:val="auto"/>
                <w:sz w:val="23"/>
                <w:szCs w:val="23"/>
              </w:rPr>
            </w:pPr>
            <w:r w:rsidRPr="0022305D">
              <w:rPr>
                <w:rFonts w:asciiTheme="majorHAnsi" w:hAnsiTheme="majorHAnsi" w:cstheme="majorHAnsi"/>
                <w:b/>
                <w:bCs/>
                <w:i/>
                <w:iCs/>
                <w:color w:val="auto"/>
                <w:sz w:val="23"/>
                <w:szCs w:val="23"/>
              </w:rPr>
              <w:t>3.17</w:t>
            </w:r>
          </w:p>
        </w:tc>
      </w:tr>
      <w:tr w:rsidR="00A54103" w:rsidRPr="0022305D" w14:paraId="4A74AD35" w14:textId="77777777" w:rsidTr="00A52602">
        <w:tc>
          <w:tcPr>
            <w:tcW w:w="1315" w:type="dxa"/>
          </w:tcPr>
          <w:p w14:paraId="1983266E"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2016</w:t>
            </w:r>
          </w:p>
        </w:tc>
        <w:tc>
          <w:tcPr>
            <w:tcW w:w="817" w:type="dxa"/>
          </w:tcPr>
          <w:p w14:paraId="5766103E"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1.92</w:t>
            </w:r>
          </w:p>
        </w:tc>
        <w:tc>
          <w:tcPr>
            <w:tcW w:w="849" w:type="dxa"/>
          </w:tcPr>
          <w:p w14:paraId="018A02E7"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10.90</w:t>
            </w:r>
          </w:p>
        </w:tc>
        <w:tc>
          <w:tcPr>
            <w:tcW w:w="1354" w:type="dxa"/>
            <w:tcBorders>
              <w:top w:val="nil"/>
              <w:left w:val="nil"/>
              <w:bottom w:val="single" w:sz="8" w:space="0" w:color="auto"/>
              <w:right w:val="single" w:sz="8" w:space="0" w:color="auto"/>
            </w:tcBorders>
            <w:shd w:val="clear" w:color="auto" w:fill="auto"/>
            <w:vAlign w:val="center"/>
          </w:tcPr>
          <w:p w14:paraId="269E0C5F" w14:textId="77777777" w:rsidR="00A54103" w:rsidRPr="0022305D" w:rsidRDefault="00A54103" w:rsidP="00A52602">
            <w:pPr>
              <w:pStyle w:val="Default"/>
              <w:spacing w:line="480" w:lineRule="auto"/>
              <w:rPr>
                <w:rFonts w:asciiTheme="majorHAnsi" w:hAnsiTheme="majorHAnsi" w:cstheme="majorHAnsi"/>
                <w:b/>
                <w:bCs/>
                <w:i/>
                <w:iCs/>
                <w:color w:val="auto"/>
                <w:sz w:val="23"/>
                <w:szCs w:val="23"/>
              </w:rPr>
            </w:pPr>
            <w:r w:rsidRPr="0022305D">
              <w:rPr>
                <w:rFonts w:asciiTheme="majorHAnsi" w:hAnsiTheme="majorHAnsi" w:cstheme="majorHAnsi"/>
                <w:b/>
                <w:bCs/>
                <w:i/>
                <w:iCs/>
                <w:color w:val="auto"/>
                <w:sz w:val="23"/>
                <w:szCs w:val="23"/>
              </w:rPr>
              <w:t>6.41</w:t>
            </w:r>
          </w:p>
        </w:tc>
        <w:tc>
          <w:tcPr>
            <w:tcW w:w="1060" w:type="dxa"/>
          </w:tcPr>
          <w:p w14:paraId="184D51B0"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0.82</w:t>
            </w:r>
          </w:p>
        </w:tc>
        <w:tc>
          <w:tcPr>
            <w:tcW w:w="1080" w:type="dxa"/>
          </w:tcPr>
          <w:p w14:paraId="69437C41"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5.05</w:t>
            </w:r>
          </w:p>
        </w:tc>
        <w:tc>
          <w:tcPr>
            <w:tcW w:w="1175" w:type="dxa"/>
            <w:tcBorders>
              <w:top w:val="nil"/>
              <w:left w:val="nil"/>
              <w:bottom w:val="single" w:sz="8" w:space="0" w:color="auto"/>
              <w:right w:val="single" w:sz="8" w:space="0" w:color="auto"/>
            </w:tcBorders>
            <w:shd w:val="clear" w:color="auto" w:fill="auto"/>
            <w:vAlign w:val="center"/>
          </w:tcPr>
          <w:p w14:paraId="5D02AB5B" w14:textId="77777777" w:rsidR="00A54103" w:rsidRPr="0022305D" w:rsidRDefault="00A54103" w:rsidP="00A52602">
            <w:pPr>
              <w:pStyle w:val="Default"/>
              <w:spacing w:line="480" w:lineRule="auto"/>
              <w:rPr>
                <w:rFonts w:asciiTheme="majorHAnsi" w:hAnsiTheme="majorHAnsi" w:cstheme="majorHAnsi"/>
                <w:b/>
                <w:bCs/>
                <w:i/>
                <w:iCs/>
                <w:color w:val="auto"/>
                <w:sz w:val="23"/>
                <w:szCs w:val="23"/>
              </w:rPr>
            </w:pPr>
            <w:r w:rsidRPr="0022305D">
              <w:rPr>
                <w:rFonts w:asciiTheme="majorHAnsi" w:hAnsiTheme="majorHAnsi" w:cstheme="majorHAnsi"/>
                <w:b/>
                <w:bCs/>
                <w:i/>
                <w:iCs/>
                <w:color w:val="auto"/>
                <w:sz w:val="23"/>
                <w:szCs w:val="23"/>
              </w:rPr>
              <w:t>2.94</w:t>
            </w:r>
          </w:p>
        </w:tc>
      </w:tr>
      <w:tr w:rsidR="00A54103" w:rsidRPr="0022305D" w14:paraId="2DB43B5F" w14:textId="77777777" w:rsidTr="00A52602">
        <w:tc>
          <w:tcPr>
            <w:tcW w:w="1315" w:type="dxa"/>
          </w:tcPr>
          <w:p w14:paraId="79259A59"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2017</w:t>
            </w:r>
          </w:p>
        </w:tc>
        <w:tc>
          <w:tcPr>
            <w:tcW w:w="817" w:type="dxa"/>
          </w:tcPr>
          <w:p w14:paraId="329F4F34"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0.07</w:t>
            </w:r>
          </w:p>
        </w:tc>
        <w:tc>
          <w:tcPr>
            <w:tcW w:w="849" w:type="dxa"/>
          </w:tcPr>
          <w:p w14:paraId="24AE55EF"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1.96</w:t>
            </w:r>
          </w:p>
        </w:tc>
        <w:tc>
          <w:tcPr>
            <w:tcW w:w="1354" w:type="dxa"/>
            <w:tcBorders>
              <w:top w:val="nil"/>
              <w:left w:val="nil"/>
              <w:bottom w:val="single" w:sz="8" w:space="0" w:color="auto"/>
              <w:right w:val="single" w:sz="8" w:space="0" w:color="auto"/>
            </w:tcBorders>
            <w:shd w:val="clear" w:color="auto" w:fill="auto"/>
            <w:vAlign w:val="center"/>
          </w:tcPr>
          <w:p w14:paraId="4F2375B5" w14:textId="77777777" w:rsidR="00A54103" w:rsidRPr="0022305D" w:rsidRDefault="00A54103" w:rsidP="00A52602">
            <w:pPr>
              <w:pStyle w:val="Default"/>
              <w:spacing w:line="480" w:lineRule="auto"/>
              <w:rPr>
                <w:rFonts w:asciiTheme="majorHAnsi" w:hAnsiTheme="majorHAnsi" w:cstheme="majorHAnsi"/>
                <w:b/>
                <w:bCs/>
                <w:i/>
                <w:iCs/>
                <w:color w:val="auto"/>
                <w:sz w:val="23"/>
                <w:szCs w:val="23"/>
              </w:rPr>
            </w:pPr>
            <w:r w:rsidRPr="0022305D">
              <w:rPr>
                <w:rFonts w:asciiTheme="majorHAnsi" w:hAnsiTheme="majorHAnsi" w:cstheme="majorHAnsi"/>
                <w:b/>
                <w:bCs/>
                <w:i/>
                <w:iCs/>
                <w:color w:val="auto"/>
                <w:sz w:val="23"/>
                <w:szCs w:val="23"/>
              </w:rPr>
              <w:t>1.02</w:t>
            </w:r>
          </w:p>
        </w:tc>
        <w:tc>
          <w:tcPr>
            <w:tcW w:w="1060" w:type="dxa"/>
          </w:tcPr>
          <w:p w14:paraId="1E679053"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0.81</w:t>
            </w:r>
          </w:p>
        </w:tc>
        <w:tc>
          <w:tcPr>
            <w:tcW w:w="1080" w:type="dxa"/>
          </w:tcPr>
          <w:p w14:paraId="06188564"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5.28</w:t>
            </w:r>
          </w:p>
        </w:tc>
        <w:tc>
          <w:tcPr>
            <w:tcW w:w="1175" w:type="dxa"/>
            <w:tcBorders>
              <w:top w:val="nil"/>
              <w:left w:val="nil"/>
              <w:bottom w:val="single" w:sz="8" w:space="0" w:color="auto"/>
              <w:right w:val="single" w:sz="8" w:space="0" w:color="auto"/>
            </w:tcBorders>
            <w:shd w:val="clear" w:color="auto" w:fill="auto"/>
            <w:vAlign w:val="center"/>
          </w:tcPr>
          <w:p w14:paraId="75C1FA82" w14:textId="77777777" w:rsidR="00A54103" w:rsidRPr="0022305D" w:rsidRDefault="00A54103" w:rsidP="00A52602">
            <w:pPr>
              <w:pStyle w:val="Default"/>
              <w:spacing w:line="480" w:lineRule="auto"/>
              <w:rPr>
                <w:rFonts w:asciiTheme="majorHAnsi" w:hAnsiTheme="majorHAnsi" w:cstheme="majorHAnsi"/>
                <w:b/>
                <w:bCs/>
                <w:i/>
                <w:iCs/>
                <w:color w:val="auto"/>
                <w:sz w:val="23"/>
                <w:szCs w:val="23"/>
              </w:rPr>
            </w:pPr>
            <w:r w:rsidRPr="0022305D">
              <w:rPr>
                <w:rFonts w:asciiTheme="majorHAnsi" w:hAnsiTheme="majorHAnsi" w:cstheme="majorHAnsi"/>
                <w:b/>
                <w:bCs/>
                <w:i/>
                <w:iCs/>
                <w:color w:val="auto"/>
                <w:sz w:val="23"/>
                <w:szCs w:val="23"/>
              </w:rPr>
              <w:t>3.05</w:t>
            </w:r>
          </w:p>
        </w:tc>
      </w:tr>
      <w:tr w:rsidR="00A54103" w:rsidRPr="0022305D" w14:paraId="25A77C23" w14:textId="77777777" w:rsidTr="00A52602">
        <w:tc>
          <w:tcPr>
            <w:tcW w:w="1315" w:type="dxa"/>
          </w:tcPr>
          <w:p w14:paraId="765685F2"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2018</w:t>
            </w:r>
          </w:p>
        </w:tc>
        <w:tc>
          <w:tcPr>
            <w:tcW w:w="817" w:type="dxa"/>
          </w:tcPr>
          <w:p w14:paraId="705D9E54"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0.99</w:t>
            </w:r>
          </w:p>
        </w:tc>
        <w:tc>
          <w:tcPr>
            <w:tcW w:w="849" w:type="dxa"/>
          </w:tcPr>
          <w:p w14:paraId="529001D0"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8.15</w:t>
            </w:r>
          </w:p>
        </w:tc>
        <w:tc>
          <w:tcPr>
            <w:tcW w:w="1354" w:type="dxa"/>
            <w:tcBorders>
              <w:top w:val="nil"/>
              <w:left w:val="nil"/>
              <w:bottom w:val="single" w:sz="8" w:space="0" w:color="auto"/>
              <w:right w:val="single" w:sz="8" w:space="0" w:color="auto"/>
            </w:tcBorders>
            <w:shd w:val="clear" w:color="auto" w:fill="auto"/>
            <w:vAlign w:val="center"/>
          </w:tcPr>
          <w:p w14:paraId="79A267CB" w14:textId="77777777" w:rsidR="00A54103" w:rsidRPr="0022305D" w:rsidRDefault="00A54103" w:rsidP="00A52602">
            <w:pPr>
              <w:pStyle w:val="Default"/>
              <w:spacing w:line="480" w:lineRule="auto"/>
              <w:rPr>
                <w:rFonts w:asciiTheme="majorHAnsi" w:hAnsiTheme="majorHAnsi" w:cstheme="majorHAnsi"/>
                <w:b/>
                <w:bCs/>
                <w:i/>
                <w:iCs/>
                <w:color w:val="auto"/>
                <w:sz w:val="23"/>
                <w:szCs w:val="23"/>
              </w:rPr>
            </w:pPr>
            <w:r w:rsidRPr="0022305D">
              <w:rPr>
                <w:rFonts w:asciiTheme="majorHAnsi" w:hAnsiTheme="majorHAnsi" w:cstheme="majorHAnsi"/>
                <w:b/>
                <w:bCs/>
                <w:i/>
                <w:iCs/>
                <w:color w:val="auto"/>
                <w:sz w:val="23"/>
                <w:szCs w:val="23"/>
              </w:rPr>
              <w:t>4.57</w:t>
            </w:r>
          </w:p>
        </w:tc>
        <w:tc>
          <w:tcPr>
            <w:tcW w:w="1060" w:type="dxa"/>
          </w:tcPr>
          <w:p w14:paraId="6674D1C7"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0.84</w:t>
            </w:r>
          </w:p>
        </w:tc>
        <w:tc>
          <w:tcPr>
            <w:tcW w:w="1080" w:type="dxa"/>
          </w:tcPr>
          <w:p w14:paraId="2AA0A306"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5.38</w:t>
            </w:r>
          </w:p>
        </w:tc>
        <w:tc>
          <w:tcPr>
            <w:tcW w:w="1175" w:type="dxa"/>
            <w:tcBorders>
              <w:top w:val="nil"/>
              <w:left w:val="nil"/>
              <w:bottom w:val="single" w:sz="8" w:space="0" w:color="auto"/>
              <w:right w:val="single" w:sz="8" w:space="0" w:color="auto"/>
            </w:tcBorders>
            <w:shd w:val="clear" w:color="auto" w:fill="auto"/>
            <w:vAlign w:val="center"/>
          </w:tcPr>
          <w:p w14:paraId="6F9AEDF3" w14:textId="77777777" w:rsidR="00A54103" w:rsidRPr="0022305D" w:rsidRDefault="00A54103" w:rsidP="00A52602">
            <w:pPr>
              <w:pStyle w:val="Default"/>
              <w:spacing w:line="480" w:lineRule="auto"/>
              <w:rPr>
                <w:rFonts w:asciiTheme="majorHAnsi" w:hAnsiTheme="majorHAnsi" w:cstheme="majorHAnsi"/>
                <w:b/>
                <w:bCs/>
                <w:i/>
                <w:iCs/>
                <w:color w:val="auto"/>
                <w:sz w:val="23"/>
                <w:szCs w:val="23"/>
              </w:rPr>
            </w:pPr>
            <w:r w:rsidRPr="0022305D">
              <w:rPr>
                <w:rFonts w:asciiTheme="majorHAnsi" w:hAnsiTheme="majorHAnsi" w:cstheme="majorHAnsi"/>
                <w:b/>
                <w:bCs/>
                <w:i/>
                <w:iCs/>
                <w:color w:val="auto"/>
                <w:sz w:val="23"/>
                <w:szCs w:val="23"/>
              </w:rPr>
              <w:t>3.11</w:t>
            </w:r>
          </w:p>
        </w:tc>
      </w:tr>
      <w:tr w:rsidR="00A54103" w:rsidRPr="0022305D" w14:paraId="73DD5B67" w14:textId="77777777" w:rsidTr="00A52602">
        <w:tc>
          <w:tcPr>
            <w:tcW w:w="1315" w:type="dxa"/>
          </w:tcPr>
          <w:p w14:paraId="2552241B"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2019</w:t>
            </w:r>
          </w:p>
        </w:tc>
        <w:tc>
          <w:tcPr>
            <w:tcW w:w="817" w:type="dxa"/>
          </w:tcPr>
          <w:p w14:paraId="5B3FEE08"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1.22</w:t>
            </w:r>
          </w:p>
        </w:tc>
        <w:tc>
          <w:tcPr>
            <w:tcW w:w="849" w:type="dxa"/>
          </w:tcPr>
          <w:p w14:paraId="3E9B9B06"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7.5</w:t>
            </w:r>
          </w:p>
        </w:tc>
        <w:tc>
          <w:tcPr>
            <w:tcW w:w="1354" w:type="dxa"/>
            <w:tcBorders>
              <w:top w:val="nil"/>
              <w:left w:val="nil"/>
              <w:bottom w:val="single" w:sz="8" w:space="0" w:color="auto"/>
              <w:right w:val="single" w:sz="8" w:space="0" w:color="auto"/>
            </w:tcBorders>
            <w:shd w:val="clear" w:color="auto" w:fill="auto"/>
            <w:vAlign w:val="center"/>
          </w:tcPr>
          <w:p w14:paraId="72970127" w14:textId="77777777" w:rsidR="00A54103" w:rsidRPr="0022305D" w:rsidRDefault="00A54103" w:rsidP="00A52602">
            <w:pPr>
              <w:pStyle w:val="Default"/>
              <w:spacing w:line="480" w:lineRule="auto"/>
              <w:rPr>
                <w:rFonts w:asciiTheme="majorHAnsi" w:hAnsiTheme="majorHAnsi" w:cstheme="majorHAnsi"/>
                <w:b/>
                <w:bCs/>
                <w:i/>
                <w:iCs/>
                <w:color w:val="auto"/>
                <w:sz w:val="23"/>
                <w:szCs w:val="23"/>
              </w:rPr>
            </w:pPr>
            <w:r w:rsidRPr="0022305D">
              <w:rPr>
                <w:rFonts w:asciiTheme="majorHAnsi" w:hAnsiTheme="majorHAnsi" w:cstheme="majorHAnsi"/>
                <w:b/>
                <w:bCs/>
                <w:i/>
                <w:iCs/>
                <w:color w:val="auto"/>
                <w:sz w:val="23"/>
                <w:szCs w:val="23"/>
              </w:rPr>
              <w:t>4.36</w:t>
            </w:r>
          </w:p>
        </w:tc>
        <w:tc>
          <w:tcPr>
            <w:tcW w:w="1060" w:type="dxa"/>
          </w:tcPr>
          <w:p w14:paraId="26143C6A"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1.15</w:t>
            </w:r>
          </w:p>
        </w:tc>
        <w:tc>
          <w:tcPr>
            <w:tcW w:w="1080" w:type="dxa"/>
          </w:tcPr>
          <w:p w14:paraId="715E8319"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7.86</w:t>
            </w:r>
          </w:p>
        </w:tc>
        <w:tc>
          <w:tcPr>
            <w:tcW w:w="1175" w:type="dxa"/>
            <w:tcBorders>
              <w:top w:val="nil"/>
              <w:left w:val="nil"/>
              <w:bottom w:val="single" w:sz="8" w:space="0" w:color="auto"/>
              <w:right w:val="single" w:sz="8" w:space="0" w:color="auto"/>
            </w:tcBorders>
            <w:shd w:val="clear" w:color="auto" w:fill="auto"/>
            <w:vAlign w:val="center"/>
          </w:tcPr>
          <w:p w14:paraId="51D8590E" w14:textId="77777777" w:rsidR="00A54103" w:rsidRPr="0022305D" w:rsidRDefault="00A54103" w:rsidP="00A52602">
            <w:pPr>
              <w:pStyle w:val="Default"/>
              <w:spacing w:line="480" w:lineRule="auto"/>
              <w:rPr>
                <w:rFonts w:asciiTheme="majorHAnsi" w:hAnsiTheme="majorHAnsi" w:cstheme="majorHAnsi"/>
                <w:b/>
                <w:bCs/>
                <w:i/>
                <w:iCs/>
                <w:color w:val="auto"/>
                <w:sz w:val="23"/>
                <w:szCs w:val="23"/>
              </w:rPr>
            </w:pPr>
            <w:r w:rsidRPr="0022305D">
              <w:rPr>
                <w:rFonts w:asciiTheme="majorHAnsi" w:hAnsiTheme="majorHAnsi" w:cstheme="majorHAnsi"/>
                <w:b/>
                <w:bCs/>
                <w:i/>
                <w:iCs/>
                <w:color w:val="auto"/>
                <w:sz w:val="23"/>
                <w:szCs w:val="23"/>
              </w:rPr>
              <w:t>4.51</w:t>
            </w:r>
          </w:p>
        </w:tc>
      </w:tr>
      <w:tr w:rsidR="00A54103" w:rsidRPr="0022305D" w14:paraId="770E8AF4" w14:textId="77777777" w:rsidTr="00A52602">
        <w:tc>
          <w:tcPr>
            <w:tcW w:w="1315" w:type="dxa"/>
          </w:tcPr>
          <w:p w14:paraId="0E087F26"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2020</w:t>
            </w:r>
          </w:p>
        </w:tc>
        <w:tc>
          <w:tcPr>
            <w:tcW w:w="817" w:type="dxa"/>
          </w:tcPr>
          <w:p w14:paraId="77028AAD"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0.18</w:t>
            </w:r>
          </w:p>
        </w:tc>
        <w:tc>
          <w:tcPr>
            <w:tcW w:w="849" w:type="dxa"/>
          </w:tcPr>
          <w:p w14:paraId="378EFFB1"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4.24</w:t>
            </w:r>
          </w:p>
        </w:tc>
        <w:tc>
          <w:tcPr>
            <w:tcW w:w="1354" w:type="dxa"/>
            <w:tcBorders>
              <w:top w:val="nil"/>
              <w:left w:val="nil"/>
              <w:bottom w:val="single" w:sz="8" w:space="0" w:color="auto"/>
              <w:right w:val="single" w:sz="8" w:space="0" w:color="auto"/>
            </w:tcBorders>
            <w:shd w:val="clear" w:color="auto" w:fill="auto"/>
            <w:vAlign w:val="center"/>
          </w:tcPr>
          <w:p w14:paraId="03F3F20F" w14:textId="77777777" w:rsidR="00A54103" w:rsidRPr="0022305D" w:rsidRDefault="00A54103" w:rsidP="00A52602">
            <w:pPr>
              <w:pStyle w:val="Default"/>
              <w:spacing w:line="480" w:lineRule="auto"/>
              <w:rPr>
                <w:rFonts w:asciiTheme="majorHAnsi" w:hAnsiTheme="majorHAnsi" w:cstheme="majorHAnsi"/>
                <w:b/>
                <w:bCs/>
                <w:i/>
                <w:iCs/>
                <w:color w:val="auto"/>
                <w:sz w:val="23"/>
                <w:szCs w:val="23"/>
              </w:rPr>
            </w:pPr>
            <w:r w:rsidRPr="0022305D">
              <w:rPr>
                <w:rFonts w:asciiTheme="majorHAnsi" w:hAnsiTheme="majorHAnsi" w:cstheme="majorHAnsi"/>
                <w:b/>
                <w:bCs/>
                <w:i/>
                <w:iCs/>
                <w:color w:val="auto"/>
                <w:sz w:val="23"/>
                <w:szCs w:val="23"/>
              </w:rPr>
              <w:t>2.21</w:t>
            </w:r>
          </w:p>
        </w:tc>
        <w:tc>
          <w:tcPr>
            <w:tcW w:w="1060" w:type="dxa"/>
          </w:tcPr>
          <w:p w14:paraId="4099EB3D"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0.86</w:t>
            </w:r>
          </w:p>
        </w:tc>
        <w:tc>
          <w:tcPr>
            <w:tcW w:w="1080" w:type="dxa"/>
          </w:tcPr>
          <w:p w14:paraId="6BE24911" w14:textId="77777777" w:rsidR="00A54103" w:rsidRPr="0022305D" w:rsidRDefault="00A54103" w:rsidP="00A52602">
            <w:pPr>
              <w:pStyle w:val="Default"/>
              <w:spacing w:line="480" w:lineRule="auto"/>
              <w:rPr>
                <w:rFonts w:asciiTheme="majorHAnsi" w:hAnsiTheme="majorHAnsi" w:cstheme="majorHAnsi"/>
                <w:color w:val="auto"/>
                <w:sz w:val="23"/>
                <w:szCs w:val="23"/>
              </w:rPr>
            </w:pPr>
            <w:r w:rsidRPr="0022305D">
              <w:rPr>
                <w:rFonts w:asciiTheme="majorHAnsi" w:hAnsiTheme="majorHAnsi" w:cstheme="majorHAnsi"/>
                <w:color w:val="auto"/>
                <w:sz w:val="23"/>
                <w:szCs w:val="23"/>
              </w:rPr>
              <w:t>6.17</w:t>
            </w:r>
          </w:p>
        </w:tc>
        <w:tc>
          <w:tcPr>
            <w:tcW w:w="1175" w:type="dxa"/>
            <w:tcBorders>
              <w:top w:val="nil"/>
              <w:left w:val="nil"/>
              <w:bottom w:val="single" w:sz="8" w:space="0" w:color="auto"/>
              <w:right w:val="single" w:sz="8" w:space="0" w:color="auto"/>
            </w:tcBorders>
            <w:shd w:val="clear" w:color="auto" w:fill="auto"/>
            <w:vAlign w:val="center"/>
          </w:tcPr>
          <w:p w14:paraId="6319FD12" w14:textId="77777777" w:rsidR="00A54103" w:rsidRPr="0022305D" w:rsidRDefault="00A54103" w:rsidP="00A52602">
            <w:pPr>
              <w:pStyle w:val="Default"/>
              <w:spacing w:line="480" w:lineRule="auto"/>
              <w:rPr>
                <w:rFonts w:asciiTheme="majorHAnsi" w:hAnsiTheme="majorHAnsi" w:cstheme="majorHAnsi"/>
                <w:b/>
                <w:bCs/>
                <w:i/>
                <w:iCs/>
                <w:color w:val="auto"/>
                <w:sz w:val="23"/>
                <w:szCs w:val="23"/>
              </w:rPr>
            </w:pPr>
            <w:r w:rsidRPr="0022305D">
              <w:rPr>
                <w:rFonts w:asciiTheme="majorHAnsi" w:hAnsiTheme="majorHAnsi" w:cstheme="majorHAnsi"/>
                <w:b/>
                <w:bCs/>
                <w:i/>
                <w:iCs/>
                <w:color w:val="auto"/>
                <w:sz w:val="23"/>
                <w:szCs w:val="23"/>
              </w:rPr>
              <w:t>3.51</w:t>
            </w:r>
          </w:p>
        </w:tc>
      </w:tr>
    </w:tbl>
    <w:p w14:paraId="03F5B6AB" w14:textId="77777777" w:rsidR="00A54103" w:rsidRPr="0022305D" w:rsidRDefault="00A54103" w:rsidP="00A54103">
      <w:pPr>
        <w:pStyle w:val="Default"/>
        <w:spacing w:line="480" w:lineRule="auto"/>
        <w:ind w:firstLine="720"/>
        <w:rPr>
          <w:rFonts w:asciiTheme="majorHAnsi" w:hAnsiTheme="majorHAnsi" w:cstheme="majorHAnsi"/>
          <w:color w:val="auto"/>
          <w:sz w:val="23"/>
          <w:szCs w:val="23"/>
        </w:rPr>
      </w:pPr>
      <w:r w:rsidRPr="0022305D">
        <w:rPr>
          <w:rFonts w:asciiTheme="majorHAnsi" w:hAnsiTheme="majorHAnsi" w:cstheme="majorHAnsi"/>
          <w:color w:val="auto"/>
          <w:sz w:val="23"/>
          <w:szCs w:val="23"/>
        </w:rPr>
        <w:t>Source: Central Bank of Kenya</w:t>
      </w:r>
    </w:p>
    <w:p w14:paraId="046D73B3" w14:textId="77777777" w:rsidR="00A54103" w:rsidRPr="0022305D" w:rsidRDefault="00A54103" w:rsidP="00A54103">
      <w:pPr>
        <w:spacing w:line="480" w:lineRule="auto"/>
        <w:ind w:firstLine="720"/>
        <w:rPr>
          <w:rFonts w:asciiTheme="majorHAnsi" w:hAnsiTheme="majorHAnsi" w:cstheme="majorHAnsi"/>
          <w:color w:val="FF0000"/>
          <w:sz w:val="24"/>
          <w:szCs w:val="24"/>
        </w:rPr>
      </w:pPr>
    </w:p>
    <w:p w14:paraId="1085E5E2" w14:textId="77777777" w:rsidR="00E33291" w:rsidRPr="0022305D" w:rsidRDefault="00E33291" w:rsidP="00AB63A4">
      <w:pPr>
        <w:spacing w:line="480" w:lineRule="auto"/>
        <w:rPr>
          <w:rFonts w:asciiTheme="majorHAnsi" w:hAnsiTheme="majorHAnsi" w:cstheme="majorHAnsi"/>
          <w:color w:val="FF0000"/>
          <w:sz w:val="24"/>
          <w:szCs w:val="24"/>
        </w:rPr>
      </w:pPr>
    </w:p>
    <w:p w14:paraId="61FEB6A7" w14:textId="273C2385" w:rsidR="00966248" w:rsidRPr="00A96563" w:rsidRDefault="00BD7A52" w:rsidP="00DE2846">
      <w:pPr>
        <w:pStyle w:val="Heading2"/>
        <w:jc w:val="left"/>
        <w:rPr>
          <w:rFonts w:asciiTheme="majorHAnsi" w:hAnsiTheme="majorHAnsi" w:cstheme="majorHAnsi"/>
          <w:bCs/>
          <w:sz w:val="28"/>
          <w:szCs w:val="28"/>
        </w:rPr>
      </w:pPr>
      <w:bookmarkStart w:id="19" w:name="_Toc78205772"/>
      <w:r w:rsidRPr="00A96563">
        <w:rPr>
          <w:rFonts w:asciiTheme="majorHAnsi" w:hAnsiTheme="majorHAnsi" w:cstheme="majorHAnsi"/>
          <w:sz w:val="28"/>
          <w:szCs w:val="28"/>
        </w:rPr>
        <w:lastRenderedPageBreak/>
        <w:t>S</w:t>
      </w:r>
      <w:r w:rsidR="004D000D" w:rsidRPr="00A96563">
        <w:rPr>
          <w:rFonts w:asciiTheme="majorHAnsi" w:hAnsiTheme="majorHAnsi" w:cstheme="majorHAnsi"/>
          <w:sz w:val="28"/>
          <w:szCs w:val="28"/>
        </w:rPr>
        <w:t>tatement of the problem</w:t>
      </w:r>
      <w:bookmarkEnd w:id="19"/>
    </w:p>
    <w:p w14:paraId="70638631" w14:textId="77777777" w:rsidR="00A54103" w:rsidRPr="0022305D" w:rsidRDefault="00A54103" w:rsidP="00A54103">
      <w:pPr>
        <w:spacing w:line="480" w:lineRule="auto"/>
        <w:ind w:firstLine="720"/>
        <w:rPr>
          <w:rFonts w:asciiTheme="majorHAnsi" w:hAnsiTheme="majorHAnsi" w:cstheme="majorHAnsi"/>
          <w:sz w:val="24"/>
          <w:szCs w:val="24"/>
        </w:rPr>
      </w:pPr>
      <w:r w:rsidRPr="0022305D">
        <w:rPr>
          <w:rFonts w:asciiTheme="majorHAnsi" w:hAnsiTheme="majorHAnsi" w:cstheme="majorHAnsi"/>
          <w:sz w:val="24"/>
          <w:szCs w:val="24"/>
        </w:rPr>
        <w:t xml:space="preserve">The level of solvency is used as an indicator for long-term profitability whereby highly solvent firms are highly profitable and less solvent firms are less profitable (Ibendahl, 2016). Despite the efforts of the central bank of Kenya to ensure that all commercial banks adhere to the regulations put in place which ensure that they operate at a given level of solvency, some banks still become bankrupt. Also, despite the ability of commercial banks to ensure adequate solvency ratios, some banks still close down due to low profitability. </w:t>
      </w:r>
    </w:p>
    <w:p w14:paraId="35200987" w14:textId="415BBE96" w:rsidR="00A54103" w:rsidRPr="0022305D" w:rsidRDefault="00A54103" w:rsidP="00A54103">
      <w:pPr>
        <w:spacing w:line="480" w:lineRule="auto"/>
        <w:ind w:firstLine="720"/>
        <w:rPr>
          <w:rFonts w:asciiTheme="majorHAnsi" w:hAnsiTheme="majorHAnsi" w:cstheme="majorHAnsi"/>
          <w:sz w:val="24"/>
          <w:szCs w:val="24"/>
        </w:rPr>
      </w:pPr>
      <w:r w:rsidRPr="0022305D">
        <w:rPr>
          <w:rFonts w:asciiTheme="majorHAnsi" w:hAnsiTheme="majorHAnsi" w:cstheme="majorHAnsi"/>
          <w:sz w:val="24"/>
          <w:szCs w:val="24"/>
        </w:rPr>
        <w:t xml:space="preserve">Statistics worldwide have indicated that several banks have closed down due to low level of profitability while at the same time having high level of solvency. According to </w:t>
      </w:r>
      <w:r w:rsidRPr="0022305D">
        <w:rPr>
          <w:rFonts w:asciiTheme="majorHAnsi" w:hAnsiTheme="majorHAnsi" w:cstheme="majorHAnsi"/>
          <w:sz w:val="24"/>
          <w:szCs w:val="24"/>
        </w:rPr>
        <w:fldChar w:fldCharType="begin" w:fldLock="1"/>
      </w:r>
      <w:r w:rsidR="00724D10" w:rsidRPr="0022305D">
        <w:rPr>
          <w:rFonts w:asciiTheme="majorHAnsi" w:hAnsiTheme="majorHAnsi" w:cstheme="majorHAnsi"/>
          <w:sz w:val="24"/>
          <w:szCs w:val="24"/>
        </w:rPr>
        <w:instrText>ADDIN CSL_CITATION {"citationItems":[{"id":"ITEM-1","itemData":{"author":[{"dropping-particle":"","family":"Federal deposit insurance corporation","given":"","non-dropping-particle":"","parse-names":false,"suffix":""}],"id":"ITEM-1","issued":{"date-parts":[["2020"]]},"number-of-pages":"1-85","title":"Annual annual report","type":"report"},"uris":["http://www.mendeley.com/documents/?uuid=1db09362-2074-4edd-b2e3-975c0abefa59"]}],"mendeley":{"formattedCitation":"(Federal deposit insurance corporation, 2020)","manualFormatting":"Federal deposit insurance corporation (2020)","plainTextFormattedCitation":"(Federal deposit insurance corporation, 2020)","previouslyFormattedCitation":"(Federal deposit insurance corporation, 2020)"},"properties":{"noteIndex":0},"schema":"https://github.com/citation-style-language/schema/raw/master/csl-citation.json"}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Federal deposit insurance corporation (2020)</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xml:space="preserve">, eight commercial banks were closed down in United States of America between 2019 and 2020 due to low profitability, yet they operated at a high level of solvency. In Kenya, Imperial Bank Limited was put in receivership in 2015 due to low profitability despite having high solvency ratio of 87% and 65.8% in terms of </w:t>
      </w:r>
      <w:r w:rsidR="00CB2CDC">
        <w:rPr>
          <w:rFonts w:asciiTheme="majorHAnsi" w:hAnsiTheme="majorHAnsi" w:cstheme="majorHAnsi"/>
          <w:sz w:val="24"/>
          <w:szCs w:val="24"/>
        </w:rPr>
        <w:t>total debt to total assets ratio</w:t>
      </w:r>
      <w:r w:rsidRPr="0022305D">
        <w:rPr>
          <w:rFonts w:asciiTheme="majorHAnsi" w:hAnsiTheme="majorHAnsi" w:cstheme="majorHAnsi"/>
          <w:sz w:val="24"/>
          <w:szCs w:val="24"/>
        </w:rPr>
        <w:t xml:space="preserve"> and </w:t>
      </w:r>
      <w:r w:rsidR="00BE06BC">
        <w:rPr>
          <w:rFonts w:asciiTheme="majorHAnsi" w:hAnsiTheme="majorHAnsi" w:cstheme="majorHAnsi"/>
          <w:sz w:val="24"/>
          <w:szCs w:val="24"/>
        </w:rPr>
        <w:t>total debt to equity</w:t>
      </w:r>
      <w:r w:rsidRPr="0022305D">
        <w:rPr>
          <w:rFonts w:asciiTheme="majorHAnsi" w:hAnsiTheme="majorHAnsi" w:cstheme="majorHAnsi"/>
          <w:sz w:val="24"/>
          <w:szCs w:val="24"/>
        </w:rPr>
        <w:t xml:space="preserve"> ratio respectively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{"citationItems":[{"id":"ITEM-1","itemData":{"DOI":"10.1023/A:1017395523868","ISBN":"8089567479","ISSN":"0921898X","author":[{"dropping-particle":"","family":"The Central Bank of Kenya","given":"","non-dropping-particle":"","parse-names":false,"suffix":""}],"id":"ITEM-1","issued":{"date-parts":[["2016"]]},"publisher":"The Central Bank of Kenya (CBK)","publisher-place":"Nairobi","title":"Press release on Chase bank limited.","type":"article"},"uris":["http://www.mendeley.com/documents/?uuid=b4e8441c-f42a-4f32-97fe-1d045f489b77"]}],"mendeley":{"formattedCitation":"(The Central Bank of Kenya, 2016)","plainTextFormattedCitation":"(The Central Bank of Kenya, 2016)","previouslyFormattedCitation":"(The Central Bank of Kenya, 2016)"},"properties":{"noteIndex":0},"schema":"https://github.com/citation-style-language/schema/raw/master/csl-citation.json"}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(The Central Bank of Kenya, 2016)</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xml:space="preserve">. Chase bank limited was also put in receivership in 2015 due to low profitability yet its solvency was at a level of 90% and 86.8% in terms of </w:t>
      </w:r>
      <w:r w:rsidR="00CB2CDC">
        <w:rPr>
          <w:rFonts w:asciiTheme="majorHAnsi" w:hAnsiTheme="majorHAnsi" w:cstheme="majorHAnsi"/>
          <w:sz w:val="24"/>
          <w:szCs w:val="24"/>
        </w:rPr>
        <w:t>total debt to total assets ratio</w:t>
      </w:r>
      <w:r w:rsidRPr="0022305D">
        <w:rPr>
          <w:rFonts w:asciiTheme="majorHAnsi" w:hAnsiTheme="majorHAnsi" w:cstheme="majorHAnsi"/>
          <w:sz w:val="24"/>
          <w:szCs w:val="24"/>
        </w:rPr>
        <w:t xml:space="preserve"> and </w:t>
      </w:r>
      <w:r w:rsidR="00BE06BC">
        <w:rPr>
          <w:rFonts w:asciiTheme="majorHAnsi" w:hAnsiTheme="majorHAnsi" w:cstheme="majorHAnsi"/>
          <w:sz w:val="24"/>
          <w:szCs w:val="24"/>
        </w:rPr>
        <w:t>total debt to equity</w:t>
      </w:r>
      <w:r w:rsidRPr="0022305D">
        <w:rPr>
          <w:rFonts w:asciiTheme="majorHAnsi" w:hAnsiTheme="majorHAnsi" w:cstheme="majorHAnsi"/>
          <w:sz w:val="24"/>
          <w:szCs w:val="24"/>
        </w:rPr>
        <w:t xml:space="preserve"> ratio respectively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{"citationItems":[{"id":"ITEM-1","itemData":{"DOI":"10.1023/A:1017395523868","ISBN":"8089567479","ISSN":"0921898X","author":[{"dropping-particle":"","family":"The Central Bank of Kenya","given":"","non-dropping-particle":"","parse-names":false,"suffix":""}],"id":"ITEM-1","issued":{"date-parts":[["2016"]]},"publisher":"The Central Bank of Kenya (CBK)","publisher-place":"Nairobi","title":"Press release on Chase bank limited.","type":"article"},"uris":["http://www.mendeley.com/documents/?uuid=b4e8441c-f42a-4f32-97fe-1d045f489b77"]}],"mendeley":{"formattedCitation":"(The Central Bank of Kenya, 2016)","plainTextFormattedCitation":"(The Central Bank of Kenya, 2016)","previouslyFormattedCitation":"(The Central Bank of Kenya, 2016)"},"properties":{"noteIndex":0},"schema":"https://github.com/citation-style-language/schema/raw/master/csl-citation.json"}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(The Central Bank of Kenya, 2016)</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xml:space="preserve">. Based on these reports, it can be noted that despite having high level of solvency, banks can experience low profitability which may lead to closure. </w:t>
      </w:r>
    </w:p>
    <w:p w14:paraId="291A401C" w14:textId="50E139E2" w:rsidR="00A54103" w:rsidRPr="0022305D" w:rsidRDefault="00A54103" w:rsidP="00A54103">
      <w:pPr>
        <w:spacing w:line="480" w:lineRule="auto"/>
        <w:ind w:firstLine="720"/>
        <w:rPr>
          <w:rFonts w:asciiTheme="majorHAnsi" w:hAnsiTheme="majorHAnsi" w:cstheme="majorHAnsi"/>
          <w:sz w:val="24"/>
          <w:szCs w:val="24"/>
        </w:rPr>
      </w:pPr>
      <w:r w:rsidRPr="0022305D">
        <w:rPr>
          <w:rFonts w:asciiTheme="majorHAnsi" w:hAnsiTheme="majorHAnsi" w:cstheme="majorHAnsi"/>
          <w:sz w:val="24"/>
          <w:szCs w:val="24"/>
        </w:rPr>
        <w:t xml:space="preserve">A number of research studies have attempted to assess whether there is relationship between solvency and profitability. However, the findings of their studies </w:t>
      </w:r>
      <w:r w:rsidRPr="0022305D">
        <w:rPr>
          <w:rFonts w:asciiTheme="majorHAnsi" w:hAnsiTheme="majorHAnsi" w:cstheme="majorHAnsi"/>
          <w:sz w:val="24"/>
          <w:szCs w:val="24"/>
        </w:rPr>
        <w:lastRenderedPageBreak/>
        <w:t xml:space="preserve">contradict since some scholars such as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{"citationItems":[{"id":"ITEM-1","itemData":{"DOI":"10.1016/j.ajsl.2016.12.007","ISSN":"20925212","abstract":"This study examines factors affecting the solvency of shipping firms. The paper uses a panel dataset and employs the GLM and FGLS regression analyses. This study explores the financial structure of top 130 shipping firms provided by the Factiva database during the period between 2009 and 2013. The paper finds that liquidity is closely related to the leverage of shipping companies. The negative association between the asset liquidity and the leverage level implies that there exist conflicts of interest between managers and investors. Shipping firms have a comfortable high liquidity position, but they have a high degree of leverage. They need to take steps to reduce debts. There is evidence of heterogeneity in the determinants of leverage level. The paper also finds that the variables such as profitability, FSIZE, FAGE influence differently the leverage level whether the debt is short-term or long-term.","author":[{"dropping-particle":"","family":"Yeo","given":"Heejung","non-dropping-particle":"","parse-names":false,"suffix":""}],"container-title":"Asian Journal of Shipping and Logistics","id":"ITEM-1","issue":"4","issued":{"date-parts":[["2016"]]},"page":"235-241","title":"Solvency and Liquidity in Shipping Companies","type":"article-journal","volume":"32"},"uris":["http://www.mendeley.com/documents/?uuid=63cfd63a-c3f1-4ef2-a780-15165a535c2c"]}],"mendeley":{"formattedCitation":"(Yeo, 2016)","manualFormatting":"Yeo, 2016","plainTextFormattedCitation":"(Yeo, 2016)","previouslyFormattedCitation":"(Yeo, 2016)"},"properties":{"noteIndex":0},"schema":"https://github.com/citation-style-language/schema/raw/master/csl-citation.json"}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Yeo, 2016</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xml:space="preserve">;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{"citationItems":[{"id":"ITEM-1","itemData":{"DOI":"10.5430/ijfr.v10n6p188","ISSN":"19234031","abstract":"The study aimed to investigate the factors that affect the solvency of the insurance companies in Palestine and to highlight the nature and strength of the relationship between liquidity, investment, leverage, claims and the solvency of the insurance companies in Palestine. To achieve the objectives of the study, the descriptive and quantitative analysis methods were used in the study. Based on the data of the financial statements of seven insurance companies (out of 9 companies) and by using regression of fixed effects of panel data for 2010-2017, the study found that the claims have a positive effect on the financial solvency and leverage has a negative effect on the solvency of insurance companies in Palestine, while investment and liquidity have an insignificant effect on financial solvency.","author":[{"dropping-particle":"","family":"Ayyash","given":"Issam","non-dropping-particle":"","parse-names":false,"suffix":""}],"container-title":"International Journal of Financial Research","id":"ITEM-1","issue":"6","issued":{"date-parts":[["2019"]]},"page":"188-195","title":"Determinants of the solvency of insurance companies in palestine","type":"article-journal","volume":"10"},"uris":["http://www.mendeley.com/documents/?uuid=c99753ce-983a-4a51-9344-7a9e594c8a3e"]}],"mendeley":{"formattedCitation":"(Ayyash, 2019)","manualFormatting":"Ayyash, 2019","plainTextFormattedCitation":"(Ayyash, 2019)","previouslyFormattedCitation":"(Ayyash, 2019)"},"properties":{"noteIndex":0},"schema":"https://github.com/citation-style-language/schema/raw/master/csl-citation.json"}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Ayyash, 2019</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xml:space="preserve"> and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{"citationItems":[{"id":"ITEM-1","itemData":{"DOI":"10.5539/res.v9n2p1","ISSN":"1918-7173","abstract":"This study aimed to examine the relationship between capital structure and financial performance in the firms listed in Abu Dhabi Securities Exchange (ADX), Profitability Ratios were used to express of the financial performance, and the Debt Ratio was used to express the Capital Structure. A random sample from the companies listed in ADX was taken to achieve the objective this study, it consisted of 48% of all companies in this financial market, and the study period extended from 2008 to 2015. The researcher used Statistical Package for the Social Sciences (SPSS), to analyze the study hypotheses, using ANOVA, model summery and coefficients for the study variables. And the results of this study showed that is positive relationship between the capital structure (Debt Ratio) and the Financial Performance (Profitability: Return on Assets) in ADX. And there is a negative relationship when we used the Return on Equity to express for the Profitability with the capital structure. The overall study results showed that there is significant relationship between capital structure and financial Performance in the companies listed in Abu Dhabi Securities Exchange, and the model of this study able to explanation almost 31% from changes happened in the profitability due to the capital structure. This result was consistent with some previous studies.","author":[{"dropping-particle":"","family":"Qudah","given":"Anas","non-dropping-particle":"","parse-names":false,"suffix":""}],"container-title":"Review of European Studies","id":"ITEM-1","issue":"2","issued":{"date-parts":[["2017"]]},"page":"1-9","title":"The Relationship between Capital Structure and Financial Performance in the Companies Listed in Abu Dhabi Securities Exchange: Evidences from United Arab Emirates","type":"article-journal","volume":"9"},"uris":["http://www.mendeley.com/documents/?uuid=eeb25e3c-8b09-4472-9d62-725ea887716e"]}],"mendeley":{"formattedCitation":"(Qudah, 2017)","manualFormatting":"Qudah, 2017","plainTextFormattedCitation":"(Qudah, 2017)","previouslyFormattedCitation":"(Qudah, 2017)"},"properties":{"noteIndex":0},"schema":"https://github.com/citation-style-language/schema/raw/master/csl-citation.json"}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Qudah, 2017</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xml:space="preserve"> concluded that there exist a positive relationship between solvency and profitability. On the contrary,</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{"citationItems":[{"id":"ITEM-1","itemData":{"DOI":"10.1108/MF-05-2019-0241","ISSN":"17587743","abstract":"Purpose: This paper evaluates the importance of both liquidity and solvency risk factors on variations in efficiency measures of US commercial and domestic banks from 2005 to 2017. Design/methodology/approach: The analysis is conducted using the true random effect stochastic cost model to examine the role of both liquidity and solvency risk factors. To this end, the author uses the exponential stochastic cost function and adds new variables, including bank size, crisis as an indicator of the financial crisis and the Dodd–Frank Act and Basel II Accord as regulatory dummies. Findings: The results show that both liquidity and solvency risk factors positively affect the variance of cost inefficiency measures and thus have negative impact on the cost efficiency measures. In addition, banks increased the cost of financial intermediation during the financial crisis, whereas regulatory factors of Basel II Accord and Dodd–Frank Act play a crucial role in explaining the cost efficiency measures. Originality/value: These results are the first to quantify the impact of both liquidity and solvency on the variations in cost efficiency measures.","author":[{"dropping-particle":"","family":"Sakouvogui","given":"Kekoura","non-dropping-particle":"","parse-names":false,"suffix":""}],"container-title":"Managerial Finance","id":"ITEM-1","issue":"7","issued":{"date-parts":[["2020"]]},"page":"883-895","title":"Impact of liquidity and solvency risk factors on variations in efficiency of US banks","type":"article-journal","volume":"46"},"uris":["http://www.mendeley.com/documents/?uuid=6e213a4f-fcf3-41b3-9926-afd89992a4f7"]}],"mendeley":{"formattedCitation":"(Sakouvogui, 2020)","manualFormatting":" Sakouvogui (2020)","plainTextFormattedCitation":"(Sakouvogui, 2020)","previouslyFormattedCitation":"(Sakouvogui, 2020)"},"properties":{"noteIndex":0},"schema":"https://github.com/citation-style-language/schema/raw/master/csl-citation.json"}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 xml:space="preserve"> Sakouvogui (2020)</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xml:space="preserve"> concluded that there is an inverse and highly significant relationship between solvency and profitability of </w:t>
      </w:r>
      <w:r w:rsidRPr="0022305D">
        <w:rPr>
          <w:rFonts w:asciiTheme="majorHAnsi" w:hAnsiTheme="majorHAnsi" w:cstheme="majorHAnsi"/>
          <w:shd w:val="clear" w:color="auto" w:fill="FFFFFF"/>
        </w:rPr>
        <w:t>United States of America’s commercial and domestic banks from 2005 to 2017</w:t>
      </w:r>
      <w:r w:rsidRPr="0022305D">
        <w:rPr>
          <w:rFonts w:asciiTheme="majorHAnsi" w:hAnsiTheme="majorHAnsi" w:cstheme="majorHAnsi"/>
          <w:sz w:val="24"/>
          <w:szCs w:val="24"/>
        </w:rPr>
        <w:t xml:space="preserve">. </w:t>
      </w:r>
      <w:r w:rsidR="00FF46A7">
        <w:rPr>
          <w:rFonts w:asciiTheme="majorHAnsi" w:hAnsiTheme="majorHAnsi" w:cstheme="majorHAnsi"/>
          <w:sz w:val="24"/>
          <w:szCs w:val="24"/>
        </w:rPr>
        <w:t xml:space="preserve">There is conflict on the scope of the study whereby the study by </w:t>
      </w:r>
      <w:r w:rsidR="0063345A">
        <w:rPr>
          <w:rFonts w:asciiTheme="majorHAnsi" w:hAnsiTheme="majorHAnsi" w:cstheme="majorHAnsi"/>
          <w:sz w:val="24"/>
          <w:szCs w:val="24"/>
        </w:rPr>
        <w:t xml:space="preserve">Yeo (2016) </w:t>
      </w:r>
      <w:r w:rsidR="00FF46A7">
        <w:rPr>
          <w:rFonts w:asciiTheme="majorHAnsi" w:hAnsiTheme="majorHAnsi" w:cstheme="majorHAnsi"/>
          <w:sz w:val="24"/>
          <w:szCs w:val="24"/>
        </w:rPr>
        <w:t>covered a period of</w:t>
      </w:r>
      <w:r w:rsidR="0063345A">
        <w:rPr>
          <w:rFonts w:asciiTheme="majorHAnsi" w:hAnsiTheme="majorHAnsi" w:cstheme="majorHAnsi"/>
          <w:sz w:val="24"/>
          <w:szCs w:val="24"/>
        </w:rPr>
        <w:t xml:space="preserve"> 5 years </w:t>
      </w:r>
      <w:r w:rsidR="00FF46A7">
        <w:rPr>
          <w:rFonts w:asciiTheme="majorHAnsi" w:hAnsiTheme="majorHAnsi" w:cstheme="majorHAnsi"/>
          <w:sz w:val="24"/>
          <w:szCs w:val="24"/>
        </w:rPr>
        <w:t>while the research by</w:t>
      </w:r>
      <w:r w:rsidR="0063345A">
        <w:rPr>
          <w:rFonts w:asciiTheme="majorHAnsi" w:hAnsiTheme="majorHAnsi" w:cstheme="majorHAnsi"/>
          <w:sz w:val="24"/>
          <w:szCs w:val="24"/>
        </w:rPr>
        <w:t xml:space="preserve"> Ayyash (2019) </w:t>
      </w:r>
      <w:r w:rsidR="00FF46A7">
        <w:rPr>
          <w:rFonts w:asciiTheme="majorHAnsi" w:hAnsiTheme="majorHAnsi" w:cstheme="majorHAnsi"/>
          <w:sz w:val="24"/>
          <w:szCs w:val="24"/>
        </w:rPr>
        <w:t>covered a period of</w:t>
      </w:r>
      <w:r w:rsidR="0063345A">
        <w:rPr>
          <w:rFonts w:asciiTheme="majorHAnsi" w:hAnsiTheme="majorHAnsi" w:cstheme="majorHAnsi"/>
          <w:sz w:val="24"/>
          <w:szCs w:val="24"/>
        </w:rPr>
        <w:t xml:space="preserve"> 8 years. Th</w:t>
      </w:r>
      <w:r w:rsidR="00FF46A7">
        <w:rPr>
          <w:rFonts w:asciiTheme="majorHAnsi" w:hAnsiTheme="majorHAnsi" w:cstheme="majorHAnsi"/>
          <w:sz w:val="24"/>
          <w:szCs w:val="24"/>
        </w:rPr>
        <w:t>is</w:t>
      </w:r>
      <w:r w:rsidR="0063345A">
        <w:rPr>
          <w:rFonts w:asciiTheme="majorHAnsi" w:hAnsiTheme="majorHAnsi" w:cstheme="majorHAnsi"/>
          <w:sz w:val="24"/>
          <w:szCs w:val="24"/>
        </w:rPr>
        <w:t xml:space="preserve"> study </w:t>
      </w:r>
      <w:r w:rsidR="009612D1">
        <w:rPr>
          <w:rFonts w:asciiTheme="majorHAnsi" w:hAnsiTheme="majorHAnsi" w:cstheme="majorHAnsi"/>
          <w:sz w:val="24"/>
          <w:szCs w:val="24"/>
        </w:rPr>
        <w:t>analyzed</w:t>
      </w:r>
      <w:r w:rsidR="00FF46A7">
        <w:rPr>
          <w:rFonts w:asciiTheme="majorHAnsi" w:hAnsiTheme="majorHAnsi" w:cstheme="majorHAnsi"/>
          <w:sz w:val="24"/>
          <w:szCs w:val="24"/>
        </w:rPr>
        <w:t xml:space="preserve"> audited financial statements for a period of ten years. Empirical literature also reveals that studies were conducted in different sectors including shipping companies, insurance companies and listed companies in United Arab Emirates</w:t>
      </w:r>
      <w:r w:rsidR="009612D1">
        <w:rPr>
          <w:rFonts w:asciiTheme="majorHAnsi" w:hAnsiTheme="majorHAnsi" w:cstheme="majorHAnsi"/>
          <w:sz w:val="24"/>
          <w:szCs w:val="24"/>
        </w:rPr>
        <w:t xml:space="preserve"> (</w:t>
      </w:r>
      <w:r w:rsidR="009612D1" w:rsidRPr="0022305D">
        <w:rPr>
          <w:rFonts w:asciiTheme="majorHAnsi" w:hAnsiTheme="majorHAnsi" w:cstheme="majorHAnsi"/>
          <w:sz w:val="24"/>
          <w:szCs w:val="24"/>
        </w:rPr>
        <w:fldChar w:fldCharType="begin" w:fldLock="1"/>
      </w:r>
      <w:r w:rsidR="009612D1" w:rsidRPr="0022305D">
        <w:rPr>
          <w:rFonts w:asciiTheme="majorHAnsi" w:hAnsiTheme="majorHAnsi" w:cstheme="majorHAnsi"/>
          <w:sz w:val="24"/>
          <w:szCs w:val="24"/>
        </w:rPr>
        <w:instrText>ADDIN CSL_CITATION {"citationItems":[{"id":"ITEM-1","itemData":{"DOI":"10.5430/ijfr.v10n6p188","ISSN":"19234031","abstract":"The study aimed to investigate the factors that affect the solvency of the insurance companies in Palestine and to highlight the nature and strength of the relationship between liquidity, investment, leverage, claims and the solvency of the insurance companies in Palestine. To achieve the objectives of the study, the descriptive and quantitative analysis methods were used in the study. Based on the data of the financial statements of seven insurance companies (out of 9 companies) and by using regression of fixed effects of panel data for 2010-2017, the study found that the claims have a positive effect on the financial solvency and leverage has a negative effect on the solvency of insurance companies in Palestine, while investment and liquidity have an insignificant effect on financial solvency.","author":[{"dropping-particle":"","family":"Ayyash","given":"Issam","non-dropping-particle":"","parse-names":false,"suffix":""}],"container-title":"International Journal of Financial Research","id":"ITEM-1","issue":"6","issued":{"date-parts":[["2019"]]},"page":"188-195","title":"Determinants of the solvency of insurance companies in palestine","type":"article-journal","volume":"10"},"uris":["http://www.mendeley.com/documents/?uuid=c99753ce-983a-4a51-9344-7a9e594c8a3e"]}],"mendeley":{"formattedCitation":"(Ayyash, 2019)","manualFormatting":"Ayyash, 2019","plainTextFormattedCitation":"(Ayyash, 2019)","previouslyFormattedCitation":"(Ayyash, 2019)"},"properties":{"noteIndex":0},"schema":"https://github.com/citation-style-language/schema/raw/master/csl-citation.json"}</w:instrText>
      </w:r>
      <w:r w:rsidR="009612D1" w:rsidRPr="0022305D">
        <w:rPr>
          <w:rFonts w:asciiTheme="majorHAnsi" w:hAnsiTheme="majorHAnsi" w:cstheme="majorHAnsi"/>
          <w:sz w:val="24"/>
          <w:szCs w:val="24"/>
        </w:rPr>
        <w:fldChar w:fldCharType="separate"/>
      </w:r>
      <w:r w:rsidR="009612D1" w:rsidRPr="0022305D">
        <w:rPr>
          <w:rFonts w:asciiTheme="majorHAnsi" w:hAnsiTheme="majorHAnsi" w:cstheme="majorHAnsi"/>
          <w:noProof/>
          <w:sz w:val="24"/>
          <w:szCs w:val="24"/>
        </w:rPr>
        <w:t>Ayyash, 2019</w:t>
      </w:r>
      <w:r w:rsidR="009612D1" w:rsidRPr="0022305D">
        <w:rPr>
          <w:rFonts w:asciiTheme="majorHAnsi" w:hAnsiTheme="majorHAnsi" w:cstheme="majorHAnsi"/>
          <w:sz w:val="24"/>
          <w:szCs w:val="24"/>
        </w:rPr>
        <w:fldChar w:fldCharType="end"/>
      </w:r>
      <w:r w:rsidR="009612D1">
        <w:rPr>
          <w:rFonts w:asciiTheme="majorHAnsi" w:hAnsiTheme="majorHAnsi" w:cstheme="majorHAnsi"/>
          <w:sz w:val="24"/>
          <w:szCs w:val="24"/>
        </w:rPr>
        <w:t>;</w:t>
      </w:r>
      <w:r w:rsidR="009612D1" w:rsidRPr="0022305D">
        <w:rPr>
          <w:rFonts w:asciiTheme="majorHAnsi" w:hAnsiTheme="majorHAnsi" w:cstheme="majorHAnsi"/>
          <w:sz w:val="24"/>
          <w:szCs w:val="24"/>
        </w:rPr>
        <w:fldChar w:fldCharType="begin" w:fldLock="1"/>
      </w:r>
      <w:r w:rsidR="009612D1" w:rsidRPr="0022305D">
        <w:rPr>
          <w:rFonts w:asciiTheme="majorHAnsi" w:hAnsiTheme="majorHAnsi" w:cstheme="majorHAnsi"/>
          <w:sz w:val="24"/>
          <w:szCs w:val="24"/>
        </w:rPr>
        <w:instrText>ADDIN CSL_CITATION {"citationItems":[{"id":"ITEM-1","itemData":{"DOI":"10.1016/j.ajsl.2016.12.007","ISSN":"20925212","abstract":"This study examines factors affecting the solvency of shipping firms. The paper uses a panel dataset and employs the GLM and FGLS regression analyses. This study explores the financial structure of top 130 shipping firms provided by the Factiva database during the period between 2009 and 2013. The paper finds that liquidity is closely related to the leverage of shipping companies. The negative association between the asset liquidity and the leverage level implies that there exist conflicts of interest between managers and investors. Shipping firms have a comfortable high liquidity position, but they have a high degree of leverage. They need to take steps to reduce debts. There is evidence of heterogeneity in the determinants of leverage level. The paper also finds that the variables such as profitability, FSIZE, FAGE influence differently the leverage level whether the debt is short-term or long-term.","author":[{"dropping-particle":"","family":"Yeo","given":"Heejung","non-dropping-particle":"","parse-names":false,"suffix":""}],"container-title":"Asian Journal of Shipping and Logistics","id":"ITEM-1","issue":"4","issued":{"date-parts":[["2016"]]},"page":"235-241","title":"Solvency and Liquidity in Shipping Companies","type":"article-journal","volume":"32"},"uris":["http://www.mendeley.com/documents/?uuid=63cfd63a-c3f1-4ef2-a780-15165a535c2c"]}],"mendeley":{"formattedCitation":"(Yeo, 2016)","manualFormatting":"Yeo, 2016","plainTextFormattedCitation":"(Yeo, 2016)","previouslyFormattedCitation":"(Yeo, 2016)"},"properties":{"noteIndex":0},"schema":"https://github.com/citation-style-language/schema/raw/master/csl-citation.json"}</w:instrText>
      </w:r>
      <w:r w:rsidR="009612D1" w:rsidRPr="0022305D">
        <w:rPr>
          <w:rFonts w:asciiTheme="majorHAnsi" w:hAnsiTheme="majorHAnsi" w:cstheme="majorHAnsi"/>
          <w:sz w:val="24"/>
          <w:szCs w:val="24"/>
        </w:rPr>
        <w:fldChar w:fldCharType="separate"/>
      </w:r>
      <w:r w:rsidR="009612D1" w:rsidRPr="0022305D">
        <w:rPr>
          <w:rFonts w:asciiTheme="majorHAnsi" w:hAnsiTheme="majorHAnsi" w:cstheme="majorHAnsi"/>
          <w:noProof/>
          <w:sz w:val="24"/>
          <w:szCs w:val="24"/>
        </w:rPr>
        <w:t>Yeo, 2016</w:t>
      </w:r>
      <w:r w:rsidR="009612D1" w:rsidRPr="0022305D">
        <w:rPr>
          <w:rFonts w:asciiTheme="majorHAnsi" w:hAnsiTheme="majorHAnsi" w:cstheme="majorHAnsi"/>
          <w:sz w:val="24"/>
          <w:szCs w:val="24"/>
        </w:rPr>
        <w:fldChar w:fldCharType="end"/>
      </w:r>
      <w:r w:rsidR="009612D1" w:rsidRPr="0022305D">
        <w:rPr>
          <w:rFonts w:asciiTheme="majorHAnsi" w:hAnsiTheme="majorHAnsi" w:cstheme="majorHAnsi"/>
          <w:sz w:val="24"/>
          <w:szCs w:val="24"/>
        </w:rPr>
        <w:t xml:space="preserve"> and </w:t>
      </w:r>
      <w:r w:rsidR="009612D1" w:rsidRPr="0022305D">
        <w:rPr>
          <w:rFonts w:asciiTheme="majorHAnsi" w:hAnsiTheme="majorHAnsi" w:cstheme="majorHAnsi"/>
          <w:sz w:val="24"/>
          <w:szCs w:val="24"/>
        </w:rPr>
        <w:fldChar w:fldCharType="begin" w:fldLock="1"/>
      </w:r>
      <w:r w:rsidR="009612D1" w:rsidRPr="0022305D">
        <w:rPr>
          <w:rFonts w:asciiTheme="majorHAnsi" w:hAnsiTheme="majorHAnsi" w:cstheme="majorHAnsi"/>
          <w:sz w:val="24"/>
          <w:szCs w:val="24"/>
        </w:rPr>
        <w:instrText>ADDIN CSL_CITATION {"citationItems":[{"id":"ITEM-1","itemData":{"DOI":"10.5539/res.v9n2p1","ISSN":"1918-7173","abstract":"This study aimed to examine the relationship between capital structure and financial performance in the firms listed in Abu Dhabi Securities Exchange (ADX), Profitability Ratios were used to express of the financial performance, and the Debt Ratio was used to express the Capital Structure. A random sample from the companies listed in ADX was taken to achieve the objective this study, it consisted of 48% of all companies in this financial market, and the study period extended from 2008 to 2015. The researcher used Statistical Package for the Social Sciences (SPSS), to analyze the study hypotheses, using ANOVA, model summery and coefficients for the study variables. And the results of this study showed that is positive relationship between the capital structure (Debt Ratio) and the Financial Performance (Profitability: Return on Assets) in ADX. And there is a negative relationship when we used the Return on Equity to express for the Profitability with the capital structure. The overall study results showed that there is significant relationship between capital structure and financial Performance in the companies listed in Abu Dhabi Securities Exchange, and the model of this study able to explanation almost 31% from changes happened in the profitability due to the capital structure. This result was consistent with some previous studies.","author":[{"dropping-particle":"","family":"Qudah","given":"Anas","non-dropping-particle":"","parse-names":false,"suffix":""}],"container-title":"Review of European Studies","id":"ITEM-1","issue":"2","issued":{"date-parts":[["2017"]]},"page":"1-9","title":"The Relationship between Capital Structure and Financial Performance in the Companies Listed in Abu Dhabi Securities Exchange: Evidences from United Arab Emirates","type":"article-journal","volume":"9"},"uris":["http://www.mendeley.com/documents/?uuid=eeb25e3c-8b09-4472-9d62-725ea887716e"]}],"mendeley":{"formattedCitation":"(Qudah, 2017)","manualFormatting":"Qudah, 2017","plainTextFormattedCitation":"(Qudah, 2017)","previouslyFormattedCitation":"(Qudah, 2017)"},"properties":{"noteIndex":0},"schema":"https://github.com/citation-style-language/schema/raw/master/csl-citation.json"}</w:instrText>
      </w:r>
      <w:r w:rsidR="009612D1" w:rsidRPr="0022305D">
        <w:rPr>
          <w:rFonts w:asciiTheme="majorHAnsi" w:hAnsiTheme="majorHAnsi" w:cstheme="majorHAnsi"/>
          <w:sz w:val="24"/>
          <w:szCs w:val="24"/>
        </w:rPr>
        <w:fldChar w:fldCharType="separate"/>
      </w:r>
      <w:r w:rsidR="009612D1" w:rsidRPr="0022305D">
        <w:rPr>
          <w:rFonts w:asciiTheme="majorHAnsi" w:hAnsiTheme="majorHAnsi" w:cstheme="majorHAnsi"/>
          <w:noProof/>
          <w:sz w:val="24"/>
          <w:szCs w:val="24"/>
        </w:rPr>
        <w:t>Qudah, 2017</w:t>
      </w:r>
      <w:r w:rsidR="009612D1" w:rsidRPr="0022305D">
        <w:rPr>
          <w:rFonts w:asciiTheme="majorHAnsi" w:hAnsiTheme="majorHAnsi" w:cstheme="majorHAnsi"/>
          <w:sz w:val="24"/>
          <w:szCs w:val="24"/>
        </w:rPr>
        <w:fldChar w:fldCharType="end"/>
      </w:r>
      <w:r w:rsidR="009612D1">
        <w:rPr>
          <w:rFonts w:asciiTheme="majorHAnsi" w:hAnsiTheme="majorHAnsi" w:cstheme="majorHAnsi"/>
          <w:sz w:val="24"/>
          <w:szCs w:val="24"/>
        </w:rPr>
        <w:t>).</w:t>
      </w:r>
      <w:r w:rsidR="00FF46A7" w:rsidRPr="0022305D">
        <w:rPr>
          <w:rFonts w:asciiTheme="majorHAnsi" w:hAnsiTheme="majorHAnsi" w:cstheme="majorHAnsi"/>
          <w:sz w:val="24"/>
          <w:szCs w:val="24"/>
        </w:rPr>
        <w:t xml:space="preserve"> </w:t>
      </w:r>
      <w:r w:rsidRPr="0022305D">
        <w:rPr>
          <w:rFonts w:asciiTheme="majorHAnsi" w:hAnsiTheme="majorHAnsi" w:cstheme="majorHAnsi"/>
          <w:sz w:val="24"/>
          <w:szCs w:val="24"/>
        </w:rPr>
        <w:t xml:space="preserve">These different findings suggests that there is an existing debate on whether there is relationship between solvency and profitability. </w:t>
      </w:r>
      <w:r w:rsidRPr="0022305D">
        <w:rPr>
          <w:rFonts w:asciiTheme="majorHAnsi" w:hAnsiTheme="majorHAnsi" w:cstheme="majorHAnsi"/>
          <w:color w:val="000000" w:themeColor="text1"/>
          <w:sz w:val="24"/>
          <w:szCs w:val="24"/>
        </w:rPr>
        <w:t>Does it mean that there is no relationship between solvency and profitability among the commercial banks in Kenya?</w:t>
      </w:r>
      <w:r w:rsidRPr="0022305D">
        <w:rPr>
          <w:rFonts w:asciiTheme="majorHAnsi" w:hAnsiTheme="majorHAnsi" w:cstheme="majorHAnsi"/>
          <w:sz w:val="24"/>
          <w:szCs w:val="24"/>
        </w:rPr>
        <w:t xml:space="preserve"> </w:t>
      </w:r>
      <w:r w:rsidR="00711EFA">
        <w:rPr>
          <w:rFonts w:asciiTheme="majorHAnsi" w:hAnsiTheme="majorHAnsi" w:cstheme="majorHAnsi"/>
          <w:sz w:val="24"/>
          <w:szCs w:val="24"/>
        </w:rPr>
        <w:t xml:space="preserve"> </w:t>
      </w:r>
      <w:r w:rsidRPr="0022305D">
        <w:rPr>
          <w:rFonts w:asciiTheme="majorHAnsi" w:hAnsiTheme="majorHAnsi" w:cstheme="majorHAnsi"/>
          <w:sz w:val="24"/>
          <w:szCs w:val="24"/>
        </w:rPr>
        <w:t xml:space="preserve">Based on the above, the researcher sought to re-examine the relationship between solvency and profitability of commercial banks in Kenya. </w:t>
      </w:r>
    </w:p>
    <w:p w14:paraId="5534519A" w14:textId="532B5D55" w:rsidR="00AB0984" w:rsidRPr="0022305D" w:rsidRDefault="00AB0984" w:rsidP="00EF10D6">
      <w:pPr>
        <w:spacing w:line="480" w:lineRule="auto"/>
        <w:ind w:firstLine="720"/>
        <w:rPr>
          <w:rFonts w:asciiTheme="majorHAnsi" w:hAnsiTheme="majorHAnsi" w:cstheme="majorHAnsi"/>
          <w:sz w:val="24"/>
          <w:szCs w:val="24"/>
        </w:rPr>
      </w:pPr>
    </w:p>
    <w:p w14:paraId="733649F8" w14:textId="5E78AC02" w:rsidR="00AB0984" w:rsidRPr="00A96563" w:rsidRDefault="00AB0984" w:rsidP="00DE2846">
      <w:pPr>
        <w:pStyle w:val="Heading2"/>
        <w:spacing w:line="480" w:lineRule="auto"/>
        <w:jc w:val="left"/>
        <w:rPr>
          <w:rFonts w:asciiTheme="majorHAnsi" w:hAnsiTheme="majorHAnsi" w:cstheme="majorHAnsi"/>
          <w:sz w:val="28"/>
          <w:szCs w:val="28"/>
        </w:rPr>
      </w:pPr>
      <w:bookmarkStart w:id="20" w:name="_Toc78205773"/>
      <w:r w:rsidRPr="00A96563">
        <w:rPr>
          <w:rFonts w:asciiTheme="majorHAnsi" w:hAnsiTheme="majorHAnsi" w:cstheme="majorHAnsi"/>
          <w:sz w:val="28"/>
          <w:szCs w:val="28"/>
        </w:rPr>
        <w:t>Purpose of the study</w:t>
      </w:r>
      <w:bookmarkEnd w:id="20"/>
    </w:p>
    <w:p w14:paraId="04C0B06D" w14:textId="77777777" w:rsidR="00AB0984" w:rsidRPr="0022305D" w:rsidRDefault="00AB0984" w:rsidP="00AB0984">
      <w:pPr>
        <w:autoSpaceDE w:val="0"/>
        <w:autoSpaceDN w:val="0"/>
        <w:adjustRightInd w:val="0"/>
        <w:spacing w:after="0" w:line="480" w:lineRule="auto"/>
        <w:rPr>
          <w:rFonts w:asciiTheme="majorHAnsi" w:hAnsiTheme="majorHAnsi" w:cstheme="majorHAnsi"/>
          <w:sz w:val="24"/>
          <w:szCs w:val="24"/>
        </w:rPr>
      </w:pPr>
      <w:r w:rsidRPr="0022305D">
        <w:rPr>
          <w:rFonts w:asciiTheme="majorHAnsi" w:hAnsiTheme="majorHAnsi" w:cstheme="majorHAnsi"/>
          <w:sz w:val="24"/>
          <w:szCs w:val="24"/>
        </w:rPr>
        <w:t>The purpose of this study is to examine the relationship between solvency and profitability of commercial banks in Kenya.</w:t>
      </w:r>
    </w:p>
    <w:p w14:paraId="59CFBC10" w14:textId="6699612F" w:rsidR="00473E29" w:rsidRDefault="00473E29" w:rsidP="00473E29">
      <w:pPr>
        <w:spacing w:line="480" w:lineRule="auto"/>
        <w:rPr>
          <w:rFonts w:asciiTheme="majorHAnsi" w:hAnsiTheme="majorHAnsi" w:cstheme="majorHAnsi"/>
          <w:sz w:val="28"/>
          <w:szCs w:val="28"/>
        </w:rPr>
      </w:pPr>
    </w:p>
    <w:p w14:paraId="2532407C" w14:textId="77777777" w:rsidR="00864099" w:rsidRPr="00A96563" w:rsidRDefault="00864099" w:rsidP="00473E29">
      <w:pPr>
        <w:spacing w:line="480" w:lineRule="auto"/>
        <w:rPr>
          <w:rFonts w:asciiTheme="majorHAnsi" w:hAnsiTheme="majorHAnsi" w:cstheme="majorHAnsi"/>
          <w:sz w:val="28"/>
          <w:szCs w:val="28"/>
        </w:rPr>
      </w:pPr>
    </w:p>
    <w:p w14:paraId="65EE7DD7" w14:textId="633B80CE" w:rsidR="00032B80" w:rsidRPr="00A96563" w:rsidRDefault="00032B80" w:rsidP="00DE2846">
      <w:pPr>
        <w:pStyle w:val="Heading2"/>
        <w:spacing w:line="480" w:lineRule="auto"/>
        <w:jc w:val="left"/>
        <w:rPr>
          <w:rFonts w:asciiTheme="majorHAnsi" w:hAnsiTheme="majorHAnsi" w:cstheme="majorHAnsi"/>
          <w:sz w:val="28"/>
          <w:szCs w:val="28"/>
        </w:rPr>
      </w:pPr>
      <w:bookmarkStart w:id="21" w:name="_Toc78205774"/>
      <w:r w:rsidRPr="00A96563">
        <w:rPr>
          <w:rFonts w:asciiTheme="majorHAnsi" w:hAnsiTheme="majorHAnsi" w:cstheme="majorHAnsi"/>
          <w:sz w:val="28"/>
          <w:szCs w:val="28"/>
        </w:rPr>
        <w:lastRenderedPageBreak/>
        <w:t>Research Questions</w:t>
      </w:r>
      <w:bookmarkEnd w:id="21"/>
    </w:p>
    <w:p w14:paraId="01B5C294" w14:textId="046268B3" w:rsidR="00032B80" w:rsidRPr="0022305D" w:rsidRDefault="00032B80" w:rsidP="0093265D">
      <w:pPr>
        <w:pStyle w:val="ListParagraph"/>
        <w:numPr>
          <w:ilvl w:val="0"/>
          <w:numId w:val="15"/>
        </w:numPr>
        <w:spacing w:after="200" w:line="480" w:lineRule="auto"/>
        <w:rPr>
          <w:rFonts w:asciiTheme="majorHAnsi" w:hAnsiTheme="majorHAnsi" w:cstheme="majorHAnsi"/>
          <w:sz w:val="24"/>
          <w:szCs w:val="24"/>
        </w:rPr>
      </w:pPr>
      <w:r w:rsidRPr="0022305D">
        <w:rPr>
          <w:rFonts w:asciiTheme="majorHAnsi" w:hAnsiTheme="majorHAnsi" w:cstheme="majorHAnsi"/>
          <w:sz w:val="24"/>
          <w:szCs w:val="24"/>
        </w:rPr>
        <w:t xml:space="preserve">What is the level of solvency of commercial banks in Kenya in terms of </w:t>
      </w:r>
      <w:r w:rsidR="00CB2CDC">
        <w:rPr>
          <w:rFonts w:asciiTheme="majorHAnsi" w:hAnsiTheme="majorHAnsi" w:cstheme="majorHAnsi"/>
          <w:sz w:val="24"/>
          <w:szCs w:val="24"/>
        </w:rPr>
        <w:t>total debt to total assets ratio</w:t>
      </w:r>
      <w:r w:rsidR="00260EBF" w:rsidRPr="0022305D">
        <w:rPr>
          <w:rFonts w:asciiTheme="majorHAnsi" w:hAnsiTheme="majorHAnsi" w:cstheme="majorHAnsi"/>
          <w:sz w:val="24"/>
          <w:szCs w:val="24"/>
        </w:rPr>
        <w:t xml:space="preserve"> and </w:t>
      </w:r>
      <w:r w:rsidR="00BE06BC">
        <w:rPr>
          <w:rFonts w:asciiTheme="majorHAnsi" w:hAnsiTheme="majorHAnsi" w:cstheme="majorHAnsi"/>
          <w:sz w:val="24"/>
          <w:szCs w:val="24"/>
        </w:rPr>
        <w:t>total debt to equity</w:t>
      </w:r>
      <w:r w:rsidR="00260EBF" w:rsidRPr="0022305D">
        <w:rPr>
          <w:rFonts w:asciiTheme="majorHAnsi" w:hAnsiTheme="majorHAnsi" w:cstheme="majorHAnsi"/>
          <w:sz w:val="24"/>
          <w:szCs w:val="24"/>
        </w:rPr>
        <w:t xml:space="preserve"> ratio</w:t>
      </w:r>
      <w:r w:rsidRPr="0022305D">
        <w:rPr>
          <w:rFonts w:asciiTheme="majorHAnsi" w:hAnsiTheme="majorHAnsi" w:cstheme="majorHAnsi"/>
          <w:sz w:val="24"/>
          <w:szCs w:val="24"/>
        </w:rPr>
        <w:t>?</w:t>
      </w:r>
    </w:p>
    <w:p w14:paraId="6A2B55C9" w14:textId="1A8EA53D" w:rsidR="00032B80" w:rsidRPr="0022305D" w:rsidRDefault="00032B80" w:rsidP="0093265D">
      <w:pPr>
        <w:pStyle w:val="ListParagraph"/>
        <w:numPr>
          <w:ilvl w:val="0"/>
          <w:numId w:val="15"/>
        </w:numPr>
        <w:spacing w:after="200" w:line="480" w:lineRule="auto"/>
        <w:rPr>
          <w:rFonts w:asciiTheme="majorHAnsi" w:hAnsiTheme="majorHAnsi" w:cstheme="majorHAnsi"/>
          <w:sz w:val="24"/>
          <w:szCs w:val="24"/>
        </w:rPr>
      </w:pPr>
      <w:r w:rsidRPr="0022305D">
        <w:rPr>
          <w:rFonts w:asciiTheme="majorHAnsi" w:hAnsiTheme="majorHAnsi" w:cstheme="majorHAnsi"/>
          <w:sz w:val="24"/>
          <w:szCs w:val="24"/>
        </w:rPr>
        <w:t>What is the level of profitability of commercial banks in Kenya in terms of return on assets</w:t>
      </w:r>
      <w:r w:rsidR="00260EBF" w:rsidRPr="0022305D">
        <w:rPr>
          <w:rFonts w:asciiTheme="majorHAnsi" w:hAnsiTheme="majorHAnsi" w:cstheme="majorHAnsi"/>
          <w:sz w:val="24"/>
          <w:szCs w:val="24"/>
        </w:rPr>
        <w:t xml:space="preserve"> and return on equity</w:t>
      </w:r>
      <w:r w:rsidRPr="0022305D">
        <w:rPr>
          <w:rFonts w:asciiTheme="majorHAnsi" w:hAnsiTheme="majorHAnsi" w:cstheme="majorHAnsi"/>
          <w:sz w:val="24"/>
          <w:szCs w:val="24"/>
        </w:rPr>
        <w:t>?</w:t>
      </w:r>
    </w:p>
    <w:p w14:paraId="31802EA6" w14:textId="77777777" w:rsidR="00032B80" w:rsidRPr="0022305D" w:rsidRDefault="00032B80" w:rsidP="0093265D">
      <w:pPr>
        <w:pStyle w:val="ListParagraph"/>
        <w:numPr>
          <w:ilvl w:val="0"/>
          <w:numId w:val="15"/>
        </w:numPr>
        <w:spacing w:line="480" w:lineRule="auto"/>
        <w:rPr>
          <w:rFonts w:asciiTheme="majorHAnsi" w:hAnsiTheme="majorHAnsi" w:cstheme="majorHAnsi"/>
          <w:sz w:val="24"/>
          <w:szCs w:val="24"/>
        </w:rPr>
      </w:pPr>
      <w:r w:rsidRPr="0022305D">
        <w:rPr>
          <w:rFonts w:asciiTheme="majorHAnsi" w:hAnsiTheme="majorHAnsi" w:cstheme="majorHAnsi"/>
          <w:sz w:val="24"/>
          <w:szCs w:val="24"/>
        </w:rPr>
        <w:t>What is the relationship between solvency and profitability of commercial banks in Kenya?</w:t>
      </w:r>
    </w:p>
    <w:p w14:paraId="1D8A6C53" w14:textId="77777777" w:rsidR="00032B80" w:rsidRPr="0022305D" w:rsidRDefault="00032B80" w:rsidP="00032B80">
      <w:pPr>
        <w:pStyle w:val="ListParagraph"/>
        <w:spacing w:line="480" w:lineRule="auto"/>
        <w:rPr>
          <w:rFonts w:asciiTheme="majorHAnsi" w:hAnsiTheme="majorHAnsi" w:cstheme="majorHAnsi"/>
          <w:b/>
          <w:bCs/>
          <w:sz w:val="24"/>
          <w:szCs w:val="24"/>
        </w:rPr>
      </w:pPr>
    </w:p>
    <w:p w14:paraId="25BE767D" w14:textId="7D04414F" w:rsidR="0093265D" w:rsidRPr="00A96563" w:rsidRDefault="0093265D" w:rsidP="00DE2846">
      <w:pPr>
        <w:pStyle w:val="Heading2"/>
        <w:spacing w:line="480" w:lineRule="auto"/>
        <w:jc w:val="left"/>
        <w:rPr>
          <w:rFonts w:asciiTheme="majorHAnsi" w:hAnsiTheme="majorHAnsi" w:cstheme="majorHAnsi"/>
          <w:sz w:val="28"/>
          <w:szCs w:val="28"/>
        </w:rPr>
      </w:pPr>
      <w:bookmarkStart w:id="22" w:name="_Toc78205775"/>
      <w:r w:rsidRPr="00A96563">
        <w:rPr>
          <w:rFonts w:asciiTheme="majorHAnsi" w:hAnsiTheme="majorHAnsi" w:cstheme="majorHAnsi"/>
          <w:sz w:val="28"/>
          <w:szCs w:val="28"/>
        </w:rPr>
        <w:t>Hypothesis</w:t>
      </w:r>
      <w:bookmarkEnd w:id="22"/>
    </w:p>
    <w:p w14:paraId="7E48CC25" w14:textId="69F3DB73" w:rsidR="0093265D" w:rsidRPr="0022305D" w:rsidRDefault="0093265D" w:rsidP="00455AAB">
      <w:pPr>
        <w:pStyle w:val="ListParagraph"/>
        <w:numPr>
          <w:ilvl w:val="0"/>
          <w:numId w:val="13"/>
        </w:numPr>
        <w:spacing w:line="480" w:lineRule="auto"/>
        <w:rPr>
          <w:rFonts w:asciiTheme="majorHAnsi" w:hAnsiTheme="majorHAnsi" w:cstheme="majorHAnsi"/>
          <w:sz w:val="24"/>
          <w:szCs w:val="24"/>
        </w:rPr>
      </w:pPr>
      <w:r w:rsidRPr="0022305D">
        <w:rPr>
          <w:rFonts w:asciiTheme="majorHAnsi" w:hAnsiTheme="majorHAnsi" w:cstheme="majorHAnsi"/>
          <w:sz w:val="24"/>
          <w:szCs w:val="24"/>
        </w:rPr>
        <w:t xml:space="preserve">There is no significant relationship between solvency and profitability of commercial banks in Kenya. </w:t>
      </w:r>
    </w:p>
    <w:p w14:paraId="2D66104B" w14:textId="77777777" w:rsidR="00512C19" w:rsidRPr="0022305D" w:rsidRDefault="00512C19" w:rsidP="008376B5">
      <w:pPr>
        <w:spacing w:line="480" w:lineRule="auto"/>
        <w:rPr>
          <w:rFonts w:asciiTheme="majorHAnsi" w:hAnsiTheme="majorHAnsi" w:cstheme="majorHAnsi"/>
          <w:sz w:val="24"/>
          <w:szCs w:val="24"/>
        </w:rPr>
      </w:pPr>
    </w:p>
    <w:p w14:paraId="66E01205" w14:textId="77777777" w:rsidR="00220318" w:rsidRPr="00A96563" w:rsidRDefault="00220318" w:rsidP="00DE2846">
      <w:pPr>
        <w:pStyle w:val="Heading2"/>
        <w:spacing w:line="480" w:lineRule="auto"/>
        <w:jc w:val="left"/>
        <w:rPr>
          <w:rFonts w:asciiTheme="majorHAnsi" w:hAnsiTheme="majorHAnsi" w:cstheme="majorHAnsi"/>
          <w:sz w:val="28"/>
          <w:szCs w:val="28"/>
        </w:rPr>
      </w:pPr>
      <w:bookmarkStart w:id="23" w:name="_Toc76494386"/>
      <w:bookmarkStart w:id="24" w:name="_Toc78205776"/>
      <w:r w:rsidRPr="00A96563">
        <w:rPr>
          <w:rFonts w:asciiTheme="majorHAnsi" w:hAnsiTheme="majorHAnsi" w:cstheme="majorHAnsi"/>
          <w:sz w:val="28"/>
          <w:szCs w:val="28"/>
        </w:rPr>
        <w:t>Significance of the study</w:t>
      </w:r>
      <w:bookmarkEnd w:id="23"/>
      <w:bookmarkEnd w:id="24"/>
    </w:p>
    <w:p w14:paraId="3D203BA2" w14:textId="77777777" w:rsidR="00220318" w:rsidRPr="0022305D" w:rsidRDefault="00220318" w:rsidP="00220318">
      <w:pPr>
        <w:pStyle w:val="Default"/>
        <w:spacing w:line="480" w:lineRule="auto"/>
        <w:ind w:firstLine="720"/>
        <w:rPr>
          <w:rFonts w:asciiTheme="majorHAnsi" w:hAnsiTheme="majorHAnsi" w:cstheme="majorHAnsi"/>
          <w:iCs/>
          <w:color w:val="auto"/>
        </w:rPr>
      </w:pPr>
      <w:r w:rsidRPr="0022305D">
        <w:rPr>
          <w:rFonts w:asciiTheme="majorHAnsi" w:hAnsiTheme="majorHAnsi" w:cstheme="majorHAnsi"/>
          <w:iCs/>
          <w:color w:val="auto"/>
        </w:rPr>
        <w:t xml:space="preserve">The findings of this study will benefit both local and international investors and entrepreneurs in making informed decisions when it comes to trading with the commercial banks in Kenya. They will be able to tell when and where to source their finance in terms of loans for investment opportunities. Based on the results of this research, the investors and entrepreneurs will make a decision on which banks to deposit their money. </w:t>
      </w:r>
    </w:p>
    <w:p w14:paraId="189C8C52" w14:textId="0DA8C29F" w:rsidR="00220318" w:rsidRDefault="00220318" w:rsidP="00220318">
      <w:pPr>
        <w:pStyle w:val="Default"/>
        <w:spacing w:line="480" w:lineRule="auto"/>
        <w:ind w:firstLine="720"/>
        <w:rPr>
          <w:rFonts w:asciiTheme="majorHAnsi" w:eastAsia="Times New Roman" w:hAnsiTheme="majorHAnsi" w:cstheme="majorHAnsi"/>
        </w:rPr>
      </w:pPr>
      <w:r w:rsidRPr="0022305D">
        <w:rPr>
          <w:rFonts w:asciiTheme="majorHAnsi" w:hAnsiTheme="majorHAnsi" w:cstheme="majorHAnsi"/>
          <w:iCs/>
          <w:color w:val="auto"/>
        </w:rPr>
        <w:t xml:space="preserve">The results of this study will be important to future local and international scholars since it will serve as a source of reference and will contribute to the existing literature on the subject besides providing alternatives for subsequent studies. </w:t>
      </w:r>
      <w:r w:rsidRPr="0022305D">
        <w:rPr>
          <w:rFonts w:asciiTheme="majorHAnsi" w:eastAsia="Times New Roman" w:hAnsiTheme="majorHAnsi" w:cstheme="majorHAnsi"/>
        </w:rPr>
        <w:t xml:space="preserve">The results </w:t>
      </w:r>
      <w:r w:rsidRPr="0022305D">
        <w:rPr>
          <w:rFonts w:asciiTheme="majorHAnsi" w:eastAsia="Times New Roman" w:hAnsiTheme="majorHAnsi" w:cstheme="majorHAnsi"/>
        </w:rPr>
        <w:lastRenderedPageBreak/>
        <w:t xml:space="preserve">of this research shall be useful to the management of commercial banks since upon </w:t>
      </w:r>
      <w:r w:rsidRPr="0022305D">
        <w:rPr>
          <w:rFonts w:asciiTheme="majorHAnsi" w:hAnsiTheme="majorHAnsi" w:cstheme="majorHAnsi"/>
          <w:iCs/>
          <w:color w:val="auto"/>
        </w:rPr>
        <w:t>understanding the relationship between solvency and profitability</w:t>
      </w:r>
      <w:r w:rsidRPr="0022305D">
        <w:rPr>
          <w:rFonts w:asciiTheme="majorHAnsi" w:hAnsiTheme="majorHAnsi" w:cstheme="majorHAnsi"/>
          <w:iCs/>
        </w:rPr>
        <w:t xml:space="preserve">, they can </w:t>
      </w:r>
      <w:r w:rsidRPr="0022305D">
        <w:rPr>
          <w:rFonts w:asciiTheme="majorHAnsi" w:hAnsiTheme="majorHAnsi" w:cstheme="majorHAnsi"/>
          <w:iCs/>
          <w:color w:val="auto"/>
        </w:rPr>
        <w:t xml:space="preserve">establish and implement necessary measures required to stabilize the level of solvency and avoid cases of bankruptcy or even closure of banks. The bank managers will also be able </w:t>
      </w:r>
      <w:r w:rsidRPr="0022305D">
        <w:rPr>
          <w:rFonts w:asciiTheme="majorHAnsi" w:eastAsia="Times New Roman" w:hAnsiTheme="majorHAnsi" w:cstheme="majorHAnsi"/>
        </w:rPr>
        <w:t>to decide appropriate type of financing policy so as to make the reasonable profit and continue in operation.</w:t>
      </w:r>
    </w:p>
    <w:p w14:paraId="1E3EF720" w14:textId="77777777" w:rsidR="00DE2846" w:rsidRPr="0022305D" w:rsidRDefault="00DE2846" w:rsidP="00220318">
      <w:pPr>
        <w:pStyle w:val="Default"/>
        <w:spacing w:line="480" w:lineRule="auto"/>
        <w:ind w:firstLine="720"/>
        <w:rPr>
          <w:rFonts w:asciiTheme="majorHAnsi" w:hAnsiTheme="majorHAnsi" w:cstheme="majorHAnsi"/>
          <w:iCs/>
          <w:color w:val="auto"/>
        </w:rPr>
      </w:pPr>
    </w:p>
    <w:p w14:paraId="641B2738" w14:textId="412CBE64" w:rsidR="00220318" w:rsidRPr="00A96563" w:rsidRDefault="00220318" w:rsidP="00DE2846">
      <w:pPr>
        <w:pStyle w:val="Heading2"/>
        <w:spacing w:line="480" w:lineRule="auto"/>
        <w:jc w:val="left"/>
        <w:rPr>
          <w:rFonts w:asciiTheme="majorHAnsi" w:eastAsia="Times New Roman" w:hAnsiTheme="majorHAnsi" w:cstheme="majorHAnsi"/>
          <w:sz w:val="28"/>
          <w:szCs w:val="28"/>
        </w:rPr>
      </w:pPr>
      <w:bookmarkStart w:id="25" w:name="_Toc76494387"/>
      <w:bookmarkStart w:id="26" w:name="_Toc78205777"/>
      <w:r w:rsidRPr="00A96563">
        <w:rPr>
          <w:rFonts w:asciiTheme="majorHAnsi" w:eastAsia="Times New Roman" w:hAnsiTheme="majorHAnsi" w:cstheme="majorHAnsi"/>
          <w:sz w:val="28"/>
          <w:szCs w:val="28"/>
        </w:rPr>
        <w:t>Justification of the Study</w:t>
      </w:r>
      <w:bookmarkEnd w:id="25"/>
      <w:bookmarkEnd w:id="26"/>
      <w:r w:rsidRPr="00A96563">
        <w:rPr>
          <w:rFonts w:asciiTheme="majorHAnsi" w:eastAsia="Times New Roman" w:hAnsiTheme="majorHAnsi" w:cstheme="majorHAnsi"/>
          <w:sz w:val="28"/>
          <w:szCs w:val="28"/>
        </w:rPr>
        <w:t xml:space="preserve"> </w:t>
      </w:r>
    </w:p>
    <w:p w14:paraId="00BC7CE5" w14:textId="5F1EAAE7" w:rsidR="00220318" w:rsidRPr="0022305D" w:rsidRDefault="00220318" w:rsidP="00220318">
      <w:pPr>
        <w:spacing w:after="0" w:line="480" w:lineRule="auto"/>
        <w:ind w:firstLine="720"/>
        <w:rPr>
          <w:rFonts w:asciiTheme="majorHAnsi" w:eastAsia="Times New Roman" w:hAnsiTheme="majorHAnsi" w:cstheme="majorHAnsi"/>
          <w:sz w:val="24"/>
          <w:szCs w:val="24"/>
        </w:rPr>
      </w:pPr>
      <w:r w:rsidRPr="0022305D">
        <w:rPr>
          <w:rFonts w:asciiTheme="majorHAnsi" w:eastAsia="Times New Roman" w:hAnsiTheme="majorHAnsi" w:cstheme="majorHAnsi"/>
          <w:sz w:val="24"/>
          <w:szCs w:val="24"/>
        </w:rPr>
        <w:t xml:space="preserve">Banking sector in Kenya accounts for up to 10% of Gross Domestic Product </w:t>
      </w:r>
      <w:r w:rsidRPr="0022305D">
        <w:rPr>
          <w:rFonts w:asciiTheme="majorHAnsi" w:eastAsia="Times New Roman" w:hAnsiTheme="majorHAnsi" w:cstheme="majorHAnsi"/>
          <w:sz w:val="24"/>
          <w:szCs w:val="24"/>
        </w:rPr>
        <w:fldChar w:fldCharType="begin" w:fldLock="1"/>
      </w:r>
      <w:r w:rsidRPr="0022305D">
        <w:rPr>
          <w:rFonts w:asciiTheme="majorHAnsi" w:eastAsia="Times New Roman" w:hAnsiTheme="majorHAnsi" w:cstheme="majorHAnsi"/>
          <w:sz w:val="24"/>
          <w:szCs w:val="24"/>
        </w:rPr>
        <w:instrText>ADDIN CSL_CITATION {"citationItems":[{"id":"ITEM-1","itemData":{"author":[{"dropping-particle":"","family":"Ndung'u","given":"Njuguna","non-dropping-particle":"","parse-names":false,"suffix":""}],"id":"ITEM-1","issue":"November","issued":{"date-parts":[["2014"]]},"number-of-pages":"1-4","title":"Financial sector contributions towards vision 2030 goals","type":"report"},"uris":["http://www.mendeley.com/documents/?uuid=7664f565-845b-4460-a31b-b855dc6a5af7"]}],"mendeley":{"formattedCitation":"(Ndung’u, 2014)","plainTextFormattedCitation":"(Ndung’u, 2014)","previouslyFormattedCitation":"(Ndung’u, 2014)"},"properties":{"noteIndex":0},"schema":"https://github.com/citation-style-language/schema/raw/master/csl-citation.json"}</w:instrText>
      </w:r>
      <w:r w:rsidRPr="0022305D">
        <w:rPr>
          <w:rFonts w:asciiTheme="majorHAnsi" w:eastAsia="Times New Roman" w:hAnsiTheme="majorHAnsi" w:cstheme="majorHAnsi"/>
          <w:sz w:val="24"/>
          <w:szCs w:val="24"/>
        </w:rPr>
        <w:fldChar w:fldCharType="separate"/>
      </w:r>
      <w:r w:rsidRPr="0022305D">
        <w:rPr>
          <w:rFonts w:asciiTheme="majorHAnsi" w:eastAsia="Times New Roman" w:hAnsiTheme="majorHAnsi" w:cstheme="majorHAnsi"/>
          <w:noProof/>
          <w:sz w:val="24"/>
          <w:szCs w:val="24"/>
        </w:rPr>
        <w:t>(Ndung’u, 2014)</w:t>
      </w:r>
      <w:r w:rsidRPr="0022305D">
        <w:rPr>
          <w:rFonts w:asciiTheme="majorHAnsi" w:eastAsia="Times New Roman" w:hAnsiTheme="majorHAnsi" w:cstheme="majorHAnsi"/>
          <w:sz w:val="24"/>
          <w:szCs w:val="24"/>
        </w:rPr>
        <w:fldChar w:fldCharType="end"/>
      </w:r>
      <w:r w:rsidRPr="0022305D">
        <w:rPr>
          <w:rFonts w:asciiTheme="majorHAnsi" w:eastAsia="Times New Roman" w:hAnsiTheme="majorHAnsi" w:cstheme="majorHAnsi"/>
          <w:sz w:val="24"/>
          <w:szCs w:val="24"/>
        </w:rPr>
        <w:t xml:space="preserve">. </w:t>
      </w:r>
      <w:bookmarkStart w:id="27" w:name="_Hlk56369844"/>
      <w:r w:rsidRPr="0022305D">
        <w:rPr>
          <w:rFonts w:asciiTheme="majorHAnsi" w:eastAsia="Times New Roman" w:hAnsiTheme="majorHAnsi" w:cstheme="majorHAnsi"/>
          <w:sz w:val="24"/>
          <w:szCs w:val="24"/>
        </w:rPr>
        <w:t>This means that it is one of the key drivers of Kenyan economic growth</w:t>
      </w:r>
      <w:bookmarkEnd w:id="27"/>
      <w:r w:rsidRPr="0022305D">
        <w:rPr>
          <w:rFonts w:asciiTheme="majorHAnsi" w:eastAsia="Times New Roman" w:hAnsiTheme="majorHAnsi" w:cstheme="majorHAnsi"/>
          <w:sz w:val="24"/>
          <w:szCs w:val="24"/>
        </w:rPr>
        <w:t xml:space="preserve">. Literature show that key indicators of profitability are return on assets and return on equity; while </w:t>
      </w:r>
      <w:r w:rsidR="00CB2CDC">
        <w:rPr>
          <w:rFonts w:asciiTheme="majorHAnsi" w:eastAsia="Times New Roman" w:hAnsiTheme="majorHAnsi" w:cstheme="majorHAnsi"/>
          <w:sz w:val="24"/>
          <w:szCs w:val="24"/>
        </w:rPr>
        <w:t>total debt to total assets ratio</w:t>
      </w:r>
      <w:r w:rsidRPr="0022305D">
        <w:rPr>
          <w:rFonts w:asciiTheme="majorHAnsi" w:eastAsia="Times New Roman" w:hAnsiTheme="majorHAnsi" w:cstheme="majorHAnsi"/>
          <w:sz w:val="24"/>
          <w:szCs w:val="24"/>
        </w:rPr>
        <w:t xml:space="preserve"> and </w:t>
      </w:r>
      <w:r w:rsidR="00BE06BC">
        <w:rPr>
          <w:rFonts w:asciiTheme="majorHAnsi" w:eastAsia="Times New Roman" w:hAnsiTheme="majorHAnsi" w:cstheme="majorHAnsi"/>
          <w:sz w:val="24"/>
          <w:szCs w:val="24"/>
        </w:rPr>
        <w:t>total debt to equity</w:t>
      </w:r>
      <w:r w:rsidRPr="0022305D">
        <w:rPr>
          <w:rFonts w:asciiTheme="majorHAnsi" w:eastAsia="Times New Roman" w:hAnsiTheme="majorHAnsi" w:cstheme="majorHAnsi"/>
          <w:sz w:val="24"/>
          <w:szCs w:val="24"/>
        </w:rPr>
        <w:t xml:space="preserve"> ratio are the key indicators of solvency </w:t>
      </w:r>
      <w:r w:rsidRPr="0022305D">
        <w:rPr>
          <w:rFonts w:asciiTheme="majorHAnsi" w:eastAsia="Times New Roman" w:hAnsiTheme="majorHAnsi" w:cstheme="majorHAnsi"/>
          <w:sz w:val="24"/>
          <w:szCs w:val="24"/>
        </w:rPr>
        <w:fldChar w:fldCharType="begin" w:fldLock="1"/>
      </w:r>
      <w:r w:rsidR="0002347B">
        <w:rPr>
          <w:rFonts w:asciiTheme="majorHAnsi" w:eastAsia="Times New Roman" w:hAnsiTheme="majorHAnsi" w:cstheme="majorHAnsi"/>
          <w:sz w:val="24"/>
          <w:szCs w:val="24"/>
        </w:rPr>
        <w:instrText>ADDIN CSL_CITATION {"citationItems":[{"id":"ITEM-1","itemData":{"author":[{"dropping-particle":"","family":"Muthoni","given":"Mburu Ruth","non-dropping-particle":"","parse-names":false,"suffix":""}],"container-title":"Journal of Asian Finance, Economics and Business","id":"ITEM-1","issue":"October","issued":{"date-parts":[["2013"]]},"page":"1-62","title":"The effect of liquidity and solvency on the profitability of commercial banks in Kenya","type":"article-journal"},"uris":["http://www.mendeley.com/documents/?uuid=44d5acc2-c2a6-4bc7-9abc-d398a680607e"]}],"mendeley":{"formattedCitation":"(Muthoni, 2013)","plainTextFormattedCitation":"(Muthoni, 2013)","previouslyFormattedCitation":"(Muthoni, 2013)"},"properties":{"noteIndex":0},"schema":"https://github.com/citation-style-language/schema/raw/master/csl-citation.json"}</w:instrText>
      </w:r>
      <w:r w:rsidRPr="0022305D">
        <w:rPr>
          <w:rFonts w:asciiTheme="majorHAnsi" w:eastAsia="Times New Roman" w:hAnsiTheme="majorHAnsi" w:cstheme="majorHAnsi"/>
          <w:sz w:val="24"/>
          <w:szCs w:val="24"/>
        </w:rPr>
        <w:fldChar w:fldCharType="separate"/>
      </w:r>
      <w:r w:rsidRPr="0022305D">
        <w:rPr>
          <w:rFonts w:asciiTheme="majorHAnsi" w:eastAsia="Times New Roman" w:hAnsiTheme="majorHAnsi" w:cstheme="majorHAnsi"/>
          <w:noProof/>
          <w:sz w:val="24"/>
          <w:szCs w:val="24"/>
        </w:rPr>
        <w:t>(Muthoni, 2013)</w:t>
      </w:r>
      <w:r w:rsidRPr="0022305D">
        <w:rPr>
          <w:rFonts w:asciiTheme="majorHAnsi" w:eastAsia="Times New Roman" w:hAnsiTheme="majorHAnsi" w:cstheme="majorHAnsi"/>
          <w:sz w:val="24"/>
          <w:szCs w:val="24"/>
        </w:rPr>
        <w:fldChar w:fldCharType="end"/>
      </w:r>
      <w:r w:rsidRPr="0022305D">
        <w:rPr>
          <w:rFonts w:asciiTheme="majorHAnsi" w:eastAsia="Times New Roman" w:hAnsiTheme="majorHAnsi" w:cstheme="majorHAnsi"/>
          <w:sz w:val="24"/>
          <w:szCs w:val="24"/>
        </w:rPr>
        <w:t>. It is therefore important that this study be undertaken to re-examine the relationship between solvency and profitability of commercial banks in Kenya.</w:t>
      </w:r>
    </w:p>
    <w:p w14:paraId="5A0FFFBB" w14:textId="709B444A" w:rsidR="00220318" w:rsidRDefault="00E212C0" w:rsidP="00220318">
      <w:pPr>
        <w:spacing w:after="0" w:line="480" w:lineRule="auto"/>
        <w:ind w:firstLine="720"/>
        <w:rPr>
          <w:rFonts w:asciiTheme="majorHAnsi" w:eastAsia="Times New Roman" w:hAnsiTheme="majorHAnsi" w:cstheme="majorHAnsi"/>
          <w:sz w:val="24"/>
          <w:szCs w:val="24"/>
        </w:rPr>
      </w:pPr>
      <w:r>
        <w:rPr>
          <w:rFonts w:asciiTheme="majorHAnsi" w:eastAsia="Times New Roman" w:hAnsiTheme="majorHAnsi" w:cstheme="majorHAnsi"/>
          <w:sz w:val="24"/>
          <w:szCs w:val="24"/>
        </w:rPr>
        <w:t>Empirical literature</w:t>
      </w:r>
      <w:r w:rsidR="00220318" w:rsidRPr="0022305D">
        <w:rPr>
          <w:rFonts w:asciiTheme="majorHAnsi" w:eastAsia="Times New Roman" w:hAnsiTheme="majorHAnsi" w:cstheme="majorHAnsi"/>
          <w:sz w:val="24"/>
          <w:szCs w:val="24"/>
        </w:rPr>
        <w:t xml:space="preserve"> show that solvency has negative relationship with profitability in Indonesian consumer sector </w:t>
      </w:r>
      <w:r w:rsidR="00220318" w:rsidRPr="0022305D">
        <w:rPr>
          <w:rFonts w:asciiTheme="majorHAnsi" w:eastAsia="Times New Roman" w:hAnsiTheme="majorHAnsi" w:cstheme="majorHAnsi"/>
          <w:sz w:val="24"/>
          <w:szCs w:val="24"/>
        </w:rPr>
        <w:fldChar w:fldCharType="begin" w:fldLock="1"/>
      </w:r>
      <w:r w:rsidR="00220318" w:rsidRPr="0022305D">
        <w:rPr>
          <w:rFonts w:asciiTheme="majorHAnsi" w:eastAsia="Times New Roman" w:hAnsiTheme="majorHAnsi" w:cstheme="majorHAnsi"/>
          <w:sz w:val="24"/>
          <w:szCs w:val="24"/>
        </w:rPr>
        <w:instrText>ADDIN CSL_CITATION {"citationItems":[{"id":"ITEM-1","itemData":{"author":[{"dropping-particle":"","family":"Winarso","given":"Eddy","non-dropping-particle":"","parse-names":false,"suffix":""}],"container-title":"Journal of Emerging Issues in Economics, Finance and Banking","id":"ITEM-1","issue":"1","issued":{"date-parts":[["2019"]]},"page":"2773-2781","title":"Liquidity , solvency and profitability : An analysis of consumer sector companies listed on Indonesian stock exchange","type":"article-journal","volume":"8"},"uris":["http://www.mendeley.com/documents/?uuid=fcc7cae7-85da-4527-b8fe-ccc62d3e3050"]}],"mendeley":{"formattedCitation":"(Winarso, 2019)","plainTextFormattedCitation":"(Winarso, 2019)","previouslyFormattedCitation":"(Winarso, 2019)"},"properties":{"noteIndex":0},"schema":"https://github.com/citation-style-language/schema/raw/master/csl-citation.json"}</w:instrText>
      </w:r>
      <w:r w:rsidR="00220318" w:rsidRPr="0022305D">
        <w:rPr>
          <w:rFonts w:asciiTheme="majorHAnsi" w:eastAsia="Times New Roman" w:hAnsiTheme="majorHAnsi" w:cstheme="majorHAnsi"/>
          <w:sz w:val="24"/>
          <w:szCs w:val="24"/>
        </w:rPr>
        <w:fldChar w:fldCharType="separate"/>
      </w:r>
      <w:r w:rsidR="00220318" w:rsidRPr="0022305D">
        <w:rPr>
          <w:rFonts w:asciiTheme="majorHAnsi" w:eastAsia="Times New Roman" w:hAnsiTheme="majorHAnsi" w:cstheme="majorHAnsi"/>
          <w:noProof/>
          <w:sz w:val="24"/>
          <w:szCs w:val="24"/>
        </w:rPr>
        <w:t>(Winarso, 2019)</w:t>
      </w:r>
      <w:r w:rsidR="00220318" w:rsidRPr="0022305D">
        <w:rPr>
          <w:rFonts w:asciiTheme="majorHAnsi" w:eastAsia="Times New Roman" w:hAnsiTheme="majorHAnsi" w:cstheme="majorHAnsi"/>
          <w:sz w:val="24"/>
          <w:szCs w:val="24"/>
        </w:rPr>
        <w:fldChar w:fldCharType="end"/>
      </w:r>
      <w:r w:rsidR="00220318" w:rsidRPr="0022305D">
        <w:rPr>
          <w:rFonts w:asciiTheme="majorHAnsi" w:eastAsia="Times New Roman" w:hAnsiTheme="majorHAnsi" w:cstheme="majorHAnsi"/>
          <w:sz w:val="24"/>
          <w:szCs w:val="24"/>
        </w:rPr>
        <w:t xml:space="preserve">, cement sector of Pakistan </w:t>
      </w:r>
      <w:r w:rsidR="00220318" w:rsidRPr="0022305D">
        <w:rPr>
          <w:rFonts w:asciiTheme="majorHAnsi" w:eastAsia="Times New Roman" w:hAnsiTheme="majorHAnsi" w:cstheme="majorHAnsi"/>
          <w:sz w:val="24"/>
          <w:szCs w:val="24"/>
        </w:rPr>
        <w:fldChar w:fldCharType="begin" w:fldLock="1"/>
      </w:r>
      <w:r w:rsidR="00220318" w:rsidRPr="0022305D">
        <w:rPr>
          <w:rFonts w:asciiTheme="majorHAnsi" w:eastAsia="Times New Roman" w:hAnsiTheme="majorHAnsi" w:cstheme="majorHAnsi"/>
          <w:sz w:val="24"/>
          <w:szCs w:val="24"/>
        </w:rPr>
        <w:instrText>ADDIN CSL_CITATION {"citationItems":[{"id":"ITEM-1","itemData":{"abstract":"This research is an attempt to establish a stochastic relationship between Financial leverage and Profitability of cement sector operating in Pakistan. For this purpose 18 cement manufacturers out of 21 are incorporated in the study and six years annual data from 2005 to 2010 regarding financial leverage and profitability of the said firms were taken into consideration. The sample size for eighteen firms for six years consists of 108 observations. An Ordinary Least Square model is applied on the data to establish a causal relationship between the variables. The study finds that financial leverage has a statistically significant inverse impact on profitability at 99% confidence interval.","author":[{"dropping-particle":"","family":"Ahmad","given":"Nawaz","non-dropping-particle":"","parse-names":false,"suffix":""},{"dropping-particle":"","family":"Salman","given":"Atif","non-dropping-particle":"","parse-names":false,"suffix":""},{"dropping-particle":"","family":"Shamsi","given":"Aamir Firoz","non-dropping-particle":"","parse-names":false,"suffix":""}],"container-title":"Research Journal Of Finance And Accounting","id":"ITEM-1","issue":"7","issued":{"date-parts":[["2015"]]},"page":"75-81","title":"Impact of financial leverage on firms ’ profitability : An investigation from cement sector of Pakistan","type":"article-journal","volume":"6"},"uris":["http://www.mendeley.com/documents/?uuid=63bf130c-0b6c-42e4-8983-915876374276"]}],"mendeley":{"formattedCitation":"(Ahmad, Salman, &amp; Shamsi, 2015)","plainTextFormattedCitation":"(Ahmad, Salman, &amp; Shamsi, 2015)","previouslyFormattedCitation":"(Ahmad, Salman, &amp; Shamsi, 2015)"},"properties":{"noteIndex":0},"schema":"https://github.com/citation-style-language/schema/raw/master/csl-citation.json"}</w:instrText>
      </w:r>
      <w:r w:rsidR="00220318" w:rsidRPr="0022305D">
        <w:rPr>
          <w:rFonts w:asciiTheme="majorHAnsi" w:eastAsia="Times New Roman" w:hAnsiTheme="majorHAnsi" w:cstheme="majorHAnsi"/>
          <w:sz w:val="24"/>
          <w:szCs w:val="24"/>
        </w:rPr>
        <w:fldChar w:fldCharType="separate"/>
      </w:r>
      <w:r w:rsidR="00220318" w:rsidRPr="0022305D">
        <w:rPr>
          <w:rFonts w:asciiTheme="majorHAnsi" w:eastAsia="Times New Roman" w:hAnsiTheme="majorHAnsi" w:cstheme="majorHAnsi"/>
          <w:noProof/>
          <w:sz w:val="24"/>
          <w:szCs w:val="24"/>
        </w:rPr>
        <w:t>(Ahmad, Salman, &amp; Shamsi, 2015)</w:t>
      </w:r>
      <w:r w:rsidR="00220318" w:rsidRPr="0022305D">
        <w:rPr>
          <w:rFonts w:asciiTheme="majorHAnsi" w:eastAsia="Times New Roman" w:hAnsiTheme="majorHAnsi" w:cstheme="majorHAnsi"/>
          <w:sz w:val="24"/>
          <w:szCs w:val="24"/>
        </w:rPr>
        <w:fldChar w:fldCharType="end"/>
      </w:r>
      <w:r w:rsidR="00220318" w:rsidRPr="0022305D">
        <w:rPr>
          <w:rFonts w:asciiTheme="majorHAnsi" w:eastAsia="Times New Roman" w:hAnsiTheme="majorHAnsi" w:cstheme="majorHAnsi"/>
          <w:sz w:val="24"/>
          <w:szCs w:val="24"/>
        </w:rPr>
        <w:t xml:space="preserve"> and steel industry in India </w:t>
      </w:r>
      <w:r w:rsidR="00220318" w:rsidRPr="0022305D">
        <w:rPr>
          <w:rFonts w:asciiTheme="majorHAnsi" w:eastAsia="Times New Roman" w:hAnsiTheme="majorHAnsi" w:cstheme="majorHAnsi"/>
          <w:sz w:val="24"/>
          <w:szCs w:val="24"/>
        </w:rPr>
        <w:fldChar w:fldCharType="begin" w:fldLock="1"/>
      </w:r>
      <w:r w:rsidR="00220318" w:rsidRPr="0022305D">
        <w:rPr>
          <w:rFonts w:asciiTheme="majorHAnsi" w:eastAsia="Times New Roman" w:hAnsiTheme="majorHAnsi" w:cstheme="majorHAnsi"/>
          <w:sz w:val="24"/>
          <w:szCs w:val="24"/>
        </w:rPr>
        <w:instrText>ADDIN CSL_CITATION {"citationItems":[{"id":"ITEM-1","itemData":{"author":[{"dropping-particle":"","family":"Mazumder","given":"Deepanjali","non-dropping-particle":"","parse-names":false,"suffix":""}],"container-title":"International Conference on Paradigm Shift in Taxation","id":"ITEM-1","issued":{"date-parts":[["2017"]]},"page":"6-11","title":"The impact of capital structure on profitability of listed Indian infrastructure companies","type":"paper-conference"},"uris":["http://www.mendeley.com/documents/?uuid=34c8228a-c3f3-4447-8402-353a98445fba"]}],"mendeley":{"formattedCitation":"(Mazumder, 2017)","plainTextFormattedCitation":"(Mazumder, 2017)","previouslyFormattedCitation":"(Mazumder, 2017)"},"properties":{"noteIndex":0},"schema":"https://github.com/citation-style-language/schema/raw/master/csl-citation.json"}</w:instrText>
      </w:r>
      <w:r w:rsidR="00220318" w:rsidRPr="0022305D">
        <w:rPr>
          <w:rFonts w:asciiTheme="majorHAnsi" w:eastAsia="Times New Roman" w:hAnsiTheme="majorHAnsi" w:cstheme="majorHAnsi"/>
          <w:sz w:val="24"/>
          <w:szCs w:val="24"/>
        </w:rPr>
        <w:fldChar w:fldCharType="separate"/>
      </w:r>
      <w:r w:rsidR="00220318" w:rsidRPr="0022305D">
        <w:rPr>
          <w:rFonts w:asciiTheme="majorHAnsi" w:eastAsia="Times New Roman" w:hAnsiTheme="majorHAnsi" w:cstheme="majorHAnsi"/>
          <w:noProof/>
          <w:sz w:val="24"/>
          <w:szCs w:val="24"/>
        </w:rPr>
        <w:t>(Mazumder, 2017)</w:t>
      </w:r>
      <w:r w:rsidR="00220318" w:rsidRPr="0022305D">
        <w:rPr>
          <w:rFonts w:asciiTheme="majorHAnsi" w:eastAsia="Times New Roman" w:hAnsiTheme="majorHAnsi" w:cstheme="majorHAnsi"/>
          <w:sz w:val="24"/>
          <w:szCs w:val="24"/>
        </w:rPr>
        <w:fldChar w:fldCharType="end"/>
      </w:r>
      <w:r w:rsidR="00220318" w:rsidRPr="0022305D">
        <w:rPr>
          <w:rFonts w:asciiTheme="majorHAnsi" w:eastAsia="Times New Roman" w:hAnsiTheme="majorHAnsi" w:cstheme="majorHAnsi"/>
          <w:sz w:val="24"/>
          <w:szCs w:val="24"/>
        </w:rPr>
        <w:t>. On the other hand, empirical evidence indicates that there is positive relationship between solvency and profitability</w:t>
      </w:r>
      <w:r w:rsidR="00220318" w:rsidRPr="0022305D">
        <w:rPr>
          <w:rFonts w:asciiTheme="majorHAnsi" w:hAnsiTheme="majorHAnsi" w:cstheme="majorHAnsi"/>
          <w:sz w:val="24"/>
          <w:szCs w:val="24"/>
        </w:rPr>
        <w:t xml:space="preserve"> of all sectors in Jordan</w:t>
      </w:r>
      <w:r w:rsidR="00220318" w:rsidRPr="0022305D">
        <w:rPr>
          <w:rFonts w:asciiTheme="majorHAnsi" w:eastAsia="Times New Roman" w:hAnsiTheme="majorHAnsi" w:cstheme="majorHAnsi"/>
          <w:sz w:val="24"/>
          <w:szCs w:val="24"/>
        </w:rPr>
        <w:t xml:space="preserve"> </w:t>
      </w:r>
      <w:r w:rsidR="00220318" w:rsidRPr="0022305D">
        <w:rPr>
          <w:rFonts w:asciiTheme="majorHAnsi" w:eastAsia="Times New Roman" w:hAnsiTheme="majorHAnsi" w:cstheme="majorHAnsi"/>
          <w:sz w:val="24"/>
          <w:szCs w:val="24"/>
        </w:rPr>
        <w:fldChar w:fldCharType="begin" w:fldLock="1"/>
      </w:r>
      <w:r w:rsidR="00220318" w:rsidRPr="0022305D">
        <w:rPr>
          <w:rFonts w:asciiTheme="majorHAnsi" w:eastAsia="Times New Roman" w:hAnsiTheme="majorHAnsi" w:cstheme="majorHAnsi"/>
          <w:sz w:val="24"/>
          <w:szCs w:val="24"/>
        </w:rPr>
        <w:instrText>ADDIN CSL_CITATION {"citationItems":[{"id":"ITEM-1","itemData":{"abstract":"This study aims to examine the effect of profitability ration on market capitalization in the Jordanian insurance companies listed in Amman stock exchange (ASE) by examining time series data collected over a period of four years from (2010 – 2013) which included 25 companies and utilizing content analysis to extract the data from the company's annual reports. The finding indicated that there's an effect of Return on Investment (ROI) upon market capitalization for the companies operating in the insurance sector listed in the ASE. In terms of the effect of Return on Equity (ROE) on market capitalization, the study revealed that ROE does not affect the market capitalization for the companies operating in the insurance sector listed in ASE. In respect of the effect of Return on Asset (ROA) on market capitalization, the result indicated that there is an effect of ROA on Market Capitalization for the companies operating in the insurance sector listed in ASE. Additionally, by examining the effect of the independent variables (ROA, ROI, and ROE) combined in the market capitalization variable, the study revealed that all of ROA, ROI, ROE combined effects on the market capitalization and thus the main hypothesis was accepted and requires that there is an effect of profitability measured by (ROA, ROI, ROE) on market capitalization for the companies operating in the insurance listed in (ASE). Finally, the study contributes by utilizing a content analysis for a time series data in order to track the relation between financial performance indicators and market capitalization in an emerging economy such as Jordan, specifically Jordanian insurance sector. 1. Introduction Financial Analysis defined as the process of assessing the financial position of a company by analyzing its stability, viability and profitability. One of the primary objectives of financial analysis is to recognize changes in financial trends, to help measure the progress made by an enterprise and identify a relationship to draw a logical conclusion on the performance of the company, (Sultan, 2014). Profitability or financial performance could be defined as a measurement of the results of a firm's polices and operations in monetary terms. In order to evaluate the company's inclusive financial situation, accounting out provides two main statements, the income statement and the financial position statement which are significant recourses, as the income statement captures the company's operating performa…","author":[{"dropping-particle":"","family":"Al-Nimer","given":"Munther","non-dropping-particle":"","parse-names":false,"suffix":""},{"dropping-particle":"","family":"Al-sliha","given":"Nimer","non-dropping-particle":"","parse-names":false,"suffix":""}],"container-title":"Journal of Economics and Sustainable Development","id":"ITEM-1","issue":"6","issued":{"date-parts":[["2015"]]},"page":"140-147","title":"The effect of profitability ratios on market capitalization in Jordanian insurance companies listed in Amman stock exchange","type":"article-journal","volume":"6"},"uris":["http://www.mendeley.com/documents/?uuid=ad889b79-0f02-4d18-b374-33587ead8a59"]}],"mendeley":{"formattedCitation":"(Al-Nimer &amp; Al-sliha, 2015)","plainTextFormattedCitation":"(Al-Nimer &amp; Al-sliha, 2015)","previouslyFormattedCitation":"(Al-Nimer &amp; Al-sliha, 2015)"},"properties":{"noteIndex":0},"schema":"https://github.com/citation-style-language/schema/raw/master/csl-citation.json"}</w:instrText>
      </w:r>
      <w:r w:rsidR="00220318" w:rsidRPr="0022305D">
        <w:rPr>
          <w:rFonts w:asciiTheme="majorHAnsi" w:eastAsia="Times New Roman" w:hAnsiTheme="majorHAnsi" w:cstheme="majorHAnsi"/>
          <w:sz w:val="24"/>
          <w:szCs w:val="24"/>
        </w:rPr>
        <w:fldChar w:fldCharType="separate"/>
      </w:r>
      <w:r w:rsidR="00220318" w:rsidRPr="0022305D">
        <w:rPr>
          <w:rFonts w:asciiTheme="majorHAnsi" w:eastAsia="Times New Roman" w:hAnsiTheme="majorHAnsi" w:cstheme="majorHAnsi"/>
          <w:noProof/>
          <w:sz w:val="24"/>
          <w:szCs w:val="24"/>
        </w:rPr>
        <w:t>(Al-Nimer &amp; Al-sliha, 2015)</w:t>
      </w:r>
      <w:r w:rsidR="00220318" w:rsidRPr="0022305D">
        <w:rPr>
          <w:rFonts w:asciiTheme="majorHAnsi" w:eastAsia="Times New Roman" w:hAnsiTheme="majorHAnsi" w:cstheme="majorHAnsi"/>
          <w:sz w:val="24"/>
          <w:szCs w:val="24"/>
        </w:rPr>
        <w:fldChar w:fldCharType="end"/>
      </w:r>
      <w:r w:rsidR="00220318" w:rsidRPr="0022305D">
        <w:rPr>
          <w:rFonts w:asciiTheme="majorHAnsi" w:eastAsia="Times New Roman" w:hAnsiTheme="majorHAnsi" w:cstheme="majorHAnsi"/>
          <w:sz w:val="24"/>
          <w:szCs w:val="24"/>
        </w:rPr>
        <w:t xml:space="preserve"> and sugar industry of Pakistan </w:t>
      </w:r>
      <w:r w:rsidR="00220318" w:rsidRPr="0022305D">
        <w:rPr>
          <w:rFonts w:asciiTheme="majorHAnsi" w:eastAsia="Times New Roman" w:hAnsiTheme="majorHAnsi" w:cstheme="majorHAnsi"/>
          <w:sz w:val="24"/>
          <w:szCs w:val="24"/>
        </w:rPr>
        <w:fldChar w:fldCharType="begin" w:fldLock="1"/>
      </w:r>
      <w:r w:rsidR="00220318" w:rsidRPr="0022305D">
        <w:rPr>
          <w:rFonts w:asciiTheme="majorHAnsi" w:eastAsia="Times New Roman" w:hAnsiTheme="majorHAnsi" w:cstheme="majorHAnsi"/>
          <w:sz w:val="24"/>
          <w:szCs w:val="24"/>
        </w:rPr>
        <w:instrText>ADDIN CSL_CITATION {"citationItems":[{"id":"ITEM-1","itemData":{"abstract":"Sugar Industry is the 2nd most main industry of Pakistan after cotton. Pakistan is rich in the production of sugar, most of the production of sugar is consumed by the locals and surplus is exported. It is general concept that financial leverage and financial performance has positive relationship. The objective of the current study is to investigate the influence of financial leverage on financial and to investigate whether financial leverage has an effect on financial performance by taking evidence from listed sugar companies of Pakistan. The results of the study show the mix results. The results show the positive relationship of debt equity ratio with return on asset and sales growth, and negative relationship of debt equity ratio with earning per share, net profit margin and return on equity.","author":[{"dropping-particle":"","family":"Rehman","given":"Ur","non-dropping-particle":"","parse-names":false,"suffix":""}],"container-title":"Global Journal of Management and Business Reserach Finance","id":"ITEM-1","issue":"8","issued":{"date-parts":[["2013"]]},"page":"33-40","title":"Relationship between financial leverage and financial performance: Empirical evidence of listed sugar companies of Pakistan","type":"article-journal","volume":"13"},"uris":["http://www.mendeley.com/documents/?uuid=2f7f61f3-f76a-4a5f-b2d1-ea879f3641d2"]}],"mendeley":{"formattedCitation":"(U. Rehman, 2013)","manualFormatting":"(Rehman, 2013)","plainTextFormattedCitation":"(U. Rehman, 2013)","previouslyFormattedCitation":"(U. Rehman, 2013)"},"properties":{"noteIndex":0},"schema":"https://github.com/citation-style-language/schema/raw/master/csl-citation.json"}</w:instrText>
      </w:r>
      <w:r w:rsidR="00220318" w:rsidRPr="0022305D">
        <w:rPr>
          <w:rFonts w:asciiTheme="majorHAnsi" w:eastAsia="Times New Roman" w:hAnsiTheme="majorHAnsi" w:cstheme="majorHAnsi"/>
          <w:sz w:val="24"/>
          <w:szCs w:val="24"/>
        </w:rPr>
        <w:fldChar w:fldCharType="separate"/>
      </w:r>
      <w:r w:rsidR="00220318" w:rsidRPr="0022305D">
        <w:rPr>
          <w:rFonts w:asciiTheme="majorHAnsi" w:eastAsia="Times New Roman" w:hAnsiTheme="majorHAnsi" w:cstheme="majorHAnsi"/>
          <w:noProof/>
          <w:sz w:val="24"/>
          <w:szCs w:val="24"/>
        </w:rPr>
        <w:t>(Rehman, 2013)</w:t>
      </w:r>
      <w:r w:rsidR="00220318" w:rsidRPr="0022305D">
        <w:rPr>
          <w:rFonts w:asciiTheme="majorHAnsi" w:eastAsia="Times New Roman" w:hAnsiTheme="majorHAnsi" w:cstheme="majorHAnsi"/>
          <w:sz w:val="24"/>
          <w:szCs w:val="24"/>
        </w:rPr>
        <w:fldChar w:fldCharType="end"/>
      </w:r>
      <w:r w:rsidR="00220318" w:rsidRPr="0022305D">
        <w:rPr>
          <w:rFonts w:asciiTheme="majorHAnsi" w:eastAsia="Times New Roman" w:hAnsiTheme="majorHAnsi" w:cstheme="majorHAnsi"/>
          <w:sz w:val="24"/>
          <w:szCs w:val="24"/>
        </w:rPr>
        <w:t xml:space="preserve">. Therefore, it is evident that the above studies were conducted in Indonesia, Pakistan, India and Jordan. It is also evident that the studies were conducted in consumer, cement, sugar and steel industries. The current study was </w:t>
      </w:r>
      <w:r w:rsidR="00220318" w:rsidRPr="0022305D">
        <w:rPr>
          <w:rFonts w:asciiTheme="majorHAnsi" w:eastAsia="Times New Roman" w:hAnsiTheme="majorHAnsi" w:cstheme="majorHAnsi"/>
          <w:sz w:val="24"/>
          <w:szCs w:val="24"/>
        </w:rPr>
        <w:lastRenderedPageBreak/>
        <w:t>conducted among commercial banks in Kenya.</w:t>
      </w:r>
      <w:r w:rsidR="009612D1">
        <w:rPr>
          <w:rFonts w:asciiTheme="majorHAnsi" w:eastAsia="Times New Roman" w:hAnsiTheme="majorHAnsi" w:cstheme="majorHAnsi"/>
          <w:sz w:val="24"/>
          <w:szCs w:val="24"/>
        </w:rPr>
        <w:t xml:space="preserve"> </w:t>
      </w:r>
      <w:r w:rsidR="00ED73CD">
        <w:rPr>
          <w:rFonts w:asciiTheme="majorHAnsi" w:eastAsia="Times New Roman" w:hAnsiTheme="majorHAnsi" w:cstheme="majorHAnsi"/>
          <w:sz w:val="24"/>
          <w:szCs w:val="24"/>
        </w:rPr>
        <w:t>Existing theories gives different suggestions on the relationship between solvency and profitability. Pecking order theory suggests that there is posi</w:t>
      </w:r>
      <w:r w:rsidR="009612D1">
        <w:rPr>
          <w:rFonts w:asciiTheme="majorHAnsi" w:eastAsia="Times New Roman" w:hAnsiTheme="majorHAnsi" w:cstheme="majorHAnsi"/>
          <w:sz w:val="24"/>
          <w:szCs w:val="24"/>
        </w:rPr>
        <w:t xml:space="preserve">tive relationship between solvency and profitability while </w:t>
      </w:r>
      <w:r w:rsidR="00ED73CD">
        <w:rPr>
          <w:rFonts w:asciiTheme="majorHAnsi" w:eastAsia="Times New Roman" w:hAnsiTheme="majorHAnsi" w:cstheme="majorHAnsi"/>
          <w:sz w:val="24"/>
          <w:szCs w:val="24"/>
        </w:rPr>
        <w:t>trade off theory suggests that there is negative relationship between solvency and profitability. There was need therefore to conduct this research to assess the relationship between solvency and profitability of commercial banks in Kenya.</w:t>
      </w:r>
    </w:p>
    <w:p w14:paraId="0F97B788" w14:textId="77777777" w:rsidR="00DE2846" w:rsidRPr="0022305D" w:rsidRDefault="00DE2846" w:rsidP="00220318">
      <w:pPr>
        <w:spacing w:after="0" w:line="480" w:lineRule="auto"/>
        <w:ind w:firstLine="720"/>
        <w:rPr>
          <w:rFonts w:asciiTheme="majorHAnsi" w:eastAsia="Times New Roman" w:hAnsiTheme="majorHAnsi" w:cstheme="majorHAnsi"/>
          <w:sz w:val="24"/>
          <w:szCs w:val="24"/>
        </w:rPr>
      </w:pPr>
    </w:p>
    <w:p w14:paraId="04A307C9" w14:textId="4F79815C" w:rsidR="0093265D" w:rsidRPr="00A96563" w:rsidRDefault="0093265D" w:rsidP="00DE2846">
      <w:pPr>
        <w:pStyle w:val="Heading2"/>
        <w:spacing w:line="480" w:lineRule="auto"/>
        <w:jc w:val="left"/>
        <w:rPr>
          <w:rFonts w:asciiTheme="majorHAnsi" w:hAnsiTheme="majorHAnsi" w:cstheme="majorHAnsi"/>
          <w:sz w:val="28"/>
          <w:szCs w:val="28"/>
        </w:rPr>
      </w:pPr>
      <w:bookmarkStart w:id="28" w:name="_Toc78205778"/>
      <w:r w:rsidRPr="00A96563">
        <w:rPr>
          <w:rFonts w:asciiTheme="majorHAnsi" w:hAnsiTheme="majorHAnsi" w:cstheme="majorHAnsi"/>
          <w:sz w:val="28"/>
          <w:szCs w:val="28"/>
        </w:rPr>
        <w:t>Theoretical Framework</w:t>
      </w:r>
      <w:bookmarkEnd w:id="28"/>
    </w:p>
    <w:p w14:paraId="21B04EBD" w14:textId="77777777" w:rsidR="00711C4F" w:rsidRPr="0022305D" w:rsidRDefault="0093265D" w:rsidP="00B9725A">
      <w:pPr>
        <w:pStyle w:val="ListParagraph"/>
        <w:spacing w:line="480" w:lineRule="auto"/>
        <w:ind w:left="0" w:firstLine="720"/>
        <w:rPr>
          <w:rFonts w:asciiTheme="majorHAnsi" w:hAnsiTheme="majorHAnsi" w:cstheme="majorHAnsi"/>
          <w:sz w:val="24"/>
          <w:szCs w:val="24"/>
        </w:rPr>
      </w:pPr>
      <w:r w:rsidRPr="0022305D">
        <w:rPr>
          <w:rFonts w:asciiTheme="majorHAnsi" w:hAnsiTheme="majorHAnsi" w:cstheme="majorHAnsi"/>
          <w:sz w:val="24"/>
          <w:szCs w:val="24"/>
        </w:rPr>
        <w:t xml:space="preserve">The relationship between solvency and profitability can be explained through various theories developed over time. The first theory is the </w:t>
      </w:r>
      <w:r w:rsidR="00CC1BAD" w:rsidRPr="0022305D">
        <w:rPr>
          <w:rFonts w:asciiTheme="majorHAnsi" w:hAnsiTheme="majorHAnsi" w:cstheme="majorHAnsi"/>
          <w:sz w:val="24"/>
          <w:szCs w:val="24"/>
        </w:rPr>
        <w:t>pecking order</w:t>
      </w:r>
      <w:r w:rsidRPr="0022305D">
        <w:rPr>
          <w:rFonts w:asciiTheme="majorHAnsi" w:hAnsiTheme="majorHAnsi" w:cstheme="majorHAnsi"/>
          <w:sz w:val="24"/>
          <w:szCs w:val="24"/>
        </w:rPr>
        <w:t xml:space="preserve"> theory, developed by Myers and Majluf (1984</w:t>
      </w:r>
      <w:r w:rsidRPr="0022305D">
        <w:rPr>
          <w:rFonts w:asciiTheme="majorHAnsi" w:hAnsiTheme="majorHAnsi" w:cstheme="majorHAnsi"/>
          <w:iCs/>
          <w:sz w:val="24"/>
          <w:szCs w:val="24"/>
        </w:rPr>
        <w:t>).</w:t>
      </w:r>
      <w:r w:rsidRPr="0022305D">
        <w:rPr>
          <w:rFonts w:asciiTheme="majorHAnsi" w:hAnsiTheme="majorHAnsi" w:cstheme="majorHAnsi"/>
          <w:sz w:val="24"/>
          <w:szCs w:val="24"/>
        </w:rPr>
        <w:t xml:space="preserve"> </w:t>
      </w:r>
      <w:r w:rsidR="00F473A2" w:rsidRPr="0022305D">
        <w:rPr>
          <w:rFonts w:asciiTheme="majorHAnsi" w:hAnsiTheme="majorHAnsi" w:cstheme="majorHAnsi"/>
          <w:sz w:val="24"/>
          <w:szCs w:val="24"/>
        </w:rPr>
        <w:t xml:space="preserve">The pecking-order theory states that firms prefer internal financing to fund their operations. However, in cases external financing is required, firms issue the safest securities first, which is debt, and will only issue equity as a last resort (Myers, 1984). The theory attempts to explain the way in which firms choose their financing method and includes asymmetric information as a significant aspect of this process. </w:t>
      </w:r>
    </w:p>
    <w:p w14:paraId="2989DAF1" w14:textId="77777777" w:rsidR="00711C4F" w:rsidRPr="0022305D" w:rsidRDefault="00610921" w:rsidP="00711C4F">
      <w:pPr>
        <w:pStyle w:val="ListParagraph"/>
        <w:spacing w:line="480" w:lineRule="auto"/>
        <w:ind w:left="0" w:firstLine="720"/>
        <w:rPr>
          <w:rFonts w:asciiTheme="majorHAnsi" w:hAnsiTheme="majorHAnsi" w:cstheme="majorHAnsi"/>
          <w:iCs/>
          <w:color w:val="FF0000"/>
          <w:sz w:val="24"/>
          <w:szCs w:val="24"/>
        </w:rPr>
      </w:pPr>
      <w:r w:rsidRPr="0022305D">
        <w:rPr>
          <w:rFonts w:asciiTheme="majorHAnsi" w:hAnsiTheme="majorHAnsi" w:cstheme="majorHAnsi"/>
          <w:iCs/>
          <w:sz w:val="24"/>
          <w:szCs w:val="24"/>
        </w:rPr>
        <w:t>Pecking order</w:t>
      </w:r>
      <w:r w:rsidR="0093265D" w:rsidRPr="0022305D">
        <w:rPr>
          <w:rFonts w:asciiTheme="majorHAnsi" w:hAnsiTheme="majorHAnsi" w:cstheme="majorHAnsi"/>
          <w:iCs/>
          <w:sz w:val="24"/>
          <w:szCs w:val="24"/>
        </w:rPr>
        <w:t xml:space="preserve"> theory argues that information asymmetry do exist between prospective investors and managers. As a result, the market may undervalue a firm's new shares relative to the actual value if managers' information about their firm's value for shares were revealed to the market. Therefore, managers will prefer financing new investments by retained earnings first, then debt financing and finally equity financing as the last resort. </w:t>
      </w:r>
      <w:r w:rsidR="00AF1534" w:rsidRPr="0022305D">
        <w:rPr>
          <w:rFonts w:asciiTheme="majorHAnsi" w:hAnsiTheme="majorHAnsi" w:cstheme="majorHAnsi"/>
          <w:iCs/>
          <w:sz w:val="24"/>
          <w:szCs w:val="24"/>
        </w:rPr>
        <w:t xml:space="preserve">Myers and Majluf (1984) claimed that if the firm finances its new project </w:t>
      </w:r>
      <w:r w:rsidR="00AF1534" w:rsidRPr="0022305D">
        <w:rPr>
          <w:rFonts w:asciiTheme="majorHAnsi" w:hAnsiTheme="majorHAnsi" w:cstheme="majorHAnsi"/>
          <w:iCs/>
          <w:sz w:val="24"/>
          <w:szCs w:val="24"/>
        </w:rPr>
        <w:lastRenderedPageBreak/>
        <w:t>by issuing new securities, these securities will be underpriced leading to loss of profits</w:t>
      </w:r>
      <w:r w:rsidRPr="0022305D">
        <w:rPr>
          <w:rFonts w:asciiTheme="majorHAnsi" w:hAnsiTheme="majorHAnsi" w:cstheme="majorHAnsi"/>
          <w:iCs/>
          <w:sz w:val="24"/>
          <w:szCs w:val="24"/>
        </w:rPr>
        <w:t xml:space="preserve"> in terms of return on assets and return on equity</w:t>
      </w:r>
      <w:r w:rsidR="00AF1534" w:rsidRPr="0022305D">
        <w:rPr>
          <w:rFonts w:asciiTheme="majorHAnsi" w:hAnsiTheme="majorHAnsi" w:cstheme="majorHAnsi"/>
          <w:iCs/>
          <w:sz w:val="24"/>
          <w:szCs w:val="24"/>
        </w:rPr>
        <w:t>.</w:t>
      </w:r>
      <w:r w:rsidR="00AF1534" w:rsidRPr="0022305D">
        <w:rPr>
          <w:rFonts w:asciiTheme="majorHAnsi" w:hAnsiTheme="majorHAnsi" w:cstheme="majorHAnsi"/>
          <w:iCs/>
          <w:color w:val="FF0000"/>
          <w:sz w:val="24"/>
          <w:szCs w:val="24"/>
        </w:rPr>
        <w:t xml:space="preserve"> </w:t>
      </w:r>
    </w:p>
    <w:p w14:paraId="7D6E4E22" w14:textId="3BD17EED" w:rsidR="0093265D" w:rsidRPr="0022305D" w:rsidRDefault="0093265D" w:rsidP="00711C4F">
      <w:pPr>
        <w:pStyle w:val="ListParagraph"/>
        <w:spacing w:line="480" w:lineRule="auto"/>
        <w:ind w:left="0" w:firstLine="720"/>
        <w:rPr>
          <w:rFonts w:asciiTheme="majorHAnsi" w:hAnsiTheme="majorHAnsi" w:cstheme="majorHAnsi"/>
          <w:iCs/>
          <w:sz w:val="24"/>
          <w:szCs w:val="24"/>
        </w:rPr>
      </w:pPr>
      <w:r w:rsidRPr="0022305D">
        <w:rPr>
          <w:rFonts w:asciiTheme="majorHAnsi" w:hAnsiTheme="majorHAnsi" w:cstheme="majorHAnsi"/>
          <w:iCs/>
          <w:sz w:val="24"/>
          <w:szCs w:val="24"/>
        </w:rPr>
        <w:t xml:space="preserve">Thus, according to the pecking order theory, firms that are profitable have high solvency level. This is because they can generate high earnings to be retained </w:t>
      </w:r>
      <w:r w:rsidR="001326E3" w:rsidRPr="0022305D">
        <w:rPr>
          <w:rFonts w:asciiTheme="majorHAnsi" w:hAnsiTheme="majorHAnsi" w:cstheme="majorHAnsi"/>
          <w:iCs/>
          <w:sz w:val="24"/>
          <w:szCs w:val="24"/>
        </w:rPr>
        <w:t>as profit. Therefore</w:t>
      </w:r>
      <w:r w:rsidRPr="0022305D">
        <w:rPr>
          <w:rFonts w:asciiTheme="majorHAnsi" w:hAnsiTheme="majorHAnsi" w:cstheme="majorHAnsi"/>
          <w:iCs/>
          <w:sz w:val="24"/>
          <w:szCs w:val="24"/>
        </w:rPr>
        <w:t xml:space="preserve">, they are expected to use less debt than those that do not generate high earnings, since they are able to finance their investment opportunities with retained earnings. </w:t>
      </w:r>
      <w:r w:rsidR="000332A1" w:rsidRPr="0022305D">
        <w:rPr>
          <w:rFonts w:asciiTheme="majorHAnsi" w:hAnsiTheme="majorHAnsi" w:cstheme="majorHAnsi"/>
          <w:iCs/>
          <w:sz w:val="24"/>
          <w:szCs w:val="24"/>
        </w:rPr>
        <w:t xml:space="preserve">According to </w:t>
      </w:r>
      <w:r w:rsidR="00711C4F" w:rsidRPr="0022305D">
        <w:rPr>
          <w:rFonts w:asciiTheme="majorHAnsi" w:hAnsiTheme="majorHAnsi" w:cstheme="majorHAnsi"/>
          <w:iCs/>
          <w:sz w:val="24"/>
          <w:szCs w:val="24"/>
        </w:rPr>
        <w:t>pecking order</w:t>
      </w:r>
      <w:r w:rsidR="0068376F" w:rsidRPr="0022305D">
        <w:rPr>
          <w:rFonts w:asciiTheme="majorHAnsi" w:hAnsiTheme="majorHAnsi" w:cstheme="majorHAnsi"/>
          <w:iCs/>
          <w:sz w:val="24"/>
          <w:szCs w:val="24"/>
        </w:rPr>
        <w:t xml:space="preserve"> theory, profitable firms </w:t>
      </w:r>
      <w:r w:rsidR="000332A1" w:rsidRPr="0022305D">
        <w:rPr>
          <w:rFonts w:asciiTheme="majorHAnsi" w:hAnsiTheme="majorHAnsi" w:cstheme="majorHAnsi"/>
          <w:iCs/>
          <w:sz w:val="24"/>
          <w:szCs w:val="24"/>
        </w:rPr>
        <w:t xml:space="preserve">have lower level of </w:t>
      </w:r>
      <w:r w:rsidR="00CB2CDC">
        <w:rPr>
          <w:rFonts w:asciiTheme="majorHAnsi" w:hAnsiTheme="majorHAnsi" w:cstheme="majorHAnsi"/>
          <w:iCs/>
          <w:sz w:val="24"/>
          <w:szCs w:val="24"/>
        </w:rPr>
        <w:t>total debt to total assets ratio</w:t>
      </w:r>
      <w:r w:rsidR="000332A1" w:rsidRPr="0022305D">
        <w:rPr>
          <w:rFonts w:asciiTheme="majorHAnsi" w:hAnsiTheme="majorHAnsi" w:cstheme="majorHAnsi"/>
          <w:iCs/>
          <w:sz w:val="24"/>
          <w:szCs w:val="24"/>
        </w:rPr>
        <w:t xml:space="preserve"> and </w:t>
      </w:r>
      <w:r w:rsidR="00BE06BC">
        <w:rPr>
          <w:rFonts w:asciiTheme="majorHAnsi" w:hAnsiTheme="majorHAnsi" w:cstheme="majorHAnsi"/>
          <w:iCs/>
          <w:sz w:val="24"/>
          <w:szCs w:val="24"/>
        </w:rPr>
        <w:t>total debt to equity</w:t>
      </w:r>
      <w:r w:rsidR="000332A1" w:rsidRPr="0022305D">
        <w:rPr>
          <w:rFonts w:asciiTheme="majorHAnsi" w:hAnsiTheme="majorHAnsi" w:cstheme="majorHAnsi"/>
          <w:iCs/>
          <w:sz w:val="24"/>
          <w:szCs w:val="24"/>
        </w:rPr>
        <w:t xml:space="preserve"> ratio while less profitable firms have high level of debt and </w:t>
      </w:r>
      <w:r w:rsidR="00BE06BC">
        <w:rPr>
          <w:rFonts w:asciiTheme="majorHAnsi" w:hAnsiTheme="majorHAnsi" w:cstheme="majorHAnsi"/>
          <w:iCs/>
          <w:sz w:val="24"/>
          <w:szCs w:val="24"/>
        </w:rPr>
        <w:t>total debt to equity</w:t>
      </w:r>
      <w:r w:rsidR="000332A1" w:rsidRPr="0022305D">
        <w:rPr>
          <w:rFonts w:asciiTheme="majorHAnsi" w:hAnsiTheme="majorHAnsi" w:cstheme="majorHAnsi"/>
          <w:iCs/>
          <w:sz w:val="24"/>
          <w:szCs w:val="24"/>
        </w:rPr>
        <w:t xml:space="preserve"> ratio. </w:t>
      </w:r>
      <w:r w:rsidRPr="0022305D">
        <w:rPr>
          <w:rFonts w:asciiTheme="majorHAnsi" w:hAnsiTheme="majorHAnsi" w:cstheme="majorHAnsi"/>
          <w:iCs/>
          <w:sz w:val="24"/>
          <w:szCs w:val="24"/>
        </w:rPr>
        <w:t xml:space="preserve">Thus, </w:t>
      </w:r>
      <w:r w:rsidR="000332A1" w:rsidRPr="0022305D">
        <w:rPr>
          <w:rFonts w:asciiTheme="majorHAnsi" w:hAnsiTheme="majorHAnsi" w:cstheme="majorHAnsi"/>
          <w:iCs/>
          <w:sz w:val="24"/>
          <w:szCs w:val="24"/>
        </w:rPr>
        <w:t xml:space="preserve">a </w:t>
      </w:r>
      <w:r w:rsidRPr="0022305D">
        <w:rPr>
          <w:rFonts w:asciiTheme="majorHAnsi" w:hAnsiTheme="majorHAnsi" w:cstheme="majorHAnsi"/>
          <w:iCs/>
          <w:sz w:val="24"/>
          <w:szCs w:val="24"/>
        </w:rPr>
        <w:t>positive a relationship exists between firm’s solvency and profitability</w:t>
      </w:r>
      <w:r w:rsidR="000332A1" w:rsidRPr="0022305D">
        <w:rPr>
          <w:rFonts w:asciiTheme="majorHAnsi" w:hAnsiTheme="majorHAnsi" w:cstheme="majorHAnsi"/>
          <w:iCs/>
          <w:sz w:val="24"/>
          <w:szCs w:val="24"/>
        </w:rPr>
        <w:t xml:space="preserve"> in terms of return on assets and return on equity</w:t>
      </w:r>
      <w:r w:rsidRPr="0022305D">
        <w:rPr>
          <w:rFonts w:asciiTheme="majorHAnsi" w:hAnsiTheme="majorHAnsi" w:cstheme="majorHAnsi"/>
          <w:iCs/>
          <w:sz w:val="24"/>
          <w:szCs w:val="24"/>
        </w:rPr>
        <w:t xml:space="preserve">. </w:t>
      </w:r>
    </w:p>
    <w:p w14:paraId="50A077C3" w14:textId="4D601C5E" w:rsidR="00AF1534" w:rsidRPr="0022305D" w:rsidRDefault="00AF1534" w:rsidP="00B9725A">
      <w:pPr>
        <w:pStyle w:val="ListParagraph"/>
        <w:spacing w:line="480" w:lineRule="auto"/>
        <w:ind w:left="0" w:firstLine="720"/>
        <w:rPr>
          <w:rFonts w:asciiTheme="majorHAnsi" w:hAnsiTheme="majorHAnsi" w:cstheme="majorHAnsi"/>
          <w:iCs/>
          <w:sz w:val="24"/>
          <w:szCs w:val="24"/>
        </w:rPr>
      </w:pPr>
      <w:r w:rsidRPr="0022305D">
        <w:rPr>
          <w:rFonts w:asciiTheme="majorHAnsi" w:hAnsiTheme="majorHAnsi" w:cstheme="majorHAnsi"/>
          <w:iCs/>
          <w:sz w:val="24"/>
          <w:szCs w:val="24"/>
        </w:rPr>
        <w:t xml:space="preserve">The findings of </w:t>
      </w:r>
      <w:r w:rsidRPr="0022305D">
        <w:rPr>
          <w:rFonts w:asciiTheme="majorHAnsi" w:hAnsiTheme="majorHAnsi" w:cstheme="majorHAnsi"/>
          <w:iCs/>
          <w:sz w:val="24"/>
          <w:szCs w:val="24"/>
        </w:rPr>
        <w:fldChar w:fldCharType="begin" w:fldLock="1"/>
      </w:r>
      <w:r w:rsidR="00AE6641">
        <w:rPr>
          <w:rFonts w:asciiTheme="majorHAnsi" w:hAnsiTheme="majorHAnsi" w:cstheme="majorHAnsi"/>
          <w:iCs/>
          <w:sz w:val="24"/>
          <w:szCs w:val="24"/>
        </w:rPr>
        <w:instrText>ADDIN CSL_CITATION {"citationItems":[{"id":"ITEM-1","itemData":{"DOI":"10.1108/IJMF-06-2014-0095","author":[{"dropping-particle":"","family":"Bhama","given":"Vandana","non-dropping-particle":"","parse-names":false,"suffix":""},{"dropping-particle":"","family":"Jain","given":"Pramod Kumar","non-dropping-particle":"","parse-names":false,"suffix":""},{"dropping-particle":"","family":"Yadav","given":"Surendra Singh","non-dropping-particle":"","parse-names":false,"suffix":""}],"container-title":"Journal of Accountancy and Finance","id":"ITEM-1","issue":"3","issued":{"date-parts":[["2016"]]},"page":"335-350","title":"Testing the pecking order theory of deficit and surplus firms : Indian evidence","type":"article-journal","volume":"12"},"uris":["http://www.mendeley.com/documents/?uuid=0a5f6862-f0b8-4bfb-adaa-4498eb19d593"]}],"mendeley":{"formattedCitation":"(Bhama, Jain, &amp; Yadav, 2016)","manualFormatting":"Bhama, Jain, and Yadav (2016)","plainTextFormattedCitation":"(Bhama, Jain, &amp; Yadav, 2016)","previouslyFormattedCitation":"(Bhama, Jain, &amp; Yadav, 2016)"},"properties":{"noteIndex":0},"schema":"https://github.com/citation-style-language/schema/raw/master/csl-citation.json"}</w:instrText>
      </w:r>
      <w:r w:rsidRPr="0022305D">
        <w:rPr>
          <w:rFonts w:asciiTheme="majorHAnsi" w:hAnsiTheme="majorHAnsi" w:cstheme="majorHAnsi"/>
          <w:iCs/>
          <w:sz w:val="24"/>
          <w:szCs w:val="24"/>
        </w:rPr>
        <w:fldChar w:fldCharType="separate"/>
      </w:r>
      <w:r w:rsidRPr="0022305D">
        <w:rPr>
          <w:rFonts w:asciiTheme="majorHAnsi" w:hAnsiTheme="majorHAnsi" w:cstheme="majorHAnsi"/>
          <w:iCs/>
          <w:noProof/>
          <w:sz w:val="24"/>
          <w:szCs w:val="24"/>
        </w:rPr>
        <w:t>Bhama, Jain, and Yadav (2016)</w:t>
      </w:r>
      <w:r w:rsidRPr="0022305D">
        <w:rPr>
          <w:rFonts w:asciiTheme="majorHAnsi" w:hAnsiTheme="majorHAnsi" w:cstheme="majorHAnsi"/>
          <w:iCs/>
          <w:sz w:val="24"/>
          <w:szCs w:val="24"/>
        </w:rPr>
        <w:fldChar w:fldCharType="end"/>
      </w:r>
      <w:r w:rsidRPr="0022305D">
        <w:rPr>
          <w:rFonts w:asciiTheme="majorHAnsi" w:hAnsiTheme="majorHAnsi" w:cstheme="majorHAnsi"/>
          <w:iCs/>
          <w:sz w:val="24"/>
          <w:szCs w:val="24"/>
        </w:rPr>
        <w:t xml:space="preserve">  is in line with pecking order theory for the deficit firms but contradicts pecking order theory for surplus firms. They examined Indian firms included in the Bombay Stock Exchange (BSE) 500 index, covering a time span of ten years (2003-2012). An extended model of pecking order theory is tested for deficit and surplus firms separately. The authors use ordinary least square regressions to test the results. They found that deficit firms frequently issue debt to fill up deficiency requirements but keep their </w:t>
      </w:r>
      <w:r w:rsidR="00CB2CDC">
        <w:rPr>
          <w:rFonts w:asciiTheme="majorHAnsi" w:hAnsiTheme="majorHAnsi" w:cstheme="majorHAnsi"/>
          <w:iCs/>
          <w:sz w:val="24"/>
          <w:szCs w:val="24"/>
        </w:rPr>
        <w:t>total debt to total assets ratio</w:t>
      </w:r>
      <w:r w:rsidRPr="0022305D">
        <w:rPr>
          <w:rFonts w:asciiTheme="majorHAnsi" w:hAnsiTheme="majorHAnsi" w:cstheme="majorHAnsi"/>
          <w:iCs/>
          <w:sz w:val="24"/>
          <w:szCs w:val="24"/>
        </w:rPr>
        <w:t xml:space="preserve">s in limit. In marked contrast, surplus firms have low </w:t>
      </w:r>
      <w:r w:rsidR="00BE06BC">
        <w:rPr>
          <w:rFonts w:asciiTheme="majorHAnsi" w:hAnsiTheme="majorHAnsi" w:cstheme="majorHAnsi"/>
          <w:iCs/>
          <w:sz w:val="24"/>
          <w:szCs w:val="24"/>
        </w:rPr>
        <w:t>total debt to equity</w:t>
      </w:r>
      <w:r w:rsidRPr="0022305D">
        <w:rPr>
          <w:rFonts w:asciiTheme="majorHAnsi" w:hAnsiTheme="majorHAnsi" w:cstheme="majorHAnsi"/>
          <w:iCs/>
          <w:sz w:val="24"/>
          <w:szCs w:val="24"/>
        </w:rPr>
        <w:t xml:space="preserve"> ratios and only occasionally redeem debt. They tend to retain funds for future expansion and other operational needs.</w:t>
      </w:r>
    </w:p>
    <w:p w14:paraId="20121156" w14:textId="0D1BC4A3" w:rsidR="00711C4F" w:rsidRPr="0022305D" w:rsidRDefault="0093265D" w:rsidP="00B9725A">
      <w:pPr>
        <w:pStyle w:val="ListParagraph"/>
        <w:spacing w:line="480" w:lineRule="auto"/>
        <w:ind w:left="0" w:firstLine="720"/>
        <w:rPr>
          <w:rFonts w:asciiTheme="majorHAnsi" w:hAnsiTheme="majorHAnsi" w:cstheme="majorHAnsi"/>
          <w:iCs/>
          <w:sz w:val="24"/>
          <w:szCs w:val="24"/>
        </w:rPr>
      </w:pPr>
      <w:r w:rsidRPr="0022305D">
        <w:rPr>
          <w:rFonts w:asciiTheme="majorHAnsi" w:hAnsiTheme="majorHAnsi" w:cstheme="majorHAnsi"/>
          <w:iCs/>
          <w:sz w:val="24"/>
          <w:szCs w:val="24"/>
        </w:rPr>
        <w:t xml:space="preserve">The second theory in which this study will be based on is the Trade-off theory. </w:t>
      </w:r>
      <w:r w:rsidR="00A730BE" w:rsidRPr="0022305D">
        <w:rPr>
          <w:rFonts w:asciiTheme="majorHAnsi" w:hAnsiTheme="majorHAnsi" w:cstheme="majorHAnsi"/>
          <w:iCs/>
          <w:sz w:val="24"/>
          <w:szCs w:val="24"/>
        </w:rPr>
        <w:t>Trade off theory states that firms have an optimum level of solvency in which maximum profitability of a firm can be attained (</w:t>
      </w:r>
      <w:r w:rsidR="00A730BE" w:rsidRPr="0022305D">
        <w:rPr>
          <w:rFonts w:asciiTheme="majorHAnsi" w:hAnsiTheme="majorHAnsi" w:cstheme="majorHAnsi"/>
          <w:iCs/>
          <w:sz w:val="24"/>
          <w:szCs w:val="24"/>
        </w:rPr>
        <w:fldChar w:fldCharType="begin" w:fldLock="1"/>
      </w:r>
      <w:r w:rsidR="005E1E9B" w:rsidRPr="0022305D">
        <w:rPr>
          <w:rFonts w:asciiTheme="majorHAnsi" w:hAnsiTheme="majorHAnsi" w:cstheme="majorHAnsi"/>
          <w:iCs/>
          <w:sz w:val="24"/>
          <w:szCs w:val="24"/>
        </w:rPr>
        <w:instrText>ADDIN CSL_CITATION {"citationItems":[{"id":"ITEM-1","itemData":{"author":[{"dropping-particle":"","family":"Andersson","given":"Alexander","non-dropping-particle":"","parse-names":false,"suffix":""},{"dropping-particle":"","family":"Minnema","given":"Joel","non-dropping-particle":"","parse-names":false,"suffix":""}],"container-title":"Umea school of business, economics and statistics","id":"ITEM-1","issued":{"date-parts":[["2018"]]},"page":"1-83","title":"The relationship between leverage and profitability: A quantitative study of consulting firms in Sweden","type":"article-journal"},"uris":["http://www.mendeley.com/documents/?uuid=c1d67739-5e36-4384-9c99-4a954686ff7d"]}],"mendeley":{"formattedCitation":"(Andersson &amp; Minnema, 2018)","manualFormatting":"Andersson &amp; Minnema ,2018","plainTextFormattedCitation":"(Andersson &amp; Minnema, 2018)","previouslyFormattedCitation":"(Andersson &amp; Minnema, 2018)"},"properties":{"noteIndex":0},"schema":"https://github.com/citation-style-language/schema/raw/master/csl-citation.json"}</w:instrText>
      </w:r>
      <w:r w:rsidR="00A730BE" w:rsidRPr="0022305D">
        <w:rPr>
          <w:rFonts w:asciiTheme="majorHAnsi" w:hAnsiTheme="majorHAnsi" w:cstheme="majorHAnsi"/>
          <w:iCs/>
          <w:sz w:val="24"/>
          <w:szCs w:val="24"/>
        </w:rPr>
        <w:fldChar w:fldCharType="separate"/>
      </w:r>
      <w:r w:rsidR="00A730BE" w:rsidRPr="0022305D">
        <w:rPr>
          <w:rFonts w:asciiTheme="majorHAnsi" w:hAnsiTheme="majorHAnsi" w:cstheme="majorHAnsi"/>
          <w:iCs/>
          <w:noProof/>
          <w:sz w:val="24"/>
          <w:szCs w:val="24"/>
        </w:rPr>
        <w:t xml:space="preserve">Andersson </w:t>
      </w:r>
      <w:r w:rsidR="00B9725A" w:rsidRPr="0022305D">
        <w:rPr>
          <w:rFonts w:asciiTheme="majorHAnsi" w:hAnsiTheme="majorHAnsi" w:cstheme="majorHAnsi"/>
          <w:iCs/>
          <w:noProof/>
          <w:sz w:val="24"/>
          <w:szCs w:val="24"/>
        </w:rPr>
        <w:t>&amp;</w:t>
      </w:r>
      <w:r w:rsidR="00A730BE" w:rsidRPr="0022305D">
        <w:rPr>
          <w:rFonts w:asciiTheme="majorHAnsi" w:hAnsiTheme="majorHAnsi" w:cstheme="majorHAnsi"/>
          <w:iCs/>
          <w:noProof/>
          <w:sz w:val="24"/>
          <w:szCs w:val="24"/>
        </w:rPr>
        <w:t xml:space="preserve"> Minnema ,2018</w:t>
      </w:r>
      <w:r w:rsidR="00A730BE" w:rsidRPr="0022305D">
        <w:rPr>
          <w:rFonts w:asciiTheme="majorHAnsi" w:hAnsiTheme="majorHAnsi" w:cstheme="majorHAnsi"/>
          <w:iCs/>
          <w:sz w:val="24"/>
          <w:szCs w:val="24"/>
        </w:rPr>
        <w:fldChar w:fldCharType="end"/>
      </w:r>
      <w:r w:rsidR="00A730BE" w:rsidRPr="0022305D">
        <w:rPr>
          <w:rFonts w:asciiTheme="majorHAnsi" w:hAnsiTheme="majorHAnsi" w:cstheme="majorHAnsi"/>
          <w:iCs/>
          <w:sz w:val="24"/>
          <w:szCs w:val="24"/>
        </w:rPr>
        <w:t>;</w:t>
      </w:r>
      <w:r w:rsidR="00A730BE" w:rsidRPr="0022305D">
        <w:rPr>
          <w:rFonts w:asciiTheme="majorHAnsi" w:hAnsiTheme="majorHAnsi" w:cstheme="majorHAnsi"/>
          <w:iCs/>
          <w:sz w:val="24"/>
          <w:szCs w:val="24"/>
        </w:rPr>
        <w:fldChar w:fldCharType="begin" w:fldLock="1"/>
      </w:r>
      <w:r w:rsidR="0023489B" w:rsidRPr="0022305D">
        <w:rPr>
          <w:rFonts w:asciiTheme="majorHAnsi" w:hAnsiTheme="majorHAnsi" w:cstheme="majorHAnsi"/>
          <w:iCs/>
          <w:sz w:val="24"/>
          <w:szCs w:val="24"/>
        </w:rPr>
        <w:instrText>ADDIN CSL_CITATION {"citationItems":[{"id":"ITEM-1","itemData":{"author":[{"dropping-particle":"","family":"Ahmed","given":"M","non-dropping-particle":"","parse-names":false,"suffix":""}],"container-title":"IOSR Journal of Business and Management","id":"ITEM-1","issue":"3","issued":{"date-parts":[["2014"]]},"page":"74-79","title":"The effect of liquidity and leverage on financial performance of commercial state corporations in the toursim industry in Kenya","type":"article-journal","volume":"2"},"uris":["http://www.mendeley.com/documents/?uuid=8b081923-c32b-464e-aed6-1d7e44f824be"]}],"mendeley":{"formattedCitation":"(Ahmed, 2014)","manualFormatting":" Kiprotich, 2017; Ahmed, 2014","plainTextFormattedCitation":"(Ahmed, 2014)","previouslyFormattedCitation":"(Ahmed, 2014)"},"properties":{"noteIndex":0},"schema":"https://github.com/citation-style-language/schema/raw/master/csl-citation.json"}</w:instrText>
      </w:r>
      <w:r w:rsidR="00A730BE" w:rsidRPr="0022305D">
        <w:rPr>
          <w:rFonts w:asciiTheme="majorHAnsi" w:hAnsiTheme="majorHAnsi" w:cstheme="majorHAnsi"/>
          <w:iCs/>
          <w:sz w:val="24"/>
          <w:szCs w:val="24"/>
        </w:rPr>
        <w:fldChar w:fldCharType="separate"/>
      </w:r>
      <w:r w:rsidR="00A730BE" w:rsidRPr="0022305D">
        <w:rPr>
          <w:rFonts w:asciiTheme="majorHAnsi" w:hAnsiTheme="majorHAnsi" w:cstheme="majorHAnsi"/>
          <w:iCs/>
          <w:noProof/>
          <w:sz w:val="24"/>
          <w:szCs w:val="24"/>
        </w:rPr>
        <w:t xml:space="preserve"> Kiprotich, 2017; Ahmed, 2014</w:t>
      </w:r>
      <w:r w:rsidR="00A730BE" w:rsidRPr="0022305D">
        <w:rPr>
          <w:rFonts w:asciiTheme="majorHAnsi" w:hAnsiTheme="majorHAnsi" w:cstheme="majorHAnsi"/>
          <w:iCs/>
          <w:sz w:val="24"/>
          <w:szCs w:val="24"/>
        </w:rPr>
        <w:fldChar w:fldCharType="end"/>
      </w:r>
      <w:r w:rsidR="00A730BE" w:rsidRPr="0022305D">
        <w:rPr>
          <w:rFonts w:asciiTheme="majorHAnsi" w:hAnsiTheme="majorHAnsi" w:cstheme="majorHAnsi"/>
          <w:iCs/>
          <w:sz w:val="24"/>
          <w:szCs w:val="24"/>
        </w:rPr>
        <w:t xml:space="preserve">; </w:t>
      </w:r>
      <w:r w:rsidR="00A730BE" w:rsidRPr="0022305D">
        <w:rPr>
          <w:rFonts w:asciiTheme="majorHAnsi" w:hAnsiTheme="majorHAnsi" w:cstheme="majorHAnsi"/>
          <w:iCs/>
          <w:sz w:val="24"/>
          <w:szCs w:val="24"/>
        </w:rPr>
        <w:fldChar w:fldCharType="begin" w:fldLock="1"/>
      </w:r>
      <w:r w:rsidR="005E1E9B" w:rsidRPr="0022305D">
        <w:rPr>
          <w:rFonts w:asciiTheme="majorHAnsi" w:hAnsiTheme="majorHAnsi" w:cstheme="majorHAnsi"/>
          <w:iCs/>
          <w:sz w:val="24"/>
          <w:szCs w:val="24"/>
        </w:rPr>
        <w:instrText>ADDIN CSL_CITATION {"citationItems":[{"id":"ITEM-1","itemData":{"author":[{"dropping-particle":"","family":"Kiprotich","given":"Murikwa Dennis","non-dropping-particle":"","parse-names":false,"suffix":""}],"id":"ITEM-1","issued":{"date-parts":[["2017"]]},"title":"The relationship between leverage and financial performance of banks listed at the Nairobi securities exchange","type":"thesis"},"uris":["http://www.mendeley.com/documents/?uuid=7b352d96-0ea8-4f52-b923-14a2beebf005"]}],"mendeley":{"formattedCitation":"(Kiprotich, 2017)","manualFormatting":")","plainTextFormattedCitation":"(Kiprotich, 2017)","previouslyFormattedCitation":"(Kiprotich, 2017)"},"properties":{"noteIndex":0},"schema":"https://github.com/citation-style-language/schema/raw/master/csl-citation.json"}</w:instrText>
      </w:r>
      <w:r w:rsidR="00A730BE" w:rsidRPr="0022305D">
        <w:rPr>
          <w:rFonts w:asciiTheme="majorHAnsi" w:hAnsiTheme="majorHAnsi" w:cstheme="majorHAnsi"/>
          <w:iCs/>
          <w:sz w:val="24"/>
          <w:szCs w:val="24"/>
        </w:rPr>
        <w:fldChar w:fldCharType="separate"/>
      </w:r>
      <w:r w:rsidR="00A730BE" w:rsidRPr="0022305D">
        <w:rPr>
          <w:rFonts w:asciiTheme="majorHAnsi" w:hAnsiTheme="majorHAnsi" w:cstheme="majorHAnsi"/>
          <w:iCs/>
          <w:noProof/>
          <w:sz w:val="24"/>
          <w:szCs w:val="24"/>
        </w:rPr>
        <w:t>)</w:t>
      </w:r>
      <w:r w:rsidR="00A730BE" w:rsidRPr="0022305D">
        <w:rPr>
          <w:rFonts w:asciiTheme="majorHAnsi" w:hAnsiTheme="majorHAnsi" w:cstheme="majorHAnsi"/>
          <w:iCs/>
          <w:sz w:val="24"/>
          <w:szCs w:val="24"/>
        </w:rPr>
        <w:fldChar w:fldCharType="end"/>
      </w:r>
      <w:r w:rsidR="000B5CD5" w:rsidRPr="0022305D">
        <w:rPr>
          <w:rFonts w:asciiTheme="majorHAnsi" w:hAnsiTheme="majorHAnsi" w:cstheme="majorHAnsi"/>
          <w:iCs/>
          <w:sz w:val="24"/>
          <w:szCs w:val="24"/>
        </w:rPr>
        <w:t>.</w:t>
      </w:r>
      <w:r w:rsidR="00A730BE" w:rsidRPr="0022305D">
        <w:rPr>
          <w:rFonts w:asciiTheme="majorHAnsi" w:hAnsiTheme="majorHAnsi" w:cstheme="majorHAnsi"/>
          <w:iCs/>
          <w:sz w:val="24"/>
          <w:szCs w:val="24"/>
        </w:rPr>
        <w:t xml:space="preserve"> </w:t>
      </w:r>
      <w:r w:rsidR="0090474B" w:rsidRPr="0022305D">
        <w:rPr>
          <w:rFonts w:asciiTheme="majorHAnsi" w:hAnsiTheme="majorHAnsi" w:cstheme="majorHAnsi"/>
          <w:iCs/>
          <w:sz w:val="24"/>
          <w:szCs w:val="24"/>
        </w:rPr>
        <w:t xml:space="preserve">Instead of having firms unlimitedly increasing debt levels to increase </w:t>
      </w:r>
      <w:r w:rsidR="0090474B" w:rsidRPr="0022305D">
        <w:rPr>
          <w:rFonts w:asciiTheme="majorHAnsi" w:hAnsiTheme="majorHAnsi" w:cstheme="majorHAnsi"/>
          <w:iCs/>
          <w:sz w:val="24"/>
          <w:szCs w:val="24"/>
        </w:rPr>
        <w:lastRenderedPageBreak/>
        <w:t xml:space="preserve">profitability, the trade-off theory states that firms have optimum level of solvency to strive for it to reach the highest possible firm </w:t>
      </w:r>
      <w:r w:rsidR="000B5CD5" w:rsidRPr="0022305D">
        <w:rPr>
          <w:rFonts w:asciiTheme="majorHAnsi" w:hAnsiTheme="majorHAnsi" w:cstheme="majorHAnsi"/>
          <w:iCs/>
          <w:sz w:val="24"/>
          <w:szCs w:val="24"/>
        </w:rPr>
        <w:t>profitability</w:t>
      </w:r>
      <w:r w:rsidR="0090474B" w:rsidRPr="0022305D">
        <w:rPr>
          <w:rFonts w:asciiTheme="majorHAnsi" w:hAnsiTheme="majorHAnsi" w:cstheme="majorHAnsi"/>
          <w:iCs/>
          <w:sz w:val="24"/>
          <w:szCs w:val="24"/>
        </w:rPr>
        <w:t xml:space="preserve">. This </w:t>
      </w:r>
      <w:r w:rsidR="000B5CD5" w:rsidRPr="0022305D">
        <w:rPr>
          <w:rFonts w:asciiTheme="majorHAnsi" w:hAnsiTheme="majorHAnsi" w:cstheme="majorHAnsi"/>
          <w:iCs/>
          <w:sz w:val="24"/>
          <w:szCs w:val="24"/>
        </w:rPr>
        <w:t>suggests that for any firm to attain maximum profitability in terms of return on assets and return on equity, it must deliberately balance by swapping debt for equity and equity for debt to reach its optimum.</w:t>
      </w:r>
      <w:r w:rsidR="0090474B" w:rsidRPr="0022305D">
        <w:rPr>
          <w:rFonts w:asciiTheme="majorHAnsi" w:hAnsiTheme="majorHAnsi" w:cstheme="majorHAnsi"/>
          <w:iCs/>
          <w:sz w:val="24"/>
          <w:szCs w:val="24"/>
        </w:rPr>
        <w:t xml:space="preserve"> This balancing stem from the benefits of tax shields and the costs of potential bankruptcy and financial distress, where optimum is reached when the benefits of tax shields are offset by the costs related to debt (Myers, 1984).</w:t>
      </w:r>
      <w:r w:rsidR="000B5CD5" w:rsidRPr="0022305D">
        <w:rPr>
          <w:rFonts w:asciiTheme="majorHAnsi" w:hAnsiTheme="majorHAnsi" w:cstheme="majorHAnsi"/>
          <w:iCs/>
          <w:sz w:val="24"/>
          <w:szCs w:val="24"/>
        </w:rPr>
        <w:t xml:space="preserve"> Myers (1984) argued that </w:t>
      </w:r>
      <w:r w:rsidRPr="0022305D">
        <w:rPr>
          <w:rFonts w:asciiTheme="majorHAnsi" w:hAnsiTheme="majorHAnsi" w:cstheme="majorHAnsi"/>
          <w:iCs/>
          <w:sz w:val="24"/>
          <w:szCs w:val="24"/>
        </w:rPr>
        <w:t>optim</w:t>
      </w:r>
      <w:r w:rsidR="000B5CD5" w:rsidRPr="0022305D">
        <w:rPr>
          <w:rFonts w:asciiTheme="majorHAnsi" w:hAnsiTheme="majorHAnsi" w:cstheme="majorHAnsi"/>
          <w:iCs/>
          <w:sz w:val="24"/>
          <w:szCs w:val="24"/>
        </w:rPr>
        <w:t>um</w:t>
      </w:r>
      <w:r w:rsidRPr="0022305D">
        <w:rPr>
          <w:rFonts w:asciiTheme="majorHAnsi" w:hAnsiTheme="majorHAnsi" w:cstheme="majorHAnsi"/>
          <w:iCs/>
          <w:sz w:val="24"/>
          <w:szCs w:val="24"/>
        </w:rPr>
        <w:t xml:space="preserve"> profitability is </w:t>
      </w:r>
      <w:r w:rsidR="000B5CD5" w:rsidRPr="0022305D">
        <w:rPr>
          <w:rFonts w:asciiTheme="majorHAnsi" w:hAnsiTheme="majorHAnsi" w:cstheme="majorHAnsi"/>
          <w:iCs/>
          <w:sz w:val="24"/>
          <w:szCs w:val="24"/>
        </w:rPr>
        <w:t>achieved</w:t>
      </w:r>
      <w:r w:rsidRPr="0022305D">
        <w:rPr>
          <w:rFonts w:asciiTheme="majorHAnsi" w:hAnsiTheme="majorHAnsi" w:cstheme="majorHAnsi"/>
          <w:iCs/>
          <w:sz w:val="24"/>
          <w:szCs w:val="24"/>
        </w:rPr>
        <w:t xml:space="preserve"> by balancing debt financing </w:t>
      </w:r>
      <w:r w:rsidR="00BB05ED" w:rsidRPr="0022305D">
        <w:rPr>
          <w:rFonts w:asciiTheme="majorHAnsi" w:hAnsiTheme="majorHAnsi" w:cstheme="majorHAnsi"/>
          <w:iCs/>
          <w:sz w:val="24"/>
          <w:szCs w:val="24"/>
        </w:rPr>
        <w:t xml:space="preserve">in terms of </w:t>
      </w:r>
      <w:r w:rsidR="00CB2CDC">
        <w:rPr>
          <w:rFonts w:asciiTheme="majorHAnsi" w:hAnsiTheme="majorHAnsi" w:cstheme="majorHAnsi"/>
          <w:iCs/>
          <w:sz w:val="24"/>
          <w:szCs w:val="24"/>
        </w:rPr>
        <w:t>total debt to total assets ratio</w:t>
      </w:r>
      <w:r w:rsidR="00BB05ED" w:rsidRPr="0022305D">
        <w:rPr>
          <w:rFonts w:asciiTheme="majorHAnsi" w:hAnsiTheme="majorHAnsi" w:cstheme="majorHAnsi"/>
          <w:iCs/>
          <w:sz w:val="24"/>
          <w:szCs w:val="24"/>
        </w:rPr>
        <w:t xml:space="preserve"> and </w:t>
      </w:r>
      <w:r w:rsidR="00BE06BC">
        <w:rPr>
          <w:rFonts w:asciiTheme="majorHAnsi" w:hAnsiTheme="majorHAnsi" w:cstheme="majorHAnsi"/>
          <w:iCs/>
          <w:sz w:val="24"/>
          <w:szCs w:val="24"/>
        </w:rPr>
        <w:t>total debt to equity</w:t>
      </w:r>
      <w:r w:rsidR="00BB05ED" w:rsidRPr="0022305D">
        <w:rPr>
          <w:rFonts w:asciiTheme="majorHAnsi" w:hAnsiTheme="majorHAnsi" w:cstheme="majorHAnsi"/>
          <w:iCs/>
          <w:sz w:val="24"/>
          <w:szCs w:val="24"/>
        </w:rPr>
        <w:t xml:space="preserve"> ratio;</w:t>
      </w:r>
      <w:r w:rsidRPr="0022305D">
        <w:rPr>
          <w:rFonts w:asciiTheme="majorHAnsi" w:hAnsiTheme="majorHAnsi" w:cstheme="majorHAnsi"/>
          <w:iCs/>
          <w:sz w:val="24"/>
          <w:szCs w:val="24"/>
        </w:rPr>
        <w:t xml:space="preserve"> and benefits such as tax shields; and reduction of agency and debt costs such as direct and indirect bankruptcy costs. Debt financing comes with commitment for future cash outflows due to periodic interest and the principal borrowed, which might encourage the likelihood of firm's financial default and bankruptcy. </w:t>
      </w:r>
    </w:p>
    <w:p w14:paraId="61F3ED62" w14:textId="13E0AAEB" w:rsidR="0093265D" w:rsidRDefault="0093265D" w:rsidP="00112C9B">
      <w:pPr>
        <w:pStyle w:val="ListParagraph"/>
        <w:spacing w:line="480" w:lineRule="auto"/>
        <w:ind w:left="0" w:firstLine="720"/>
        <w:rPr>
          <w:rFonts w:asciiTheme="majorHAnsi" w:hAnsiTheme="majorHAnsi" w:cstheme="majorHAnsi"/>
          <w:iCs/>
          <w:sz w:val="24"/>
          <w:szCs w:val="24"/>
        </w:rPr>
      </w:pPr>
      <w:r w:rsidRPr="0022305D">
        <w:rPr>
          <w:rFonts w:asciiTheme="majorHAnsi" w:hAnsiTheme="majorHAnsi" w:cstheme="majorHAnsi"/>
          <w:iCs/>
          <w:sz w:val="24"/>
          <w:szCs w:val="24"/>
        </w:rPr>
        <w:t xml:space="preserve">Therefore, according to trade-off theory, </w:t>
      </w:r>
      <w:r w:rsidR="00BB05ED" w:rsidRPr="0022305D">
        <w:rPr>
          <w:rFonts w:asciiTheme="majorHAnsi" w:hAnsiTheme="majorHAnsi" w:cstheme="majorHAnsi"/>
          <w:iCs/>
          <w:sz w:val="24"/>
          <w:szCs w:val="24"/>
        </w:rPr>
        <w:t xml:space="preserve">firms with higher ratio of return on assets and return on equity are </w:t>
      </w:r>
      <w:r w:rsidRPr="0022305D">
        <w:rPr>
          <w:rFonts w:asciiTheme="majorHAnsi" w:hAnsiTheme="majorHAnsi" w:cstheme="majorHAnsi"/>
          <w:iCs/>
          <w:sz w:val="24"/>
          <w:szCs w:val="24"/>
        </w:rPr>
        <w:t>profitable h</w:t>
      </w:r>
      <w:r w:rsidR="00BB05ED" w:rsidRPr="0022305D">
        <w:rPr>
          <w:rFonts w:asciiTheme="majorHAnsi" w:hAnsiTheme="majorHAnsi" w:cstheme="majorHAnsi"/>
          <w:iCs/>
          <w:sz w:val="24"/>
          <w:szCs w:val="24"/>
        </w:rPr>
        <w:t>ence</w:t>
      </w:r>
      <w:r w:rsidRPr="0022305D">
        <w:rPr>
          <w:rFonts w:asciiTheme="majorHAnsi" w:hAnsiTheme="majorHAnsi" w:cstheme="majorHAnsi"/>
          <w:iCs/>
          <w:sz w:val="24"/>
          <w:szCs w:val="24"/>
        </w:rPr>
        <w:t xml:space="preserve"> higher income and thus should borrow more to enjoy tax benefits. </w:t>
      </w:r>
      <w:r w:rsidR="00BB05ED" w:rsidRPr="0022305D">
        <w:rPr>
          <w:rFonts w:asciiTheme="majorHAnsi" w:hAnsiTheme="majorHAnsi" w:cstheme="majorHAnsi"/>
          <w:iCs/>
          <w:sz w:val="24"/>
          <w:szCs w:val="24"/>
        </w:rPr>
        <w:t xml:space="preserve">This suggests that a </w:t>
      </w:r>
      <w:r w:rsidR="00BD2C7E" w:rsidRPr="0022305D">
        <w:rPr>
          <w:rFonts w:asciiTheme="majorHAnsi" w:hAnsiTheme="majorHAnsi" w:cstheme="majorHAnsi"/>
          <w:iCs/>
          <w:sz w:val="24"/>
          <w:szCs w:val="24"/>
        </w:rPr>
        <w:t>nega</w:t>
      </w:r>
      <w:r w:rsidR="00DC464F" w:rsidRPr="0022305D">
        <w:rPr>
          <w:rFonts w:asciiTheme="majorHAnsi" w:hAnsiTheme="majorHAnsi" w:cstheme="majorHAnsi"/>
          <w:iCs/>
          <w:sz w:val="24"/>
          <w:szCs w:val="24"/>
        </w:rPr>
        <w:t>tive</w:t>
      </w:r>
      <w:r w:rsidR="00BB05ED" w:rsidRPr="0022305D">
        <w:rPr>
          <w:rFonts w:asciiTheme="majorHAnsi" w:hAnsiTheme="majorHAnsi" w:cstheme="majorHAnsi"/>
          <w:iCs/>
          <w:sz w:val="24"/>
          <w:szCs w:val="24"/>
        </w:rPr>
        <w:t xml:space="preserve"> relationship exists between solvency and profitability.</w:t>
      </w:r>
      <w:r w:rsidR="00DC464F" w:rsidRPr="0022305D">
        <w:rPr>
          <w:rFonts w:asciiTheme="majorHAnsi" w:hAnsiTheme="majorHAnsi" w:cstheme="majorHAnsi"/>
          <w:iCs/>
          <w:sz w:val="24"/>
          <w:szCs w:val="24"/>
        </w:rPr>
        <w:t xml:space="preserve"> </w:t>
      </w:r>
      <w:r w:rsidR="00BD2C7E" w:rsidRPr="0022305D">
        <w:rPr>
          <w:rFonts w:asciiTheme="majorHAnsi" w:hAnsiTheme="majorHAnsi" w:cstheme="majorHAnsi"/>
          <w:iCs/>
          <w:sz w:val="24"/>
          <w:szCs w:val="24"/>
        </w:rPr>
        <w:t xml:space="preserve">Trade off theory is in agreement with the results of the studies by </w:t>
      </w:r>
      <w:r w:rsidR="00BD2C7E" w:rsidRPr="0022305D">
        <w:rPr>
          <w:rFonts w:asciiTheme="majorHAnsi" w:hAnsiTheme="majorHAnsi" w:cstheme="majorHAnsi"/>
          <w:iCs/>
          <w:sz w:val="24"/>
          <w:szCs w:val="24"/>
        </w:rPr>
        <w:fldChar w:fldCharType="begin" w:fldLock="1"/>
      </w:r>
      <w:r w:rsidR="004E3373" w:rsidRPr="0022305D">
        <w:rPr>
          <w:rFonts w:asciiTheme="majorHAnsi" w:hAnsiTheme="majorHAnsi" w:cstheme="majorHAnsi"/>
          <w:iCs/>
          <w:sz w:val="24"/>
          <w:szCs w:val="24"/>
        </w:rPr>
        <w:instrText>ADDIN CSL_CITATION {"citationItems":[{"id":"ITEM-1","itemData":{"author":[{"dropping-particle":"","family":"Andersson","given":"Alexander","non-dropping-particle":"","parse-names":false,"suffix":""},{"dropping-particle":"","family":"Minnema","given":"Joel","non-dropping-particle":"","parse-names":false,"suffix":""}],"container-title":"Umea school of business, economics and statistics","id":"ITEM-1","issued":{"date-parts":[["2018"]]},"page":"1-83","title":"The relationship between leverage and profitability: A quantitative study of consulting firms in Sweden","type":"article-journal"},"uris":["http://www.mendeley.com/documents/?uuid=c1d67739-5e36-4384-9c99-4a954686ff7d"]}],"mendeley":{"formattedCitation":"(Andersson &amp; Minnema, 2018)","manualFormatting":"Andersson and Minnema (2018)","plainTextFormattedCitation":"(Andersson &amp; Minnema, 2018)","previouslyFormattedCitation":"(Andersson &amp; Minnema, 2018)"},"properties":{"noteIndex":0},"schema":"https://github.com/citation-style-language/schema/raw/master/csl-citation.json"}</w:instrText>
      </w:r>
      <w:r w:rsidR="00BD2C7E" w:rsidRPr="0022305D">
        <w:rPr>
          <w:rFonts w:asciiTheme="majorHAnsi" w:hAnsiTheme="majorHAnsi" w:cstheme="majorHAnsi"/>
          <w:iCs/>
          <w:sz w:val="24"/>
          <w:szCs w:val="24"/>
        </w:rPr>
        <w:fldChar w:fldCharType="separate"/>
      </w:r>
      <w:r w:rsidR="00BD2C7E" w:rsidRPr="0022305D">
        <w:rPr>
          <w:rFonts w:asciiTheme="majorHAnsi" w:hAnsiTheme="majorHAnsi" w:cstheme="majorHAnsi"/>
          <w:iCs/>
          <w:noProof/>
          <w:sz w:val="24"/>
          <w:szCs w:val="24"/>
        </w:rPr>
        <w:t>Andersson and Minnema (2018)</w:t>
      </w:r>
      <w:r w:rsidR="00BD2C7E" w:rsidRPr="0022305D">
        <w:rPr>
          <w:rFonts w:asciiTheme="majorHAnsi" w:hAnsiTheme="majorHAnsi" w:cstheme="majorHAnsi"/>
          <w:iCs/>
          <w:sz w:val="24"/>
          <w:szCs w:val="24"/>
        </w:rPr>
        <w:fldChar w:fldCharType="end"/>
      </w:r>
      <w:r w:rsidR="00BD2C7E" w:rsidRPr="0022305D">
        <w:rPr>
          <w:rFonts w:asciiTheme="majorHAnsi" w:hAnsiTheme="majorHAnsi" w:cstheme="majorHAnsi"/>
          <w:iCs/>
          <w:sz w:val="24"/>
          <w:szCs w:val="24"/>
        </w:rPr>
        <w:t xml:space="preserve"> when they found a negative linear and significant relationship between leverage in terms of </w:t>
      </w:r>
      <w:r w:rsidR="00CB2CDC">
        <w:rPr>
          <w:rFonts w:asciiTheme="majorHAnsi" w:hAnsiTheme="majorHAnsi" w:cstheme="majorHAnsi"/>
          <w:iCs/>
          <w:sz w:val="24"/>
          <w:szCs w:val="24"/>
        </w:rPr>
        <w:t>total debt to total assets ratio</w:t>
      </w:r>
      <w:r w:rsidR="00BD2C7E" w:rsidRPr="0022305D">
        <w:rPr>
          <w:rFonts w:asciiTheme="majorHAnsi" w:hAnsiTheme="majorHAnsi" w:cstheme="majorHAnsi"/>
          <w:iCs/>
          <w:sz w:val="24"/>
          <w:szCs w:val="24"/>
        </w:rPr>
        <w:t xml:space="preserve"> and profitability in terms of return on assets of consulting firms in Swede</w:t>
      </w:r>
      <w:r w:rsidR="006435B5" w:rsidRPr="0022305D">
        <w:rPr>
          <w:rFonts w:asciiTheme="majorHAnsi" w:hAnsiTheme="majorHAnsi" w:cstheme="majorHAnsi"/>
          <w:iCs/>
          <w:sz w:val="24"/>
          <w:szCs w:val="24"/>
        </w:rPr>
        <w:t>n</w:t>
      </w:r>
      <w:r w:rsidR="00BD2C7E" w:rsidRPr="0022305D">
        <w:rPr>
          <w:rFonts w:asciiTheme="majorHAnsi" w:hAnsiTheme="majorHAnsi" w:cstheme="majorHAnsi"/>
          <w:iCs/>
          <w:sz w:val="24"/>
          <w:szCs w:val="24"/>
        </w:rPr>
        <w:t>.</w:t>
      </w:r>
    </w:p>
    <w:p w14:paraId="305402C2" w14:textId="72727B86" w:rsidR="00DE2846" w:rsidRDefault="00DE2846" w:rsidP="00392CA8">
      <w:pPr>
        <w:pStyle w:val="Heading2"/>
        <w:jc w:val="left"/>
      </w:pPr>
    </w:p>
    <w:p w14:paraId="2CF9A949" w14:textId="00E014B0" w:rsidR="00392CA8" w:rsidRDefault="00392CA8" w:rsidP="00392CA8"/>
    <w:p w14:paraId="2F865C23" w14:textId="77777777" w:rsidR="00392CA8" w:rsidRPr="00392CA8" w:rsidRDefault="00392CA8" w:rsidP="00392CA8"/>
    <w:p w14:paraId="25BA5AE5" w14:textId="77777777" w:rsidR="00DE2846" w:rsidRDefault="00DE2846" w:rsidP="00864099">
      <w:pPr>
        <w:pStyle w:val="Heading2"/>
      </w:pPr>
    </w:p>
    <w:p w14:paraId="18061381" w14:textId="21FA9888" w:rsidR="00220318" w:rsidRDefault="00220318" w:rsidP="00864099">
      <w:pPr>
        <w:pStyle w:val="Heading2"/>
      </w:pPr>
      <w:bookmarkStart w:id="29" w:name="_Toc78205779"/>
      <w:r w:rsidRPr="0022305D">
        <w:t>Conceptual Framework</w:t>
      </w:r>
      <w:bookmarkEnd w:id="29"/>
    </w:p>
    <w:p w14:paraId="1B5DF041" w14:textId="77777777" w:rsidR="00864099" w:rsidRPr="00864099" w:rsidRDefault="00864099" w:rsidP="00864099"/>
    <w:p w14:paraId="3C270A64" w14:textId="177EC82F" w:rsidR="00220318" w:rsidRPr="0022305D" w:rsidRDefault="00220318" w:rsidP="00113952">
      <w:pPr>
        <w:spacing w:line="240" w:lineRule="auto"/>
        <w:rPr>
          <w:rFonts w:asciiTheme="majorHAnsi" w:hAnsiTheme="majorHAnsi" w:cstheme="majorHAnsi"/>
          <w:b/>
          <w:sz w:val="24"/>
          <w:szCs w:val="24"/>
        </w:rPr>
      </w:pPr>
      <w:r w:rsidRPr="0022305D">
        <w:rPr>
          <w:rFonts w:asciiTheme="majorHAnsi" w:hAnsiTheme="majorHAnsi" w:cstheme="majorHAnsi"/>
          <w:b/>
          <w:noProof/>
          <w:sz w:val="24"/>
          <w:szCs w:val="24"/>
          <w:u w:val="single"/>
        </w:rPr>
        <mc:AlternateContent>
          <mc:Choice Requires="wps">
            <w:drawing>
              <wp:anchor distT="0" distB="0" distL="114300" distR="114300" simplePos="0" relativeHeight="251659264" behindDoc="0" locked="0" layoutInCell="1" allowOverlap="1" wp14:anchorId="23FE3483" wp14:editId="7C983D82">
                <wp:simplePos x="0" y="0"/>
                <wp:positionH relativeFrom="column">
                  <wp:posOffset>-275590</wp:posOffset>
                </wp:positionH>
                <wp:positionV relativeFrom="paragraph">
                  <wp:posOffset>340360</wp:posOffset>
                </wp:positionV>
                <wp:extent cx="2286000" cy="1362710"/>
                <wp:effectExtent l="0" t="0" r="19050" b="2794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86000" cy="136271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8D961EC" w14:textId="77777777" w:rsidR="00220318" w:rsidRDefault="00220318" w:rsidP="00220318">
                            <w:pPr>
                              <w:spacing w:after="0" w:line="48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Solvency</w:t>
                            </w:r>
                          </w:p>
                          <w:p w14:paraId="568E7A7E" w14:textId="5B680180" w:rsidR="00220318" w:rsidRDefault="003244ED" w:rsidP="003244ED">
                            <w:pPr>
                              <w:spacing w:after="0" w:line="480" w:lineRule="auto"/>
                              <w:rPr>
                                <w:rFonts w:ascii="Times New Roman" w:hAnsi="Times New Roman" w:cs="Times New Roman"/>
                                <w:b/>
                                <w:sz w:val="24"/>
                                <w:szCs w:val="24"/>
                                <w:u w:val="single"/>
                              </w:rPr>
                            </w:pPr>
                            <w:r>
                              <w:rPr>
                                <w:rFonts w:ascii="Times New Roman" w:hAnsi="Times New Roman" w:cs="Times New Roman"/>
                                <w:sz w:val="24"/>
                                <w:szCs w:val="24"/>
                              </w:rPr>
                              <w:t>Total d</w:t>
                            </w:r>
                            <w:r w:rsidR="00220318">
                              <w:rPr>
                                <w:rFonts w:ascii="Times New Roman" w:hAnsi="Times New Roman" w:cs="Times New Roman"/>
                                <w:sz w:val="24"/>
                                <w:szCs w:val="24"/>
                              </w:rPr>
                              <w:t xml:space="preserve">ebt </w:t>
                            </w:r>
                            <w:r>
                              <w:rPr>
                                <w:rFonts w:ascii="Times New Roman" w:hAnsi="Times New Roman" w:cs="Times New Roman"/>
                                <w:sz w:val="24"/>
                                <w:szCs w:val="24"/>
                              </w:rPr>
                              <w:t>to total assets ratio</w:t>
                            </w:r>
                          </w:p>
                          <w:p w14:paraId="32FE12DC" w14:textId="7DD6A5E2" w:rsidR="00220318" w:rsidRPr="00443B2E" w:rsidRDefault="003244ED" w:rsidP="003244ED">
                            <w:pPr>
                              <w:spacing w:after="0" w:line="480" w:lineRule="auto"/>
                              <w:rPr>
                                <w:rFonts w:ascii="Times New Roman" w:hAnsi="Times New Roman" w:cs="Times New Roman"/>
                                <w:b/>
                                <w:sz w:val="24"/>
                                <w:szCs w:val="24"/>
                                <w:u w:val="single"/>
                              </w:rPr>
                            </w:pPr>
                            <w:r>
                              <w:rPr>
                                <w:rFonts w:ascii="Times New Roman" w:hAnsi="Times New Roman" w:cs="Times New Roman"/>
                                <w:sz w:val="24"/>
                                <w:szCs w:val="24"/>
                              </w:rPr>
                              <w:t>Total</w:t>
                            </w:r>
                            <w:r w:rsidR="00BE06BC">
                              <w:rPr>
                                <w:rFonts w:ascii="Times New Roman" w:hAnsi="Times New Roman" w:cs="Times New Roman"/>
                                <w:sz w:val="24"/>
                                <w:szCs w:val="24"/>
                              </w:rPr>
                              <w:t xml:space="preserve"> debt to equity</w:t>
                            </w:r>
                            <w:r>
                              <w:rPr>
                                <w:rFonts w:ascii="Times New Roman" w:hAnsi="Times New Roman" w:cs="Times New Roman"/>
                                <w:sz w:val="24"/>
                                <w:szCs w:val="24"/>
                              </w:rPr>
                              <w:t xml:space="preserve"> ratio</w:t>
                            </w:r>
                          </w:p>
                          <w:p w14:paraId="582648A7" w14:textId="77777777" w:rsidR="00220318" w:rsidRPr="00BD7A52" w:rsidRDefault="00220318" w:rsidP="00220318">
                            <w:pPr>
                              <w:spacing w:line="276" w:lineRule="auto"/>
                              <w:ind w:left="720"/>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23FE3483" id="Rectangle 1" o:spid="_x0000_s1026" style="position:absolute;margin-left:-21.7pt;margin-top:26.8pt;width:180pt;height:107.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v3/jgIAAHcFAAAOAAAAZHJzL2Uyb0RvYy54bWysVEtvGyEQvlfqf0Dcm911UyddZR1ZiVJV&#10;stIoSZUzZsFeBRgK2Lvur+/APvKoT1UviGGe38zHXFx2WpG9cL4BU9HiJKdEGA51YzYV/fl48+mc&#10;Eh+YqZkCIyp6EJ5eLj5+uGhtKWawBVULRzCI8WVrK7oNwZZZ5vlWaOZPwAqDSglOs4Ci22S1Yy1G&#10;1yqb5fk8a8HV1gEX3uPrda+kixRfSsHDDym9CERVFGsL6XTpXMczW1ywcuOY3TZ8KIP9QxWaNQaT&#10;TqGuWWBk55q/QumGO/AgwwkHnYGUDRcJA6Ip8ndoHrbMioQFm+Pt1Cb//8Ly2/2dI02Ns6PEMI0j&#10;usemMbNRghSxPa31JVo92DsXAXq7Av7sUZG90UTBDzaddDraIjzSpV4fpl6LLhCOj7PZ+TzPcSQc&#10;dcXn+eysSNPIWDm6W+fDNwGaxEtFHdaVesz2Kx9iAawcTWI2ZVJ9oJr6plEqCZFG4ko5smdIgNAl&#10;ROjnX6xQip4JTQ8gQQkHJfqo90Jig2LJKXui5ktMxrkwYR47lSKhdXSTWMHkWBxzVGEsZrCNbiJR&#10;dnLMjzm+zTh5pKxgwuSsGwPuWID6ecrc24/oe8wRfujW3TD7NdQHpIiD/u94y28anMeK+XDHHH4W&#10;nCEugPADD6mgrSgMN0q24H4fe4/2yGHUUtLi56uo/7VjTlCivhtk99fi9DT+1iScfjmboeBea9av&#10;NWanrwDHiwzG6tI12gc1XqUD/YR7YhmzoooZjrkryoMbhavQLwXcNFwsl8kMf6hlYWUeLI/BY4Mj&#10;3x67J+bsQMqAfL6F8aOy8h03e9voaWC5CyCbRNzY4r6vQ+vxdyf+DJsoro/XcrJ62ZeLPwAAAP//&#10;AwBQSwMEFAAGAAgAAAAhAI+LuzHdAAAACgEAAA8AAABkcnMvZG93bnJldi54bWxMj8FOg0AQhu8m&#10;vsNmTLyYdilUJJSlMUYeQKr3KYxAZWcJuxTw6V1PepvJfPnn+7PjontxpdF2hhXstgEI4srUHTcK&#10;3k/FJgFhHXKNvWFSsJKFY357k2Fam5nf6Fq6RvgQtikqaJ0bUilt1ZJGuzUDsb99mlGj8+vYyHrE&#10;2YfrXoZBEEuNHfsPLQ700lL1VU5awfDE8/fFFaeV6eM1KdaHrsRJqfu75fkAwtHi/mD41ffqkHun&#10;s5m4tqJXsNlHe48qeIxiEB6IdrEfzgrCOAlB5pn8XyH/AQAA//8DAFBLAQItABQABgAIAAAAIQC2&#10;gziS/gAAAOEBAAATAAAAAAAAAAAAAAAAAAAAAABbQ29udGVudF9UeXBlc10ueG1sUEsBAi0AFAAG&#10;AAgAAAAhADj9If/WAAAAlAEAAAsAAAAAAAAAAAAAAAAALwEAAF9yZWxzLy5yZWxzUEsBAi0AFAAG&#10;AAgAAAAhADSi/f+OAgAAdwUAAA4AAAAAAAAAAAAAAAAALgIAAGRycy9lMm9Eb2MueG1sUEsBAi0A&#10;FAAGAAgAAAAhAI+LuzHdAAAACgEAAA8AAAAAAAAAAAAAAAAA6AQAAGRycy9kb3ducmV2LnhtbFBL&#10;BQYAAAAABAAEAPMAAADyBQAAAAA=&#10;" fillcolor="white [3201]" strokecolor="black [3213]" strokeweight="1pt">
                <v:path arrowok="t"/>
                <v:textbox>
                  <w:txbxContent>
                    <w:p w14:paraId="48D961EC" w14:textId="77777777" w:rsidR="00220318" w:rsidRDefault="00220318" w:rsidP="00220318">
                      <w:pPr>
                        <w:spacing w:after="0" w:line="48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Solvency</w:t>
                      </w:r>
                    </w:p>
                    <w:p w14:paraId="568E7A7E" w14:textId="5B680180" w:rsidR="00220318" w:rsidRDefault="003244ED" w:rsidP="003244ED">
                      <w:pPr>
                        <w:spacing w:after="0" w:line="480" w:lineRule="auto"/>
                        <w:rPr>
                          <w:rFonts w:ascii="Times New Roman" w:hAnsi="Times New Roman" w:cs="Times New Roman"/>
                          <w:b/>
                          <w:sz w:val="24"/>
                          <w:szCs w:val="24"/>
                          <w:u w:val="single"/>
                        </w:rPr>
                      </w:pPr>
                      <w:r>
                        <w:rPr>
                          <w:rFonts w:ascii="Times New Roman" w:hAnsi="Times New Roman" w:cs="Times New Roman"/>
                          <w:sz w:val="24"/>
                          <w:szCs w:val="24"/>
                        </w:rPr>
                        <w:t>Total d</w:t>
                      </w:r>
                      <w:r w:rsidR="00220318">
                        <w:rPr>
                          <w:rFonts w:ascii="Times New Roman" w:hAnsi="Times New Roman" w:cs="Times New Roman"/>
                          <w:sz w:val="24"/>
                          <w:szCs w:val="24"/>
                        </w:rPr>
                        <w:t xml:space="preserve">ebt </w:t>
                      </w:r>
                      <w:r>
                        <w:rPr>
                          <w:rFonts w:ascii="Times New Roman" w:hAnsi="Times New Roman" w:cs="Times New Roman"/>
                          <w:sz w:val="24"/>
                          <w:szCs w:val="24"/>
                        </w:rPr>
                        <w:t>to total assets ratio</w:t>
                      </w:r>
                    </w:p>
                    <w:p w14:paraId="32FE12DC" w14:textId="7DD6A5E2" w:rsidR="00220318" w:rsidRPr="00443B2E" w:rsidRDefault="003244ED" w:rsidP="003244ED">
                      <w:pPr>
                        <w:spacing w:after="0" w:line="480" w:lineRule="auto"/>
                        <w:rPr>
                          <w:rFonts w:ascii="Times New Roman" w:hAnsi="Times New Roman" w:cs="Times New Roman"/>
                          <w:b/>
                          <w:sz w:val="24"/>
                          <w:szCs w:val="24"/>
                          <w:u w:val="single"/>
                        </w:rPr>
                      </w:pPr>
                      <w:r>
                        <w:rPr>
                          <w:rFonts w:ascii="Times New Roman" w:hAnsi="Times New Roman" w:cs="Times New Roman"/>
                          <w:sz w:val="24"/>
                          <w:szCs w:val="24"/>
                        </w:rPr>
                        <w:t>Total</w:t>
                      </w:r>
                      <w:r w:rsidR="00BE06BC">
                        <w:rPr>
                          <w:rFonts w:ascii="Times New Roman" w:hAnsi="Times New Roman" w:cs="Times New Roman"/>
                          <w:sz w:val="24"/>
                          <w:szCs w:val="24"/>
                        </w:rPr>
                        <w:t xml:space="preserve"> debt to equity</w:t>
                      </w:r>
                      <w:r>
                        <w:rPr>
                          <w:rFonts w:ascii="Times New Roman" w:hAnsi="Times New Roman" w:cs="Times New Roman"/>
                          <w:sz w:val="24"/>
                          <w:szCs w:val="24"/>
                        </w:rPr>
                        <w:t xml:space="preserve"> ratio</w:t>
                      </w:r>
                    </w:p>
                    <w:p w14:paraId="582648A7" w14:textId="77777777" w:rsidR="00220318" w:rsidRPr="00BD7A52" w:rsidRDefault="00220318" w:rsidP="00220318">
                      <w:pPr>
                        <w:spacing w:line="276" w:lineRule="auto"/>
                        <w:ind w:left="720"/>
                        <w:rPr>
                          <w:rFonts w:ascii="Times New Roman" w:hAnsi="Times New Roman" w:cs="Times New Roman"/>
                          <w:sz w:val="24"/>
                          <w:szCs w:val="24"/>
                        </w:rPr>
                      </w:pPr>
                    </w:p>
                  </w:txbxContent>
                </v:textbox>
              </v:rect>
            </w:pict>
          </mc:Fallback>
        </mc:AlternateContent>
      </w:r>
      <w:r w:rsidRPr="0022305D">
        <w:rPr>
          <w:rFonts w:asciiTheme="majorHAnsi" w:hAnsiTheme="majorHAnsi" w:cstheme="majorHAnsi"/>
          <w:b/>
          <w:noProof/>
          <w:sz w:val="24"/>
          <w:szCs w:val="24"/>
          <w:u w:val="single"/>
        </w:rPr>
        <mc:AlternateContent>
          <mc:Choice Requires="wps">
            <w:drawing>
              <wp:anchor distT="0" distB="0" distL="114300" distR="114300" simplePos="0" relativeHeight="251660288" behindDoc="0" locked="0" layoutInCell="1" allowOverlap="1" wp14:anchorId="0091AE62" wp14:editId="6FDB8D63">
                <wp:simplePos x="0" y="0"/>
                <wp:positionH relativeFrom="column">
                  <wp:posOffset>3502325</wp:posOffset>
                </wp:positionH>
                <wp:positionV relativeFrom="paragraph">
                  <wp:posOffset>387098</wp:posOffset>
                </wp:positionV>
                <wp:extent cx="2173856" cy="1362974"/>
                <wp:effectExtent l="0" t="0" r="17145" b="2794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73856" cy="136297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FBE1A7D" w14:textId="77777777" w:rsidR="00220318" w:rsidRDefault="00220318" w:rsidP="00220318">
                            <w:pPr>
                              <w:spacing w:before="240"/>
                              <w:jc w:val="center"/>
                              <w:rPr>
                                <w:rFonts w:ascii="Times New Roman" w:hAnsi="Times New Roman" w:cs="Times New Roman"/>
                                <w:b/>
                                <w:u w:val="single"/>
                              </w:rPr>
                            </w:pPr>
                            <w:r>
                              <w:rPr>
                                <w:rFonts w:ascii="Times New Roman" w:hAnsi="Times New Roman" w:cs="Times New Roman"/>
                                <w:b/>
                                <w:u w:val="single"/>
                              </w:rPr>
                              <w:t>Profitability</w:t>
                            </w:r>
                          </w:p>
                          <w:p w14:paraId="4B0B15DC" w14:textId="77777777" w:rsidR="00220318" w:rsidRPr="00BD7A52" w:rsidRDefault="00220318" w:rsidP="00EF7B8F">
                            <w:pPr>
                              <w:spacing w:before="240" w:line="480" w:lineRule="auto"/>
                              <w:ind w:left="720"/>
                              <w:rPr>
                                <w:rFonts w:ascii="Times New Roman" w:hAnsi="Times New Roman" w:cs="Times New Roman"/>
                                <w:b/>
                                <w:u w:val="single"/>
                              </w:rPr>
                            </w:pPr>
                            <w:r>
                              <w:rPr>
                                <w:rFonts w:ascii="Times New Roman" w:hAnsi="Times New Roman" w:cs="Times New Roman"/>
                              </w:rPr>
                              <w:t>Return on Assets (ROA)</w:t>
                            </w:r>
                          </w:p>
                          <w:p w14:paraId="03527AB5" w14:textId="77777777" w:rsidR="00220318" w:rsidRDefault="00220318" w:rsidP="00EF7B8F">
                            <w:pPr>
                              <w:spacing w:before="240" w:line="480" w:lineRule="auto"/>
                              <w:ind w:left="720"/>
                              <w:rPr>
                                <w:rFonts w:ascii="Times New Roman" w:hAnsi="Times New Roman" w:cs="Times New Roman"/>
                              </w:rPr>
                            </w:pPr>
                            <w:r>
                              <w:rPr>
                                <w:rFonts w:ascii="Times New Roman" w:hAnsi="Times New Roman" w:cs="Times New Roman"/>
                              </w:rPr>
                              <w:t>Return on Equity (ROE)</w:t>
                            </w:r>
                          </w:p>
                          <w:p w14:paraId="0E3A26CE" w14:textId="77777777" w:rsidR="00220318" w:rsidRDefault="00220318" w:rsidP="00220318">
                            <w:pPr>
                              <w:spacing w:before="240"/>
                              <w:rPr>
                                <w:rFonts w:ascii="Times New Roman" w:hAnsi="Times New Roman" w:cs="Times New Roman"/>
                              </w:rPr>
                            </w:pPr>
                          </w:p>
                          <w:p w14:paraId="67EF7764" w14:textId="77777777" w:rsidR="00220318" w:rsidRDefault="00220318" w:rsidP="00220318">
                            <w:pPr>
                              <w:spacing w:before="240"/>
                              <w:rPr>
                                <w:rFonts w:ascii="Times New Roman" w:hAnsi="Times New Roman" w:cs="Times New Roman"/>
                              </w:rPr>
                            </w:pPr>
                          </w:p>
                          <w:p w14:paraId="68C41DE7" w14:textId="77777777" w:rsidR="00220318" w:rsidRDefault="00220318" w:rsidP="00220318">
                            <w:pPr>
                              <w:spacing w:before="240"/>
                              <w:rPr>
                                <w:rFonts w:ascii="Times New Roman" w:hAnsi="Times New Roman" w:cs="Times New Roman"/>
                              </w:rPr>
                            </w:pPr>
                          </w:p>
                          <w:p w14:paraId="46BC1A4F" w14:textId="77777777" w:rsidR="00220318" w:rsidRDefault="00220318" w:rsidP="00220318">
                            <w:pPr>
                              <w:spacing w:before="240"/>
                              <w:rPr>
                                <w:rFonts w:ascii="Times New Roman" w:hAnsi="Times New Roman" w:cs="Times New Roman"/>
                              </w:rPr>
                            </w:pPr>
                          </w:p>
                          <w:p w14:paraId="394A180D" w14:textId="77777777" w:rsidR="00220318" w:rsidRDefault="00220318" w:rsidP="00220318">
                            <w:pPr>
                              <w:spacing w:before="240"/>
                              <w:rPr>
                                <w:rFonts w:ascii="Times New Roman" w:hAnsi="Times New Roman" w:cs="Times New Roman"/>
                              </w:rPr>
                            </w:pPr>
                          </w:p>
                          <w:p w14:paraId="6A896BE8" w14:textId="77777777" w:rsidR="00220318" w:rsidRDefault="00220318" w:rsidP="00220318">
                            <w:pPr>
                              <w:spacing w:before="240"/>
                              <w:rPr>
                                <w:rFonts w:ascii="Times New Roman" w:hAnsi="Times New Roman" w:cs="Times New Roman"/>
                              </w:rPr>
                            </w:pPr>
                          </w:p>
                          <w:p w14:paraId="34FDA489" w14:textId="77777777" w:rsidR="00220318" w:rsidRDefault="00220318" w:rsidP="00220318">
                            <w:pPr>
                              <w:spacing w:before="240"/>
                              <w:rPr>
                                <w:rFonts w:ascii="Times New Roman" w:hAnsi="Times New Roman" w:cs="Times New Roman"/>
                              </w:rPr>
                            </w:pPr>
                          </w:p>
                          <w:p w14:paraId="019DDBEA" w14:textId="77777777" w:rsidR="00220318" w:rsidRDefault="00220318" w:rsidP="00220318">
                            <w:pPr>
                              <w:spacing w:before="240"/>
                              <w:rPr>
                                <w:rFonts w:ascii="Times New Roman" w:hAnsi="Times New Roman" w:cs="Times New Roman"/>
                              </w:rPr>
                            </w:pPr>
                          </w:p>
                          <w:p w14:paraId="200A3FB4" w14:textId="77777777" w:rsidR="00220318" w:rsidRDefault="00220318" w:rsidP="00220318">
                            <w:pPr>
                              <w:spacing w:before="240"/>
                              <w:rPr>
                                <w:rFonts w:ascii="Times New Roman" w:hAnsi="Times New Roman" w:cs="Times New Roman"/>
                              </w:rPr>
                            </w:pPr>
                          </w:p>
                          <w:p w14:paraId="443AAFDD" w14:textId="77777777" w:rsidR="00220318" w:rsidRDefault="00220318" w:rsidP="00220318">
                            <w:pPr>
                              <w:spacing w:before="240"/>
                              <w:rPr>
                                <w:rFonts w:ascii="Times New Roman" w:hAnsi="Times New Roman" w:cs="Times New Roman"/>
                              </w:rPr>
                            </w:pPr>
                          </w:p>
                          <w:p w14:paraId="1A797D9A" w14:textId="77777777" w:rsidR="00220318" w:rsidRDefault="00220318" w:rsidP="00220318">
                            <w:pPr>
                              <w:spacing w:before="240"/>
                              <w:rPr>
                                <w:rFonts w:ascii="Times New Roman" w:hAnsi="Times New Roman" w:cs="Times New Roman"/>
                              </w:rPr>
                            </w:pPr>
                          </w:p>
                          <w:p w14:paraId="41D443AE" w14:textId="77777777" w:rsidR="00220318" w:rsidRDefault="00220318" w:rsidP="00220318">
                            <w:pPr>
                              <w:spacing w:before="240"/>
                              <w:rPr>
                                <w:rFonts w:ascii="Times New Roman" w:hAnsi="Times New Roman" w:cs="Times New Roman"/>
                              </w:rPr>
                            </w:pPr>
                          </w:p>
                          <w:p w14:paraId="07352FAC" w14:textId="77777777" w:rsidR="00220318" w:rsidRDefault="00220318" w:rsidP="00220318">
                            <w:pPr>
                              <w:spacing w:before="240"/>
                              <w:rPr>
                                <w:rFonts w:ascii="Times New Roman" w:hAnsi="Times New Roman" w:cs="Times New Roman"/>
                              </w:rPr>
                            </w:pPr>
                          </w:p>
                          <w:p w14:paraId="1E729B93" w14:textId="77777777" w:rsidR="00220318" w:rsidRDefault="00220318" w:rsidP="00220318">
                            <w:pPr>
                              <w:spacing w:before="240"/>
                              <w:rPr>
                                <w:rFonts w:ascii="Times New Roman" w:hAnsi="Times New Roman" w:cs="Times New Roman"/>
                              </w:rPr>
                            </w:pPr>
                          </w:p>
                          <w:p w14:paraId="2DC711D2" w14:textId="77777777" w:rsidR="00220318" w:rsidRDefault="00220318" w:rsidP="00220318">
                            <w:pPr>
                              <w:spacing w:before="240"/>
                              <w:rPr>
                                <w:rFonts w:ascii="Times New Roman" w:hAnsi="Times New Roman" w:cs="Times New Roman"/>
                              </w:rPr>
                            </w:pPr>
                          </w:p>
                          <w:p w14:paraId="490380B4" w14:textId="77777777" w:rsidR="00220318" w:rsidRDefault="00220318" w:rsidP="00220318">
                            <w:pPr>
                              <w:spacing w:before="240"/>
                              <w:rPr>
                                <w:rFonts w:ascii="Times New Roman" w:hAnsi="Times New Roman" w:cs="Times New Roman"/>
                              </w:rPr>
                            </w:pPr>
                          </w:p>
                          <w:p w14:paraId="266D43F2" w14:textId="77777777" w:rsidR="00220318" w:rsidRPr="00BD7A52" w:rsidRDefault="00220318" w:rsidP="00220318">
                            <w:pPr>
                              <w:spacing w:before="240"/>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091AE62" id="Rectangle 2" o:spid="_x0000_s1027" style="position:absolute;margin-left:275.75pt;margin-top:30.5pt;width:171.15pt;height:107.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xh0jwIAAH4FAAAOAAAAZHJzL2Uyb0RvYy54bWysVEtPGzEQvlfqf7B8L5tdQoAVGxSBqCpF&#10;gICKs+O1kxVej2s72U1/fcfeR4DmVPVieTzfPP3NXF23tSI7YV0FuqDpyYQSoTmUlV4X9OfL3bcL&#10;SpxnumQKtCjoXjh6Pf/65aoxuchgA6oUlqAT7fLGFHTjvcmTxPGNqJk7ASM0KiXYmnkU7TopLWvQ&#10;e62SbDKZJQ3Y0ljgwjl8ve2UdB79Sym4f5DSCU9UQTE3H08bz1U4k/kVy9eWmU3F+zTYP2RRs0pj&#10;0NHVLfOMbG31l6u64hYcSH/CoU5AyoqLWANWk04+VfO8YUbEWrA5zoxtcv/PLb/fPVpSlQXNKNGs&#10;xi96wqYxvVaCZKE9jXE5op7Now0FOrME/uZQkXzQBMH1mFbaOmCxPNLGXu/HXovWE46PWXp+enE2&#10;o4SjLj2dZZfn0xAuYflgbqzz3wXUJFwKajGv2GO2WzrfQQdIiKZ0zA9UVd5VSkUh0EjcKEt2DAng&#10;27QP4Q4oDBgsYzVdAbEUv1ei8/okJDYopByjR2oefDLOhfaz3q/SiA5mEjMYDdNjhsoPyfTYYCYi&#10;ZUfDyTHDjxFHixgVtB+N60qDPeagfBsjd/ih+q7mUL5vV21kRUSGlxWUe2SKhW6EnOF3FX7Lkjn/&#10;yCzODE4X7gH/gIdU0BQU+hslG7C/j70HPFIZtZQ0OIMFdb+2zApK1A+NJL9Mp9MwtFGYnp1nKNj3&#10;mtV7jd7WN4C/nOLGMTxeA96r4Sot1K+4LhYhKqqY5hi7oNzbQbjx3W7AhcPFYhFhOKiG+aV+Njw4&#10;D30OtHtpX5k1PTc90voehnll+SeKdthgqWGx9SCryN9DX/sfwCGPE9AvpLBF3ssRdVib8z8AAAD/&#10;/wMAUEsDBBQABgAIAAAAIQClFQRY3QAAAAoBAAAPAAAAZHJzL2Rvd25yZXYueG1sTI/RToNAEEXf&#10;TfyHzZj4YuxCDRQpS2OMfIBU37cwBZSdJexSwK93fLKPk7m595zssJheXHB0nSUF4SYAgVTZuqNG&#10;wcexeExAOK+p1r0lVLCig0N+e5PptLYzveOl9I3gEnKpVtB6P6RSuqpFo93GDkj8O9vRaM/n2Mh6&#10;1DOXm15ugyCWRnfEC60e8LXF6rucjIJhR/PPly+OK+HnW1KsD12pJ6Xu75aXPQiPi/8Pwx8+o0PO&#10;TCc7Ue1EryCKwoijCuKQnTiQPD+xy0nBdhfFIPNMXivkvwAAAP//AwBQSwECLQAUAAYACAAAACEA&#10;toM4kv4AAADhAQAAEwAAAAAAAAAAAAAAAAAAAAAAW0NvbnRlbnRfVHlwZXNdLnhtbFBLAQItABQA&#10;BgAIAAAAIQA4/SH/1gAAAJQBAAALAAAAAAAAAAAAAAAAAC8BAABfcmVscy8ucmVsc1BLAQItABQA&#10;BgAIAAAAIQC68xh0jwIAAH4FAAAOAAAAAAAAAAAAAAAAAC4CAABkcnMvZTJvRG9jLnhtbFBLAQIt&#10;ABQABgAIAAAAIQClFQRY3QAAAAoBAAAPAAAAAAAAAAAAAAAAAOkEAABkcnMvZG93bnJldi54bWxQ&#10;SwUGAAAAAAQABADzAAAA8wUAAAAA&#10;" fillcolor="white [3201]" strokecolor="black [3213]" strokeweight="1pt">
                <v:path arrowok="t"/>
                <v:textbox>
                  <w:txbxContent>
                    <w:p w14:paraId="4FBE1A7D" w14:textId="77777777" w:rsidR="00220318" w:rsidRDefault="00220318" w:rsidP="00220318">
                      <w:pPr>
                        <w:spacing w:before="240"/>
                        <w:jc w:val="center"/>
                        <w:rPr>
                          <w:rFonts w:ascii="Times New Roman" w:hAnsi="Times New Roman" w:cs="Times New Roman"/>
                          <w:b/>
                          <w:u w:val="single"/>
                        </w:rPr>
                      </w:pPr>
                      <w:r>
                        <w:rPr>
                          <w:rFonts w:ascii="Times New Roman" w:hAnsi="Times New Roman" w:cs="Times New Roman"/>
                          <w:b/>
                          <w:u w:val="single"/>
                        </w:rPr>
                        <w:t>Profitability</w:t>
                      </w:r>
                    </w:p>
                    <w:p w14:paraId="4B0B15DC" w14:textId="77777777" w:rsidR="00220318" w:rsidRPr="00BD7A52" w:rsidRDefault="00220318" w:rsidP="00EF7B8F">
                      <w:pPr>
                        <w:spacing w:before="240" w:line="480" w:lineRule="auto"/>
                        <w:ind w:left="720"/>
                        <w:rPr>
                          <w:rFonts w:ascii="Times New Roman" w:hAnsi="Times New Roman" w:cs="Times New Roman"/>
                          <w:b/>
                          <w:u w:val="single"/>
                        </w:rPr>
                      </w:pPr>
                      <w:r>
                        <w:rPr>
                          <w:rFonts w:ascii="Times New Roman" w:hAnsi="Times New Roman" w:cs="Times New Roman"/>
                        </w:rPr>
                        <w:t>Return on Assets (ROA)</w:t>
                      </w:r>
                    </w:p>
                    <w:p w14:paraId="03527AB5" w14:textId="77777777" w:rsidR="00220318" w:rsidRDefault="00220318" w:rsidP="00EF7B8F">
                      <w:pPr>
                        <w:spacing w:before="240" w:line="480" w:lineRule="auto"/>
                        <w:ind w:left="720"/>
                        <w:rPr>
                          <w:rFonts w:ascii="Times New Roman" w:hAnsi="Times New Roman" w:cs="Times New Roman"/>
                        </w:rPr>
                      </w:pPr>
                      <w:r>
                        <w:rPr>
                          <w:rFonts w:ascii="Times New Roman" w:hAnsi="Times New Roman" w:cs="Times New Roman"/>
                        </w:rPr>
                        <w:t>Return on Equity (ROE)</w:t>
                      </w:r>
                    </w:p>
                    <w:p w14:paraId="0E3A26CE" w14:textId="77777777" w:rsidR="00220318" w:rsidRDefault="00220318" w:rsidP="00220318">
                      <w:pPr>
                        <w:spacing w:before="240"/>
                        <w:rPr>
                          <w:rFonts w:ascii="Times New Roman" w:hAnsi="Times New Roman" w:cs="Times New Roman"/>
                        </w:rPr>
                      </w:pPr>
                    </w:p>
                    <w:p w14:paraId="67EF7764" w14:textId="77777777" w:rsidR="00220318" w:rsidRDefault="00220318" w:rsidP="00220318">
                      <w:pPr>
                        <w:spacing w:before="240"/>
                        <w:rPr>
                          <w:rFonts w:ascii="Times New Roman" w:hAnsi="Times New Roman" w:cs="Times New Roman"/>
                        </w:rPr>
                      </w:pPr>
                    </w:p>
                    <w:p w14:paraId="68C41DE7" w14:textId="77777777" w:rsidR="00220318" w:rsidRDefault="00220318" w:rsidP="00220318">
                      <w:pPr>
                        <w:spacing w:before="240"/>
                        <w:rPr>
                          <w:rFonts w:ascii="Times New Roman" w:hAnsi="Times New Roman" w:cs="Times New Roman"/>
                        </w:rPr>
                      </w:pPr>
                    </w:p>
                    <w:p w14:paraId="46BC1A4F" w14:textId="77777777" w:rsidR="00220318" w:rsidRDefault="00220318" w:rsidP="00220318">
                      <w:pPr>
                        <w:spacing w:before="240"/>
                        <w:rPr>
                          <w:rFonts w:ascii="Times New Roman" w:hAnsi="Times New Roman" w:cs="Times New Roman"/>
                        </w:rPr>
                      </w:pPr>
                    </w:p>
                    <w:p w14:paraId="394A180D" w14:textId="77777777" w:rsidR="00220318" w:rsidRDefault="00220318" w:rsidP="00220318">
                      <w:pPr>
                        <w:spacing w:before="240"/>
                        <w:rPr>
                          <w:rFonts w:ascii="Times New Roman" w:hAnsi="Times New Roman" w:cs="Times New Roman"/>
                        </w:rPr>
                      </w:pPr>
                    </w:p>
                    <w:p w14:paraId="6A896BE8" w14:textId="77777777" w:rsidR="00220318" w:rsidRDefault="00220318" w:rsidP="00220318">
                      <w:pPr>
                        <w:spacing w:before="240"/>
                        <w:rPr>
                          <w:rFonts w:ascii="Times New Roman" w:hAnsi="Times New Roman" w:cs="Times New Roman"/>
                        </w:rPr>
                      </w:pPr>
                    </w:p>
                    <w:p w14:paraId="34FDA489" w14:textId="77777777" w:rsidR="00220318" w:rsidRDefault="00220318" w:rsidP="00220318">
                      <w:pPr>
                        <w:spacing w:before="240"/>
                        <w:rPr>
                          <w:rFonts w:ascii="Times New Roman" w:hAnsi="Times New Roman" w:cs="Times New Roman"/>
                        </w:rPr>
                      </w:pPr>
                    </w:p>
                    <w:p w14:paraId="019DDBEA" w14:textId="77777777" w:rsidR="00220318" w:rsidRDefault="00220318" w:rsidP="00220318">
                      <w:pPr>
                        <w:spacing w:before="240"/>
                        <w:rPr>
                          <w:rFonts w:ascii="Times New Roman" w:hAnsi="Times New Roman" w:cs="Times New Roman"/>
                        </w:rPr>
                      </w:pPr>
                    </w:p>
                    <w:p w14:paraId="200A3FB4" w14:textId="77777777" w:rsidR="00220318" w:rsidRDefault="00220318" w:rsidP="00220318">
                      <w:pPr>
                        <w:spacing w:before="240"/>
                        <w:rPr>
                          <w:rFonts w:ascii="Times New Roman" w:hAnsi="Times New Roman" w:cs="Times New Roman"/>
                        </w:rPr>
                      </w:pPr>
                    </w:p>
                    <w:p w14:paraId="443AAFDD" w14:textId="77777777" w:rsidR="00220318" w:rsidRDefault="00220318" w:rsidP="00220318">
                      <w:pPr>
                        <w:spacing w:before="240"/>
                        <w:rPr>
                          <w:rFonts w:ascii="Times New Roman" w:hAnsi="Times New Roman" w:cs="Times New Roman"/>
                        </w:rPr>
                      </w:pPr>
                    </w:p>
                    <w:p w14:paraId="1A797D9A" w14:textId="77777777" w:rsidR="00220318" w:rsidRDefault="00220318" w:rsidP="00220318">
                      <w:pPr>
                        <w:spacing w:before="240"/>
                        <w:rPr>
                          <w:rFonts w:ascii="Times New Roman" w:hAnsi="Times New Roman" w:cs="Times New Roman"/>
                        </w:rPr>
                      </w:pPr>
                    </w:p>
                    <w:p w14:paraId="41D443AE" w14:textId="77777777" w:rsidR="00220318" w:rsidRDefault="00220318" w:rsidP="00220318">
                      <w:pPr>
                        <w:spacing w:before="240"/>
                        <w:rPr>
                          <w:rFonts w:ascii="Times New Roman" w:hAnsi="Times New Roman" w:cs="Times New Roman"/>
                        </w:rPr>
                      </w:pPr>
                    </w:p>
                    <w:p w14:paraId="07352FAC" w14:textId="77777777" w:rsidR="00220318" w:rsidRDefault="00220318" w:rsidP="00220318">
                      <w:pPr>
                        <w:spacing w:before="240"/>
                        <w:rPr>
                          <w:rFonts w:ascii="Times New Roman" w:hAnsi="Times New Roman" w:cs="Times New Roman"/>
                        </w:rPr>
                      </w:pPr>
                    </w:p>
                    <w:p w14:paraId="1E729B93" w14:textId="77777777" w:rsidR="00220318" w:rsidRDefault="00220318" w:rsidP="00220318">
                      <w:pPr>
                        <w:spacing w:before="240"/>
                        <w:rPr>
                          <w:rFonts w:ascii="Times New Roman" w:hAnsi="Times New Roman" w:cs="Times New Roman"/>
                        </w:rPr>
                      </w:pPr>
                    </w:p>
                    <w:p w14:paraId="2DC711D2" w14:textId="77777777" w:rsidR="00220318" w:rsidRDefault="00220318" w:rsidP="00220318">
                      <w:pPr>
                        <w:spacing w:before="240"/>
                        <w:rPr>
                          <w:rFonts w:ascii="Times New Roman" w:hAnsi="Times New Roman" w:cs="Times New Roman"/>
                        </w:rPr>
                      </w:pPr>
                    </w:p>
                    <w:p w14:paraId="490380B4" w14:textId="77777777" w:rsidR="00220318" w:rsidRDefault="00220318" w:rsidP="00220318">
                      <w:pPr>
                        <w:spacing w:before="240"/>
                        <w:rPr>
                          <w:rFonts w:ascii="Times New Roman" w:hAnsi="Times New Roman" w:cs="Times New Roman"/>
                        </w:rPr>
                      </w:pPr>
                    </w:p>
                    <w:p w14:paraId="266D43F2" w14:textId="77777777" w:rsidR="00220318" w:rsidRPr="00BD7A52" w:rsidRDefault="00220318" w:rsidP="00220318">
                      <w:pPr>
                        <w:spacing w:before="240"/>
                        <w:rPr>
                          <w:rFonts w:ascii="Times New Roman" w:hAnsi="Times New Roman" w:cs="Times New Roman"/>
                        </w:rPr>
                      </w:pPr>
                    </w:p>
                  </w:txbxContent>
                </v:textbox>
              </v:rect>
            </w:pict>
          </mc:Fallback>
        </mc:AlternateContent>
      </w:r>
      <w:r w:rsidRPr="0022305D">
        <w:rPr>
          <w:rFonts w:asciiTheme="majorHAnsi" w:hAnsiTheme="majorHAnsi" w:cstheme="majorHAnsi"/>
          <w:b/>
          <w:sz w:val="24"/>
          <w:szCs w:val="24"/>
          <w:u w:val="single"/>
        </w:rPr>
        <w:t>Independent variable</w:t>
      </w:r>
      <w:r w:rsidRPr="0022305D">
        <w:rPr>
          <w:rFonts w:asciiTheme="majorHAnsi" w:hAnsiTheme="majorHAnsi" w:cstheme="majorHAnsi"/>
          <w:b/>
          <w:sz w:val="24"/>
          <w:szCs w:val="24"/>
        </w:rPr>
        <w:t xml:space="preserve">   </w:t>
      </w:r>
      <w:r w:rsidRPr="0022305D">
        <w:rPr>
          <w:rFonts w:asciiTheme="majorHAnsi" w:hAnsiTheme="majorHAnsi" w:cstheme="majorHAnsi"/>
          <w:b/>
          <w:sz w:val="24"/>
          <w:szCs w:val="24"/>
        </w:rPr>
        <w:tab/>
      </w:r>
      <w:r w:rsidRPr="0022305D">
        <w:rPr>
          <w:rFonts w:asciiTheme="majorHAnsi" w:hAnsiTheme="majorHAnsi" w:cstheme="majorHAnsi"/>
          <w:b/>
          <w:sz w:val="24"/>
          <w:szCs w:val="24"/>
        </w:rPr>
        <w:tab/>
      </w:r>
      <w:r w:rsidRPr="0022305D">
        <w:rPr>
          <w:rFonts w:asciiTheme="majorHAnsi" w:hAnsiTheme="majorHAnsi" w:cstheme="majorHAnsi"/>
          <w:b/>
          <w:sz w:val="24"/>
          <w:szCs w:val="24"/>
        </w:rPr>
        <w:tab/>
      </w:r>
      <w:r w:rsidRPr="0022305D">
        <w:rPr>
          <w:rFonts w:asciiTheme="majorHAnsi" w:hAnsiTheme="majorHAnsi" w:cstheme="majorHAnsi"/>
          <w:b/>
          <w:sz w:val="24"/>
          <w:szCs w:val="24"/>
        </w:rPr>
        <w:tab/>
      </w:r>
      <w:r w:rsidRPr="0022305D">
        <w:rPr>
          <w:rFonts w:asciiTheme="majorHAnsi" w:hAnsiTheme="majorHAnsi" w:cstheme="majorHAnsi"/>
          <w:b/>
          <w:sz w:val="24"/>
          <w:szCs w:val="24"/>
        </w:rPr>
        <w:tab/>
      </w:r>
      <w:r w:rsidRPr="0022305D">
        <w:rPr>
          <w:rFonts w:asciiTheme="majorHAnsi" w:hAnsiTheme="majorHAnsi" w:cstheme="majorHAnsi"/>
          <w:b/>
          <w:sz w:val="24"/>
          <w:szCs w:val="24"/>
          <w:u w:val="single"/>
        </w:rPr>
        <w:t>Dependent variable</w:t>
      </w:r>
    </w:p>
    <w:p w14:paraId="40C65F97" w14:textId="77777777" w:rsidR="00220318" w:rsidRPr="0022305D" w:rsidRDefault="00220318" w:rsidP="00220318">
      <w:pPr>
        <w:spacing w:line="480" w:lineRule="auto"/>
        <w:jc w:val="center"/>
        <w:rPr>
          <w:rFonts w:asciiTheme="majorHAnsi" w:hAnsiTheme="majorHAnsi" w:cstheme="majorHAnsi"/>
          <w:b/>
          <w:sz w:val="24"/>
          <w:szCs w:val="24"/>
        </w:rPr>
      </w:pPr>
    </w:p>
    <w:p w14:paraId="154E05B7" w14:textId="77777777" w:rsidR="00220318" w:rsidRPr="0022305D" w:rsidRDefault="00220318" w:rsidP="00220318">
      <w:pPr>
        <w:spacing w:line="480" w:lineRule="auto"/>
        <w:jc w:val="center"/>
        <w:rPr>
          <w:rFonts w:asciiTheme="majorHAnsi" w:hAnsiTheme="majorHAnsi" w:cstheme="majorHAnsi"/>
          <w:b/>
          <w:sz w:val="24"/>
          <w:szCs w:val="24"/>
        </w:rPr>
      </w:pPr>
      <w:r w:rsidRPr="0022305D">
        <w:rPr>
          <w:rFonts w:asciiTheme="majorHAnsi" w:hAnsiTheme="majorHAnsi" w:cstheme="majorHAnsi"/>
          <w:b/>
          <w:noProof/>
          <w:sz w:val="24"/>
          <w:szCs w:val="24"/>
        </w:rPr>
        <mc:AlternateContent>
          <mc:Choice Requires="wps">
            <w:drawing>
              <wp:anchor distT="0" distB="0" distL="114300" distR="114300" simplePos="0" relativeHeight="251661312" behindDoc="0" locked="0" layoutInCell="1" allowOverlap="1" wp14:anchorId="54CBFA1D" wp14:editId="3047062C">
                <wp:simplePos x="0" y="0"/>
                <wp:positionH relativeFrom="column">
                  <wp:posOffset>2025878</wp:posOffset>
                </wp:positionH>
                <wp:positionV relativeFrom="paragraph">
                  <wp:posOffset>27940</wp:posOffset>
                </wp:positionV>
                <wp:extent cx="1476375" cy="160655"/>
                <wp:effectExtent l="0" t="19050" r="47625" b="29845"/>
                <wp:wrapNone/>
                <wp:docPr id="3" name="Right Arrow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6375" cy="160655"/>
                        </a:xfrm>
                        <a:prstGeom prst="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5C028CB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3" o:spid="_x0000_s1026" type="#_x0000_t13" style="position:absolute;margin-left:159.5pt;margin-top:2.2pt;width:116.25pt;height:12.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LiKigIAAHMFAAAOAAAAZHJzL2Uyb0RvYy54bWysVEtvGyEQvlfqf0Dcm/U6ttOuso6sRKkq&#10;WYmVpMqZsGCjsAwF7LX76zuwDyepT1UviGG+efLNXF7ta012wnkFpqT52YgSYThUyqxL+vPp9stX&#10;SnxgpmIajCjpQXh6Nf/86bKxhRjDBnQlHEEnxheNLekmBFtkmecbUTN/BlYYVEpwNQsounVWOdag&#10;91pn49FoljXgKuuAC+/x9aZV0nnyL6Xg4V5KLwLRJcXcQjpdOl/imc0vWbF2zG4U79Jg/5BFzZTB&#10;oIOrGxYY2Tr1l6tacQceZDjjUGcgpeIi1YDV5KMP1TxumBWpFmyOt0Ob/P9zy+92K0dUVdJzSgyr&#10;8Yse1HoTyMI5aMh5bFBjfYG4R7tysURvl8BfPSqyd5oo+A6zl66OWCyQ7FO3D0O3xT4Qjo/55GJ2&#10;fjGlhKMun41m02mMlrGit7bOh+8CahIvJXUxsZRXajXbLX1oDXpgDKlNShK0qm6V1kmIbBLX2pEd&#10;Qx6Efd4F8kcUho2WqaS2ilRPOGjRen0QEvuEeY9T9MTQo0/GuTBh1vnVBtHRTGIGg2F+ylCHPpkO&#10;G81EYu5gODpl+D7iYJGiggmDca0MuFMOqtchcovvq29rjuW/QHVAejho58ZbfqvwK5bMhxVzOCg4&#10;Ujj84R4PqaEpKXQ3Sjbgfp96j3jkL2opaXDwSup/bZkTlOgfBpn9LZ9M4qQmYTK9GKPg3mpe3mrM&#10;tr4G/NMc14zl6RrxQfdX6aB+xh2xiFFRxQzH2CXlwfXCdWgXAm4ZLhaLBMPptCwszaPl0XnsaiTZ&#10;0/6ZOdvxMSCT76AfUlZ8IGSLjZYGFtsAUiW2Hvva9RsnO7G+20JxdbyVE+q4K+d/AAAA//8DAFBL&#10;AwQUAAYACAAAACEAMpWblN8AAAAIAQAADwAAAGRycy9kb3ducmV2LnhtbEyPwU7DMBBE70j8g7VI&#10;3KiT0gANcSpAqsQBiVI4cHTjbWIRr03spoGvZznBcTSjmTfVanK9GHGI1pOCfJaBQGq8sdQqeHtd&#10;X9yAiEmT0b0nVPCFEVb16UmlS+OP9ILjNrWCSyiWWkGXUiiljE2HTseZD0js7f3gdGI5tNIM+sjl&#10;rpfzLLuSTlvihU4HfOiw+dgenIJRrr/v7YYHnz8377a1Yf/4FJQ6P5vubkEknNJfGH7xGR1qZtr5&#10;A5koegWX+ZK/JAWLBQj2iyIvQOwUzJfXIOtK/j9Q/wAAAP//AwBQSwECLQAUAAYACAAAACEAtoM4&#10;kv4AAADhAQAAEwAAAAAAAAAAAAAAAAAAAAAAW0NvbnRlbnRfVHlwZXNdLnhtbFBLAQItABQABgAI&#10;AAAAIQA4/SH/1gAAAJQBAAALAAAAAAAAAAAAAAAAAC8BAABfcmVscy8ucmVsc1BLAQItABQABgAI&#10;AAAAIQCKpLiKigIAAHMFAAAOAAAAAAAAAAAAAAAAAC4CAABkcnMvZTJvRG9jLnhtbFBLAQItABQA&#10;BgAIAAAAIQAylZuU3wAAAAgBAAAPAAAAAAAAAAAAAAAAAOQEAABkcnMvZG93bnJldi54bWxQSwUG&#10;AAAAAAQABADzAAAA8AUAAAAA&#10;" adj="20425" fillcolor="white [3201]" strokecolor="black [3213]" strokeweight="1pt">
                <v:path arrowok="t"/>
              </v:shape>
            </w:pict>
          </mc:Fallback>
        </mc:AlternateContent>
      </w:r>
    </w:p>
    <w:p w14:paraId="6D3DF97F" w14:textId="59A12945" w:rsidR="00220318" w:rsidRPr="0022305D" w:rsidRDefault="00220318" w:rsidP="00220318">
      <w:pPr>
        <w:spacing w:line="480" w:lineRule="auto"/>
        <w:rPr>
          <w:rFonts w:asciiTheme="majorHAnsi" w:hAnsiTheme="majorHAnsi" w:cstheme="majorHAnsi"/>
        </w:rPr>
      </w:pPr>
    </w:p>
    <w:bookmarkStart w:id="30" w:name="_Toc78179706"/>
    <w:bookmarkStart w:id="31" w:name="_Toc78205780"/>
    <w:p w14:paraId="7D9969EE" w14:textId="26E41BA2" w:rsidR="00220318" w:rsidRPr="0022305D" w:rsidRDefault="00113952" w:rsidP="00220318">
      <w:pPr>
        <w:pStyle w:val="Heading2"/>
        <w:spacing w:line="480" w:lineRule="auto"/>
        <w:rPr>
          <w:rFonts w:asciiTheme="majorHAnsi" w:hAnsiTheme="majorHAnsi" w:cstheme="majorHAnsi"/>
        </w:rPr>
      </w:pPr>
      <w:r w:rsidRPr="0022305D">
        <w:rPr>
          <w:rFonts w:asciiTheme="majorHAnsi" w:hAnsiTheme="majorHAnsi" w:cstheme="majorHAnsi"/>
          <w:noProof/>
        </w:rPr>
        <mc:AlternateContent>
          <mc:Choice Requires="wps">
            <w:drawing>
              <wp:anchor distT="0" distB="0" distL="114300" distR="114300" simplePos="0" relativeHeight="251666432" behindDoc="0" locked="0" layoutInCell="1" allowOverlap="1" wp14:anchorId="0DB6AECF" wp14:editId="257ADC1D">
                <wp:simplePos x="0" y="0"/>
                <wp:positionH relativeFrom="column">
                  <wp:posOffset>-228600</wp:posOffset>
                </wp:positionH>
                <wp:positionV relativeFrom="paragraph">
                  <wp:posOffset>298450</wp:posOffset>
                </wp:positionV>
                <wp:extent cx="2286000" cy="209550"/>
                <wp:effectExtent l="0" t="0" r="0" b="0"/>
                <wp:wrapNone/>
                <wp:docPr id="6" name="Text Box 6"/>
                <wp:cNvGraphicFramePr/>
                <a:graphic xmlns:a="http://schemas.openxmlformats.org/drawingml/2006/main">
                  <a:graphicData uri="http://schemas.microsoft.com/office/word/2010/wordprocessingShape">
                    <wps:wsp>
                      <wps:cNvSpPr txBox="1"/>
                      <wps:spPr>
                        <a:xfrm>
                          <a:off x="0" y="0"/>
                          <a:ext cx="2286000" cy="209550"/>
                        </a:xfrm>
                        <a:prstGeom prst="rect">
                          <a:avLst/>
                        </a:prstGeom>
                        <a:solidFill>
                          <a:prstClr val="white"/>
                        </a:solidFill>
                        <a:ln>
                          <a:noFill/>
                        </a:ln>
                      </wps:spPr>
                      <wps:txbx>
                        <w:txbxContent>
                          <w:p w14:paraId="1B8D6656" w14:textId="0F19D8DA" w:rsidR="00B64A79" w:rsidRPr="00B64A79" w:rsidRDefault="00B64A79" w:rsidP="00113952">
                            <w:pPr>
                              <w:pStyle w:val="Caption"/>
                              <w:rPr>
                                <w:rFonts w:asciiTheme="majorHAnsi" w:hAnsiTheme="majorHAnsi" w:cstheme="majorHAnsi"/>
                                <w:i w:val="0"/>
                                <w:iCs w:val="0"/>
                                <w:noProof/>
                                <w:color w:val="auto"/>
                                <w:sz w:val="24"/>
                                <w:szCs w:val="24"/>
                              </w:rPr>
                            </w:pPr>
                            <w:bookmarkStart w:id="32" w:name="_Toc78179809"/>
                            <w:r w:rsidRPr="00C57EC2">
                              <w:rPr>
                                <w:rFonts w:asciiTheme="majorHAnsi" w:hAnsiTheme="majorHAnsi" w:cstheme="majorHAnsi"/>
                                <w:color w:val="auto"/>
                                <w:sz w:val="24"/>
                                <w:szCs w:val="24"/>
                              </w:rPr>
                              <w:t xml:space="preserve">Figure </w:t>
                            </w:r>
                            <w:r w:rsidRPr="00C57EC2">
                              <w:rPr>
                                <w:rFonts w:asciiTheme="majorHAnsi" w:hAnsiTheme="majorHAnsi" w:cstheme="majorHAnsi"/>
                                <w:color w:val="auto"/>
                                <w:sz w:val="24"/>
                                <w:szCs w:val="24"/>
                              </w:rPr>
                              <w:fldChar w:fldCharType="begin"/>
                            </w:r>
                            <w:r w:rsidRPr="00C57EC2">
                              <w:rPr>
                                <w:rFonts w:asciiTheme="majorHAnsi" w:hAnsiTheme="majorHAnsi" w:cstheme="majorHAnsi"/>
                                <w:color w:val="auto"/>
                                <w:sz w:val="24"/>
                                <w:szCs w:val="24"/>
                              </w:rPr>
                              <w:instrText xml:space="preserve"> SEQ Figure \* ARABIC </w:instrText>
                            </w:r>
                            <w:r w:rsidRPr="00C57EC2">
                              <w:rPr>
                                <w:rFonts w:asciiTheme="majorHAnsi" w:hAnsiTheme="majorHAnsi" w:cstheme="majorHAnsi"/>
                                <w:color w:val="auto"/>
                                <w:sz w:val="24"/>
                                <w:szCs w:val="24"/>
                              </w:rPr>
                              <w:fldChar w:fldCharType="separate"/>
                            </w:r>
                            <w:r w:rsidRPr="00C57EC2">
                              <w:rPr>
                                <w:rFonts w:asciiTheme="majorHAnsi" w:hAnsiTheme="majorHAnsi" w:cstheme="majorHAnsi"/>
                                <w:noProof/>
                                <w:color w:val="auto"/>
                                <w:sz w:val="24"/>
                                <w:szCs w:val="24"/>
                              </w:rPr>
                              <w:t>1</w:t>
                            </w:r>
                            <w:r w:rsidRPr="00C57EC2">
                              <w:rPr>
                                <w:rFonts w:asciiTheme="majorHAnsi" w:hAnsiTheme="majorHAnsi" w:cstheme="majorHAnsi"/>
                                <w:color w:val="auto"/>
                                <w:sz w:val="24"/>
                                <w:szCs w:val="24"/>
                              </w:rPr>
                              <w:fldChar w:fldCharType="end"/>
                            </w:r>
                            <w:r w:rsidR="00C37718" w:rsidRPr="00C57EC2">
                              <w:rPr>
                                <w:rFonts w:asciiTheme="majorHAnsi" w:hAnsiTheme="majorHAnsi" w:cstheme="majorHAnsi"/>
                                <w:color w:val="auto"/>
                                <w:sz w:val="24"/>
                                <w:szCs w:val="24"/>
                              </w:rPr>
                              <w:t>.0</w:t>
                            </w:r>
                            <w:r w:rsidRPr="00B64A79">
                              <w:rPr>
                                <w:rFonts w:asciiTheme="majorHAnsi" w:hAnsiTheme="majorHAnsi" w:cstheme="majorHAnsi"/>
                                <w:i w:val="0"/>
                                <w:iCs w:val="0"/>
                                <w:color w:val="auto"/>
                                <w:sz w:val="24"/>
                                <w:szCs w:val="24"/>
                              </w:rPr>
                              <w:t>: Conceptual framework</w:t>
                            </w:r>
                            <w:bookmarkEnd w:id="3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DB6AECF" id="_x0000_t202" coordsize="21600,21600" o:spt="202" path="m,l,21600r21600,l21600,xe">
                <v:stroke joinstyle="miter"/>
                <v:path gradientshapeok="t" o:connecttype="rect"/>
              </v:shapetype>
              <v:shape id="Text Box 6" o:spid="_x0000_s1028" type="#_x0000_t202" style="position:absolute;left:0;text-align:left;margin-left:-18pt;margin-top:23.5pt;width:180pt;height:16.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eMQIAAGcEAAAOAAAAZHJzL2Uyb0RvYy54bWysVFFv2yAQfp+0/4B4X+xYatRFcaosVaZJ&#10;UVupqfpMMMRIwDEgsbNfvwPH6dbtadoLPu6Og+/77ry4640mJ+GDAlvT6aSkRFgOjbKHmr7sNp9u&#10;KQmR2YZpsKKmZxHo3fLjh0Xn5qKCFnQjPMEiNsw7V9M2RjcvisBbYViYgBMWgxK8YRG3/lA0nnVY&#10;3eiiKstZ0YFvnAcuQkDv/RCky1xfSsHjo5RBRKJrim+LefV53ae1WC7Y/OCZaxW/PIP9wysMUxYv&#10;vZa6Z5GRo1d/lDKKewgg44SDKUBKxUXGgGim5Ts0zy1zImNBcoK70hT+X1n+cHryRDU1nVFimUGJ&#10;dqKP5Av0ZJbY6VyYY9Kzw7TYoxtVHv0BnQl0L71JX4RDMI48n6/cpmIcnVV1OytLDHGMVeXnm5tM&#10;fvF22vkQvwowJBk19ahdppSdtiHiSzB1TEmXBdCq2Sit0yYF1tqTE0Odu1ZFkd6IJ37L0jblWkin&#10;hnDyFAniACVZsd/3mZBqhLmH5ozoPQzdExzfKLxvy0J8Yh7bBVHhCMRHXKSGrqZwsShpwf/4mz/l&#10;o4oYpaTD9qtp+H5kXlCiv1nUN/XqaPjR2I+GPZo1INIpDpfj2cQDPurRlB7MK07GKt2CIWY53lXT&#10;OJrrOAwBThYXq1VOwo50LG7ts+Op9Mjrrn9l3l1UiajnA4yNyebvxBlyB5ZXxwhSZeUSrwOLF7qx&#10;m7M8l8lL4/LrPme9/R+WPwEAAP//AwBQSwMEFAAGAAgAAAAhAEjsChHfAAAACQEAAA8AAABkcnMv&#10;ZG93bnJldi54bWxMj0FPwzAMhe9I/IfISFzQltJNZSpNJ9jgBoeNaWevCW1F41RJunb/HnNiJ9t6&#10;T8/fK9aT7cTZ+NA6UvA4T0AYqpxuqVZw+HqfrUCEiKSxc2QUXEyAdXl7U2Cu3Ug7c97HWnAIhRwV&#10;NDH2uZShaozFMHe9Ida+nbcY+fS11B5HDredTJMkkxZb4g8N9mbTmOpnP1gF2dYP4442D9vD2wd+&#10;9nV6fL0clbq/m16eQUQzxX8z/OEzOpTMdHID6SA6BbNFxl2iguUTTzYs0iUvJwWrJAFZFvK6QfkL&#10;AAD//wMAUEsBAi0AFAAGAAgAAAAhALaDOJL+AAAA4QEAABMAAAAAAAAAAAAAAAAAAAAAAFtDb250&#10;ZW50X1R5cGVzXS54bWxQSwECLQAUAAYACAAAACEAOP0h/9YAAACUAQAACwAAAAAAAAAAAAAAAAAv&#10;AQAAX3JlbHMvLnJlbHNQSwECLQAUAAYACAAAACEA/ugv3jECAABnBAAADgAAAAAAAAAAAAAAAAAu&#10;AgAAZHJzL2Uyb0RvYy54bWxQSwECLQAUAAYACAAAACEASOwKEd8AAAAJAQAADwAAAAAAAAAAAAAA&#10;AACLBAAAZHJzL2Rvd25yZXYueG1sUEsFBgAAAAAEAAQA8wAAAJcFAAAAAA==&#10;" stroked="f">
                <v:textbox inset="0,0,0,0">
                  <w:txbxContent>
                    <w:p w14:paraId="1B8D6656" w14:textId="0F19D8DA" w:rsidR="00B64A79" w:rsidRPr="00B64A79" w:rsidRDefault="00B64A79" w:rsidP="00113952">
                      <w:pPr>
                        <w:pStyle w:val="Caption"/>
                        <w:rPr>
                          <w:rFonts w:asciiTheme="majorHAnsi" w:hAnsiTheme="majorHAnsi" w:cstheme="majorHAnsi"/>
                          <w:i w:val="0"/>
                          <w:iCs w:val="0"/>
                          <w:noProof/>
                          <w:color w:val="auto"/>
                          <w:sz w:val="24"/>
                          <w:szCs w:val="24"/>
                        </w:rPr>
                      </w:pPr>
                      <w:bookmarkStart w:id="32" w:name="_Toc78179809"/>
                      <w:r w:rsidRPr="00C57EC2">
                        <w:rPr>
                          <w:rFonts w:asciiTheme="majorHAnsi" w:hAnsiTheme="majorHAnsi" w:cstheme="majorHAnsi"/>
                          <w:color w:val="auto"/>
                          <w:sz w:val="24"/>
                          <w:szCs w:val="24"/>
                        </w:rPr>
                        <w:t xml:space="preserve">Figure </w:t>
                      </w:r>
                      <w:r w:rsidRPr="00C57EC2">
                        <w:rPr>
                          <w:rFonts w:asciiTheme="majorHAnsi" w:hAnsiTheme="majorHAnsi" w:cstheme="majorHAnsi"/>
                          <w:color w:val="auto"/>
                          <w:sz w:val="24"/>
                          <w:szCs w:val="24"/>
                        </w:rPr>
                        <w:fldChar w:fldCharType="begin"/>
                      </w:r>
                      <w:r w:rsidRPr="00C57EC2">
                        <w:rPr>
                          <w:rFonts w:asciiTheme="majorHAnsi" w:hAnsiTheme="majorHAnsi" w:cstheme="majorHAnsi"/>
                          <w:color w:val="auto"/>
                          <w:sz w:val="24"/>
                          <w:szCs w:val="24"/>
                        </w:rPr>
                        <w:instrText xml:space="preserve"> SEQ Figure \* ARABIC </w:instrText>
                      </w:r>
                      <w:r w:rsidRPr="00C57EC2">
                        <w:rPr>
                          <w:rFonts w:asciiTheme="majorHAnsi" w:hAnsiTheme="majorHAnsi" w:cstheme="majorHAnsi"/>
                          <w:color w:val="auto"/>
                          <w:sz w:val="24"/>
                          <w:szCs w:val="24"/>
                        </w:rPr>
                        <w:fldChar w:fldCharType="separate"/>
                      </w:r>
                      <w:r w:rsidRPr="00C57EC2">
                        <w:rPr>
                          <w:rFonts w:asciiTheme="majorHAnsi" w:hAnsiTheme="majorHAnsi" w:cstheme="majorHAnsi"/>
                          <w:noProof/>
                          <w:color w:val="auto"/>
                          <w:sz w:val="24"/>
                          <w:szCs w:val="24"/>
                        </w:rPr>
                        <w:t>1</w:t>
                      </w:r>
                      <w:r w:rsidRPr="00C57EC2">
                        <w:rPr>
                          <w:rFonts w:asciiTheme="majorHAnsi" w:hAnsiTheme="majorHAnsi" w:cstheme="majorHAnsi"/>
                          <w:color w:val="auto"/>
                          <w:sz w:val="24"/>
                          <w:szCs w:val="24"/>
                        </w:rPr>
                        <w:fldChar w:fldCharType="end"/>
                      </w:r>
                      <w:r w:rsidR="00C37718" w:rsidRPr="00C57EC2">
                        <w:rPr>
                          <w:rFonts w:asciiTheme="majorHAnsi" w:hAnsiTheme="majorHAnsi" w:cstheme="majorHAnsi"/>
                          <w:color w:val="auto"/>
                          <w:sz w:val="24"/>
                          <w:szCs w:val="24"/>
                        </w:rPr>
                        <w:t>.0</w:t>
                      </w:r>
                      <w:r w:rsidRPr="00B64A79">
                        <w:rPr>
                          <w:rFonts w:asciiTheme="majorHAnsi" w:hAnsiTheme="majorHAnsi" w:cstheme="majorHAnsi"/>
                          <w:i w:val="0"/>
                          <w:iCs w:val="0"/>
                          <w:color w:val="auto"/>
                          <w:sz w:val="24"/>
                          <w:szCs w:val="24"/>
                        </w:rPr>
                        <w:t>: Conceptual framework</w:t>
                      </w:r>
                      <w:bookmarkEnd w:id="32"/>
                    </w:p>
                  </w:txbxContent>
                </v:textbox>
              </v:shape>
            </w:pict>
          </mc:Fallback>
        </mc:AlternateContent>
      </w:r>
      <w:bookmarkEnd w:id="30"/>
      <w:bookmarkEnd w:id="31"/>
    </w:p>
    <w:p w14:paraId="01466847" w14:textId="101080DA" w:rsidR="00113952" w:rsidRDefault="00113952" w:rsidP="00220318">
      <w:pPr>
        <w:spacing w:line="480" w:lineRule="auto"/>
        <w:rPr>
          <w:rFonts w:asciiTheme="majorHAnsi" w:hAnsiTheme="majorHAnsi" w:cstheme="majorHAnsi"/>
        </w:rPr>
      </w:pPr>
    </w:p>
    <w:p w14:paraId="7EA555D4" w14:textId="3C8C53CC" w:rsidR="00711C4F" w:rsidRDefault="00220318" w:rsidP="00113952">
      <w:pPr>
        <w:spacing w:line="480" w:lineRule="auto"/>
        <w:rPr>
          <w:rFonts w:asciiTheme="majorHAnsi" w:hAnsiTheme="majorHAnsi" w:cstheme="majorHAnsi"/>
        </w:rPr>
      </w:pPr>
      <w:r w:rsidRPr="0022305D">
        <w:rPr>
          <w:rFonts w:asciiTheme="majorHAnsi" w:hAnsiTheme="majorHAnsi" w:cstheme="majorHAnsi"/>
        </w:rPr>
        <w:t>Source: Researcher</w:t>
      </w:r>
      <w:r w:rsidR="00FD6F7D">
        <w:rPr>
          <w:rFonts w:asciiTheme="majorHAnsi" w:hAnsiTheme="majorHAnsi" w:cstheme="majorHAnsi"/>
        </w:rPr>
        <w:t xml:space="preserve"> </w:t>
      </w:r>
      <w:r w:rsidR="00C37718">
        <w:rPr>
          <w:rFonts w:asciiTheme="majorHAnsi" w:hAnsiTheme="majorHAnsi" w:cstheme="majorHAnsi"/>
        </w:rPr>
        <w:t>(2021)</w:t>
      </w:r>
    </w:p>
    <w:p w14:paraId="6E777AF8" w14:textId="77777777" w:rsidR="004478B6" w:rsidRDefault="004478B6" w:rsidP="00113952">
      <w:pPr>
        <w:spacing w:line="480" w:lineRule="auto"/>
        <w:rPr>
          <w:rFonts w:asciiTheme="majorHAnsi" w:hAnsiTheme="majorHAnsi" w:cstheme="majorHAnsi"/>
        </w:rPr>
      </w:pPr>
    </w:p>
    <w:p w14:paraId="06FCF6FF" w14:textId="77777777" w:rsidR="00220318" w:rsidRPr="00A96563" w:rsidRDefault="00220318" w:rsidP="00DE2846">
      <w:pPr>
        <w:pStyle w:val="Heading2"/>
        <w:spacing w:line="480" w:lineRule="auto"/>
        <w:jc w:val="left"/>
        <w:rPr>
          <w:rFonts w:asciiTheme="majorHAnsi" w:hAnsiTheme="majorHAnsi" w:cstheme="majorHAnsi"/>
          <w:sz w:val="28"/>
          <w:szCs w:val="28"/>
        </w:rPr>
      </w:pPr>
      <w:bookmarkStart w:id="33" w:name="_Toc76494389"/>
      <w:bookmarkStart w:id="34" w:name="_Toc78205781"/>
      <w:r w:rsidRPr="00A96563">
        <w:rPr>
          <w:rFonts w:asciiTheme="majorHAnsi" w:hAnsiTheme="majorHAnsi" w:cstheme="majorHAnsi"/>
          <w:sz w:val="28"/>
          <w:szCs w:val="28"/>
        </w:rPr>
        <w:t>Scope of the Study</w:t>
      </w:r>
      <w:bookmarkEnd w:id="33"/>
      <w:bookmarkEnd w:id="34"/>
    </w:p>
    <w:p w14:paraId="376BA931" w14:textId="667BD575" w:rsidR="00244B99" w:rsidRPr="00D0748B" w:rsidRDefault="00220318" w:rsidP="00D0748B">
      <w:pPr>
        <w:pStyle w:val="Default"/>
        <w:spacing w:line="480" w:lineRule="auto"/>
        <w:ind w:firstLine="720"/>
        <w:rPr>
          <w:color w:val="auto"/>
        </w:rPr>
      </w:pPr>
      <w:r w:rsidRPr="00D0748B">
        <w:rPr>
          <w:rFonts w:asciiTheme="majorHAnsi" w:hAnsiTheme="majorHAnsi" w:cstheme="majorHAnsi"/>
          <w:iCs/>
          <w:color w:val="auto"/>
        </w:rPr>
        <w:t xml:space="preserve">This study analyzed </w:t>
      </w:r>
      <w:r w:rsidR="00845747" w:rsidRPr="00D0748B">
        <w:rPr>
          <w:rFonts w:asciiTheme="majorHAnsi" w:hAnsiTheme="majorHAnsi" w:cstheme="majorHAnsi"/>
          <w:iCs/>
          <w:color w:val="auto"/>
        </w:rPr>
        <w:t>audited financial statement</w:t>
      </w:r>
      <w:r w:rsidRPr="00D0748B">
        <w:rPr>
          <w:rFonts w:asciiTheme="majorHAnsi" w:hAnsiTheme="majorHAnsi" w:cstheme="majorHAnsi"/>
          <w:iCs/>
          <w:color w:val="auto"/>
        </w:rPr>
        <w:t xml:space="preserve">s for all commercial banks in Kenya for a period of ten consecutive years (2011 to 2020). Secondary data was collected from the Central Bank of Kenya annual published reports and commercial banks’ </w:t>
      </w:r>
      <w:r w:rsidR="00845747" w:rsidRPr="00D0748B">
        <w:rPr>
          <w:rFonts w:asciiTheme="majorHAnsi" w:hAnsiTheme="majorHAnsi" w:cstheme="majorHAnsi"/>
          <w:iCs/>
          <w:color w:val="auto"/>
        </w:rPr>
        <w:t>audited financial statement</w:t>
      </w:r>
      <w:r w:rsidRPr="00D0748B">
        <w:rPr>
          <w:rFonts w:asciiTheme="majorHAnsi" w:hAnsiTheme="majorHAnsi" w:cstheme="majorHAnsi"/>
          <w:iCs/>
          <w:color w:val="auto"/>
        </w:rPr>
        <w:t>s.</w:t>
      </w:r>
      <w:r w:rsidR="00EC53C3" w:rsidRPr="00D0748B">
        <w:rPr>
          <w:rFonts w:asciiTheme="majorHAnsi" w:hAnsiTheme="majorHAnsi" w:cstheme="majorHAnsi"/>
          <w:iCs/>
          <w:color w:val="auto"/>
        </w:rPr>
        <w:t xml:space="preserve"> Statement of financial position, income statement and statement of changes in equity were the main types of </w:t>
      </w:r>
      <w:r w:rsidR="00845747" w:rsidRPr="00D0748B">
        <w:rPr>
          <w:rFonts w:asciiTheme="majorHAnsi" w:hAnsiTheme="majorHAnsi" w:cstheme="majorHAnsi"/>
          <w:iCs/>
          <w:color w:val="auto"/>
        </w:rPr>
        <w:t>audited financial statement</w:t>
      </w:r>
      <w:r w:rsidR="00EC53C3" w:rsidRPr="00D0748B">
        <w:rPr>
          <w:rFonts w:asciiTheme="majorHAnsi" w:hAnsiTheme="majorHAnsi" w:cstheme="majorHAnsi"/>
          <w:iCs/>
          <w:color w:val="auto"/>
        </w:rPr>
        <w:t>s analyzed.</w:t>
      </w:r>
      <w:r w:rsidR="00244B99" w:rsidRPr="00D0748B">
        <w:rPr>
          <w:rFonts w:asciiTheme="majorHAnsi" w:hAnsiTheme="majorHAnsi" w:cstheme="majorHAnsi"/>
          <w:iCs/>
          <w:color w:val="auto"/>
        </w:rPr>
        <w:t xml:space="preserve"> </w:t>
      </w:r>
      <w:r w:rsidR="00244B99" w:rsidRPr="00D0748B">
        <w:t>The study was anchored on pecking order theory and trade off theory.</w:t>
      </w:r>
      <w:r w:rsidR="00D0748B" w:rsidRPr="00D0748B">
        <w:t xml:space="preserve"> </w:t>
      </w:r>
      <w:r w:rsidR="00244B99" w:rsidRPr="00D0748B">
        <w:rPr>
          <w:color w:val="auto"/>
        </w:rPr>
        <w:t>The data collected covered a period of 10 years (20</w:t>
      </w:r>
      <w:r w:rsidR="009F5982" w:rsidRPr="00D0748B">
        <w:rPr>
          <w:color w:val="auto"/>
        </w:rPr>
        <w:t>11</w:t>
      </w:r>
      <w:r w:rsidR="00244B99" w:rsidRPr="00D0748B">
        <w:rPr>
          <w:color w:val="auto"/>
        </w:rPr>
        <w:t>-20</w:t>
      </w:r>
      <w:r w:rsidR="009F5982" w:rsidRPr="00D0748B">
        <w:rPr>
          <w:color w:val="auto"/>
        </w:rPr>
        <w:t>20</w:t>
      </w:r>
      <w:r w:rsidR="00244B99" w:rsidRPr="00D0748B">
        <w:rPr>
          <w:color w:val="auto"/>
        </w:rPr>
        <w:t>)</w:t>
      </w:r>
      <w:r w:rsidR="009F5982" w:rsidRPr="00D0748B">
        <w:rPr>
          <w:color w:val="auto"/>
        </w:rPr>
        <w:t>,</w:t>
      </w:r>
      <w:r w:rsidR="00244B99" w:rsidRPr="00D0748B">
        <w:rPr>
          <w:color w:val="auto"/>
        </w:rPr>
        <w:t xml:space="preserve"> a period </w:t>
      </w:r>
      <w:r w:rsidR="00D0748B" w:rsidRPr="00D0748B">
        <w:rPr>
          <w:color w:val="auto"/>
        </w:rPr>
        <w:t>acceptable</w:t>
      </w:r>
      <w:r w:rsidR="00244B99" w:rsidRPr="00D0748B">
        <w:rPr>
          <w:color w:val="auto"/>
        </w:rPr>
        <w:t xml:space="preserve"> to conduct conclusive studies </w:t>
      </w:r>
      <w:r w:rsidR="00D0748B" w:rsidRPr="00D0748B">
        <w:rPr>
          <w:color w:val="auto"/>
        </w:rPr>
        <w:t>in order</w:t>
      </w:r>
      <w:r w:rsidR="00244B99" w:rsidRPr="00D0748B">
        <w:rPr>
          <w:color w:val="auto"/>
        </w:rPr>
        <w:t xml:space="preserve"> to establish financial trends as </w:t>
      </w:r>
      <w:r w:rsidR="00D0748B" w:rsidRPr="00D0748B">
        <w:rPr>
          <w:color w:val="auto"/>
        </w:rPr>
        <w:t>supported</w:t>
      </w:r>
      <w:r w:rsidR="00244B99" w:rsidRPr="00D0748B">
        <w:rPr>
          <w:color w:val="auto"/>
        </w:rPr>
        <w:t xml:space="preserve"> </w:t>
      </w:r>
      <w:r w:rsidR="00D0748B" w:rsidRPr="00D0748B">
        <w:rPr>
          <w:color w:val="auto"/>
        </w:rPr>
        <w:t xml:space="preserve">similar studies </w:t>
      </w:r>
      <w:r w:rsidR="00244B99" w:rsidRPr="00D0748B">
        <w:rPr>
          <w:color w:val="auto"/>
        </w:rPr>
        <w:t>by</w:t>
      </w:r>
      <w:r w:rsidR="009F5982" w:rsidRPr="00D0748B">
        <w:rPr>
          <w:color w:val="auto"/>
        </w:rPr>
        <w:t xml:space="preserve"> </w:t>
      </w:r>
      <w:r w:rsidR="009F5982" w:rsidRPr="00D0748B">
        <w:rPr>
          <w:color w:val="auto"/>
        </w:rPr>
        <w:fldChar w:fldCharType="begin" w:fldLock="1"/>
      </w:r>
      <w:r w:rsidR="00D0748B" w:rsidRPr="00D0748B">
        <w:rPr>
          <w:color w:val="auto"/>
        </w:rPr>
        <w:instrText>ADDIN CSL_CITATION {"citationItems":[{"id":"ITEM-1","itemData":{"DOI":"10.12816/0033281","ISSN":"2311326X","abstract":"Business firms exist in a world of rapid changes. In 21st century, business and economic environment is characterized by various changes like High-growth markets, financial crisis, technological advances, stiff competition, innovation etc. In such a complex and rapidly changing corporate environment, a firm will not be able to survive in the long-run if its financial performance is not sound in all respects. The present study is an attempt to analyze financial performance of Steel Authority of India Limited, a Public Sector Undertaking in India enjoying the status of Maharatna, for a period of ten years from 2005 to 2014 using various financial ratios. The analysis of the present study revealed that there was a decline in the financial performance of SAIL during the study period i.e. between 2005 and 2014.","author":[{"dropping-particle":"","family":"Yameen","given":"Mohd","non-dropping-particle":"","parse-names":false,"suffix":""}],"container-title":"International Journal of Accounting Research","id":"ITEM-1","issue":"12","issued":{"date-parts":[["2016"]]},"page":"32-41","title":"Impact of liquidity , solvency and efficiency on profitability of steel authority of India limited","type":"article-journal","volume":"2"},"uris":["http://www.mendeley.com/documents/?uuid=d9f2d236-2e71-4f4b-8e1a-0bec99f13038"]}],"mendeley":{"formattedCitation":"(Yameen, 2016)","manualFormatting":"Yameen (2016)","plainTextFormattedCitation":"(Yameen, 2016)","previouslyFormattedCitation":"(Yameen, 2016)"},"properties":{"noteIndex":0},"schema":"https://github.com/citation-style-language/schema/raw/master/csl-citation.json"}</w:instrText>
      </w:r>
      <w:r w:rsidR="009F5982" w:rsidRPr="00D0748B">
        <w:rPr>
          <w:color w:val="auto"/>
        </w:rPr>
        <w:fldChar w:fldCharType="separate"/>
      </w:r>
      <w:r w:rsidR="009F5982" w:rsidRPr="00D0748B">
        <w:rPr>
          <w:noProof/>
          <w:color w:val="auto"/>
        </w:rPr>
        <w:t xml:space="preserve">Yameen </w:t>
      </w:r>
      <w:r w:rsidR="00D0748B" w:rsidRPr="00D0748B">
        <w:rPr>
          <w:noProof/>
          <w:color w:val="auto"/>
        </w:rPr>
        <w:t>(</w:t>
      </w:r>
      <w:r w:rsidR="009F5982" w:rsidRPr="00D0748B">
        <w:rPr>
          <w:noProof/>
          <w:color w:val="auto"/>
        </w:rPr>
        <w:t>2016)</w:t>
      </w:r>
      <w:r w:rsidR="009F5982" w:rsidRPr="00D0748B">
        <w:rPr>
          <w:color w:val="auto"/>
        </w:rPr>
        <w:fldChar w:fldCharType="end"/>
      </w:r>
      <w:r w:rsidR="00D0748B" w:rsidRPr="00D0748B">
        <w:rPr>
          <w:color w:val="auto"/>
        </w:rPr>
        <w:t xml:space="preserve"> and </w:t>
      </w:r>
      <w:r w:rsidR="009F5982" w:rsidRPr="00D0748B">
        <w:rPr>
          <w:color w:val="auto"/>
        </w:rPr>
        <w:fldChar w:fldCharType="begin" w:fldLock="1"/>
      </w:r>
      <w:r w:rsidR="00D0748B" w:rsidRPr="00D0748B">
        <w:rPr>
          <w:color w:val="auto"/>
        </w:rPr>
        <w:instrText>ADDIN CSL_CITATION {"citationItems":[{"id":"ITEM-1","itemData":{"DOI":"10.4236/jmf.2020.104037","ISSN":"2162-2434","abstract":"This paper empirically aims to analyze the effect of capital structure on financial performance. Two main sets of variables were used: For profitability, return on assets (ROA) as the ratio of net income to total assets, and return on equity (ROE) as the ratio of net income to total shareholders’ equity were adopted as a proxy for financial performance; and to indicate capital structure, short-term debt, long-term debt, total debt, debt to equity ratio, and firm’s size were used. A sample of 30 Energy American firms for a period of nine years from 2005 – 2013 was considered. Secondary data were collected from financial statements which were taken from Mergent online. The data were analyzed by using Smart PLS (Partial Least Square) version 3. Multiple regressions indicated that 10% of ROE and 34% of ROA were predicted by the independent variables. Findings also presented that the total debt has a significant negative impact on ROE and ROA, while size in terms of sales has significantly negative effect only on ROE of the American firms. However, a short debt significantly has a positive influence on ROE. An insignificant either negative or positive relationship was observed between long term debt, debt to equity and size in terms of total assets and profitability. A generalization of the results is limited because of the small sample size. For future research, the author suggests addressing a longer period of time with a large sample size of firms. It would be more accurate if future studies included more independent variables such as taxation and concentration. KEYWORDS:","author":[{"dropping-particle":"","family":"Hajisaaid","given":"Alwalid Mohammad Saleh","non-dropping-particle":"","parse-names":false,"suffix":""}],"container-title":"Journal of Mathematical Finance","id":"ITEM-1","issue":"04","issued":{"date-parts":[["2020"]]},"page":"631-647","title":"The effect of capital structure on profitability of basic materials Saudi Arabia firms","type":"article-journal","volume":"10"},"uris":["http://www.mendeley.com/documents/?uuid=2701727c-c395-4d07-8a84-ef29aaaa348d"]}],"mendeley":{"formattedCitation":"(Hajisaaid, 2020)","manualFormatting":"Hajisaaid (2020)","plainTextFormattedCitation":"(Hajisaaid, 2020)","previouslyFormattedCitation":"(Hajisaaid, 2020)"},"properties":{"noteIndex":0},"schema":"https://github.com/citation-style-language/schema/raw/master/csl-citation.json"}</w:instrText>
      </w:r>
      <w:r w:rsidR="009F5982" w:rsidRPr="00D0748B">
        <w:rPr>
          <w:color w:val="auto"/>
        </w:rPr>
        <w:fldChar w:fldCharType="separate"/>
      </w:r>
      <w:r w:rsidR="009F5982" w:rsidRPr="00D0748B">
        <w:rPr>
          <w:noProof/>
          <w:color w:val="auto"/>
        </w:rPr>
        <w:t xml:space="preserve">Hajisaaid </w:t>
      </w:r>
      <w:r w:rsidR="00D0748B" w:rsidRPr="00D0748B">
        <w:rPr>
          <w:noProof/>
          <w:color w:val="auto"/>
        </w:rPr>
        <w:t>(</w:t>
      </w:r>
      <w:r w:rsidR="009F5982" w:rsidRPr="00D0748B">
        <w:rPr>
          <w:noProof/>
          <w:color w:val="auto"/>
        </w:rPr>
        <w:t>2020)</w:t>
      </w:r>
      <w:r w:rsidR="009F5982" w:rsidRPr="00D0748B">
        <w:rPr>
          <w:color w:val="auto"/>
        </w:rPr>
        <w:fldChar w:fldCharType="end"/>
      </w:r>
      <w:r w:rsidR="00D0748B" w:rsidRPr="00D0748B">
        <w:rPr>
          <w:color w:val="auto"/>
        </w:rPr>
        <w:t>.</w:t>
      </w:r>
      <w:r w:rsidR="009F5982" w:rsidRPr="00D0748B">
        <w:rPr>
          <w:color w:val="auto"/>
        </w:rPr>
        <w:t xml:space="preserve"> </w:t>
      </w:r>
    </w:p>
    <w:p w14:paraId="58F345F9" w14:textId="77777777" w:rsidR="00220318" w:rsidRPr="00A96563" w:rsidRDefault="00220318" w:rsidP="004478B6">
      <w:pPr>
        <w:pStyle w:val="Heading2"/>
        <w:spacing w:line="480" w:lineRule="auto"/>
        <w:jc w:val="left"/>
        <w:rPr>
          <w:rFonts w:asciiTheme="majorHAnsi" w:hAnsiTheme="majorHAnsi" w:cstheme="majorHAnsi"/>
          <w:sz w:val="28"/>
          <w:szCs w:val="28"/>
        </w:rPr>
      </w:pPr>
      <w:bookmarkStart w:id="35" w:name="_Toc76494390"/>
      <w:bookmarkStart w:id="36" w:name="_Toc78205782"/>
      <w:r w:rsidRPr="00A96563">
        <w:rPr>
          <w:rFonts w:asciiTheme="majorHAnsi" w:hAnsiTheme="majorHAnsi" w:cstheme="majorHAnsi"/>
          <w:sz w:val="28"/>
          <w:szCs w:val="28"/>
        </w:rPr>
        <w:lastRenderedPageBreak/>
        <w:t>Operational definition of terms</w:t>
      </w:r>
      <w:bookmarkEnd w:id="35"/>
      <w:bookmarkEnd w:id="36"/>
    </w:p>
    <w:p w14:paraId="5EA174B0" w14:textId="5792A548" w:rsidR="00220318" w:rsidRPr="0022305D" w:rsidRDefault="00220318" w:rsidP="00B64A79">
      <w:pPr>
        <w:pStyle w:val="NoSpacing"/>
        <w:spacing w:line="480" w:lineRule="auto"/>
        <w:rPr>
          <w:rFonts w:asciiTheme="majorHAnsi" w:hAnsiTheme="majorHAnsi" w:cstheme="majorHAnsi"/>
          <w:sz w:val="24"/>
          <w:szCs w:val="24"/>
        </w:rPr>
      </w:pPr>
      <w:r w:rsidRPr="0022305D">
        <w:rPr>
          <w:rFonts w:asciiTheme="majorHAnsi" w:hAnsiTheme="majorHAnsi" w:cstheme="majorHAnsi"/>
          <w:sz w:val="24"/>
          <w:szCs w:val="24"/>
        </w:rPr>
        <w:t xml:space="preserve">In this study, solvency was re-examined as Independent Variable and profitability as Dependent Variable. </w:t>
      </w:r>
    </w:p>
    <w:p w14:paraId="73066F4F" w14:textId="7ECCF9FB" w:rsidR="00220318" w:rsidRDefault="00220318" w:rsidP="00220318">
      <w:pPr>
        <w:spacing w:after="0" w:line="480" w:lineRule="auto"/>
        <w:rPr>
          <w:rFonts w:asciiTheme="majorHAnsi" w:hAnsiTheme="majorHAnsi" w:cstheme="majorHAnsi"/>
          <w:sz w:val="24"/>
          <w:szCs w:val="24"/>
        </w:rPr>
      </w:pPr>
      <w:r w:rsidRPr="0022305D">
        <w:rPr>
          <w:rFonts w:asciiTheme="majorHAnsi" w:hAnsiTheme="majorHAnsi" w:cstheme="majorHAnsi"/>
          <w:b/>
          <w:sz w:val="24"/>
          <w:szCs w:val="24"/>
        </w:rPr>
        <w:t>Solvency</w:t>
      </w:r>
      <w:r w:rsidRPr="0022305D">
        <w:rPr>
          <w:rFonts w:asciiTheme="majorHAnsi" w:hAnsiTheme="majorHAnsi" w:cstheme="majorHAnsi"/>
          <w:sz w:val="24"/>
          <w:szCs w:val="24"/>
        </w:rPr>
        <w:t xml:space="preserve">- Solvency indicates ability of firm to meet long term financial obligation (Dahiyat, 2016).  Solvent firms have more assets than liabilities while insolvent firms have more liabilities than assets </w:t>
      </w:r>
      <w:r w:rsidRPr="0022305D">
        <w:rPr>
          <w:rFonts w:asciiTheme="majorHAnsi" w:hAnsiTheme="majorHAnsi" w:cstheme="majorHAnsi"/>
          <w:sz w:val="24"/>
          <w:szCs w:val="24"/>
        </w:rPr>
        <w:fldChar w:fldCharType="begin" w:fldLock="1"/>
      </w:r>
      <w:r w:rsidR="0002347B">
        <w:rPr>
          <w:rFonts w:asciiTheme="majorHAnsi" w:hAnsiTheme="majorHAnsi" w:cstheme="majorHAnsi"/>
          <w:sz w:val="24"/>
          <w:szCs w:val="24"/>
        </w:rPr>
        <w:instrText>ADDIN CSL_CITATION {"citationItems":[{"id":"ITEM-1","itemData":{"author":[{"dropping-particle":"","family":"Muthoni","given":"Mburu Ruth","non-dropping-particle":"","parse-names":false,"suffix":""}],"container-title":"Journal of Asian Finance, Economics and Business","id":"ITEM-1","issue":"October","issued":{"date-parts":[["2013"]]},"page":"1-62","title":"The effect of liquidity and solvency on the profitability of commercial banks in Kenya","type":"article-journal"},"uris":["http://www.mendeley.com/documents/?uuid=44d5acc2-c2a6-4bc7-9abc-d398a680607e"]}],"mendeley":{"formattedCitation":"(Muthoni, 2013)","plainTextFormattedCitation":"(Muthoni, 2013)","previouslyFormattedCitation":"(Muthoni, 2013)"},"properties":{"noteIndex":0},"schema":"https://github.com/citation-style-language/schema/raw/master/csl-citation.json"}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(Muthoni, 2013)</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xml:space="preserve">. Solvency was measured by assessing the level of </w:t>
      </w:r>
      <w:r w:rsidR="00CB2CDC">
        <w:rPr>
          <w:rFonts w:asciiTheme="majorHAnsi" w:hAnsiTheme="majorHAnsi" w:cstheme="majorHAnsi"/>
          <w:sz w:val="24"/>
          <w:szCs w:val="24"/>
        </w:rPr>
        <w:t>total debt to total assets ratio</w:t>
      </w:r>
      <w:r w:rsidRPr="0022305D">
        <w:rPr>
          <w:rFonts w:asciiTheme="majorHAnsi" w:hAnsiTheme="majorHAnsi" w:cstheme="majorHAnsi"/>
          <w:sz w:val="24"/>
          <w:szCs w:val="24"/>
        </w:rPr>
        <w:t xml:space="preserve"> and </w:t>
      </w:r>
      <w:r w:rsidR="00BE06BC">
        <w:rPr>
          <w:rFonts w:asciiTheme="majorHAnsi" w:hAnsiTheme="majorHAnsi" w:cstheme="majorHAnsi"/>
          <w:sz w:val="24"/>
          <w:szCs w:val="24"/>
        </w:rPr>
        <w:t>total debt to equity</w:t>
      </w:r>
      <w:r w:rsidRPr="0022305D">
        <w:rPr>
          <w:rFonts w:asciiTheme="majorHAnsi" w:hAnsiTheme="majorHAnsi" w:cstheme="majorHAnsi"/>
          <w:sz w:val="24"/>
          <w:szCs w:val="24"/>
        </w:rPr>
        <w:t xml:space="preserve"> ratio of the commercial banks in Kenya. </w:t>
      </w:r>
    </w:p>
    <w:p w14:paraId="2A6A2C91" w14:textId="497BDBE2" w:rsidR="00C5691D" w:rsidRPr="00C5691D" w:rsidRDefault="00C5691D" w:rsidP="00C5691D">
      <w:pPr>
        <w:pStyle w:val="ListParagraph"/>
        <w:numPr>
          <w:ilvl w:val="0"/>
          <w:numId w:val="6"/>
        </w:numPr>
        <w:spacing w:after="0" w:line="480" w:lineRule="auto"/>
        <w:rPr>
          <w:rFonts w:asciiTheme="majorHAnsi" w:hAnsiTheme="majorHAnsi" w:cstheme="majorHAnsi"/>
          <w:sz w:val="24"/>
          <w:szCs w:val="24"/>
        </w:rPr>
      </w:pPr>
      <w:r w:rsidRPr="00C5691D">
        <w:rPr>
          <w:rFonts w:asciiTheme="majorHAnsi" w:hAnsiTheme="majorHAnsi" w:cstheme="majorHAnsi"/>
          <w:b/>
          <w:bCs/>
          <w:sz w:val="24"/>
          <w:szCs w:val="24"/>
        </w:rPr>
        <w:t>Commercial banks</w:t>
      </w:r>
      <w:r w:rsidRPr="00C5691D">
        <w:rPr>
          <w:rFonts w:asciiTheme="majorHAnsi" w:hAnsiTheme="majorHAnsi" w:cstheme="majorHAnsi"/>
          <w:sz w:val="24"/>
          <w:szCs w:val="24"/>
        </w:rPr>
        <w:t>- Business entities, licensed by the central bank of Kenya, which are established  to increase shareholders’ wealth by accepting deposits from the public, issuing of loans and offering of basic investment products to individual customers and businesses (</w:t>
      </w:r>
      <w:r w:rsidRPr="00C5691D">
        <w:rPr>
          <w:rFonts w:asciiTheme="majorHAnsi" w:hAnsiTheme="majorHAnsi" w:cstheme="majorHAnsi"/>
          <w:sz w:val="24"/>
          <w:szCs w:val="24"/>
        </w:rPr>
        <w:fldChar w:fldCharType="begin" w:fldLock="1"/>
      </w:r>
      <w:r w:rsidR="0002347B">
        <w:rPr>
          <w:rFonts w:asciiTheme="majorHAnsi" w:hAnsiTheme="majorHAnsi" w:cstheme="majorHAnsi"/>
          <w:sz w:val="24"/>
          <w:szCs w:val="24"/>
        </w:rPr>
        <w:instrText>ADDIN CSL_CITATION {"citationItems":[{"id":"ITEM-1","itemData":{"ISSN":"10072276","abstract":"Design and manufacture of higher rejection rate filters which meet the needs of accurate measurement of BaTiO 3 single crystal film high-speed electro-optic modulator waveguide devices were focused on. The filters were used to improve the signal-to-noise ratio of the test system and eliminate stray light interference. The films were prepared by the depositing method of dual ion beam sputtering, Nb and SiO 2 were chosen as deposition materials. The coating was designed and optimized with the help of Macleod and TFCalc software, orthogonal matrix method was used to optimize the process parameters of assist ion source. The absorption of film was reduced by using optimized process parameters, the problem of film thickness accuracy controlling was solved by using the method of real-time calibration of the deposition rate. Test transmission spectrum of the filter, center wavelength is 1550.1 nm, the pass band width is 5.1 nm, the wavelength interval of optical density from -0.1 dB to -30 dB is 1.9 nm, the using requirements of the waveguide accurate measurement system is achieved.","author":[{"dropping-particle":"","family":"Muriithi","given":"Jane","non-dropping-particle":"","parse-names":false,"suffix":""}],"container-title":"Journal of Business and Economics","id":"ITEM-1","issued":{"date-parts":[["2016"]]},"page":"1-197","title":"Effect of financial risk on financial performance of commercial banks in Kenya","type":"article-journal"},"uris":["http://www.mendeley.com/documents/?uuid=2e4cdd68-c75c-4951-a2b9-a0948f44fc8d"]}],"mendeley":{"formattedCitation":"(Muriithi, 2016)","manualFormatting":"Muriithi, 2016)","plainTextFormattedCitation":"(Muriithi, 2016)","previouslyFormattedCitation":"(Muriithi, 2016)"},"properties":{"noteIndex":0},"schema":"https://github.com/citation-style-language/schema/raw/master/csl-citation.json"}</w:instrText>
      </w:r>
      <w:r w:rsidRPr="00C5691D">
        <w:rPr>
          <w:rFonts w:asciiTheme="majorHAnsi" w:hAnsiTheme="majorHAnsi" w:cstheme="majorHAnsi"/>
          <w:sz w:val="24"/>
          <w:szCs w:val="24"/>
        </w:rPr>
        <w:fldChar w:fldCharType="separate"/>
      </w:r>
      <w:r w:rsidRPr="00C5691D">
        <w:rPr>
          <w:rFonts w:asciiTheme="majorHAnsi" w:hAnsiTheme="majorHAnsi" w:cstheme="majorHAnsi"/>
          <w:noProof/>
          <w:sz w:val="24"/>
          <w:szCs w:val="24"/>
        </w:rPr>
        <w:t>Muriithi, 2016)</w:t>
      </w:r>
      <w:r w:rsidRPr="00C5691D">
        <w:rPr>
          <w:rFonts w:asciiTheme="majorHAnsi" w:hAnsiTheme="majorHAnsi" w:cstheme="majorHAnsi"/>
          <w:sz w:val="24"/>
          <w:szCs w:val="24"/>
        </w:rPr>
        <w:fldChar w:fldCharType="end"/>
      </w:r>
      <w:r w:rsidRPr="00C5691D">
        <w:rPr>
          <w:rFonts w:asciiTheme="majorHAnsi" w:hAnsiTheme="majorHAnsi" w:cstheme="majorHAnsi"/>
          <w:sz w:val="24"/>
          <w:szCs w:val="24"/>
        </w:rPr>
        <w:t>.</w:t>
      </w:r>
    </w:p>
    <w:p w14:paraId="58E90EB4" w14:textId="3353A192" w:rsidR="00220318" w:rsidRPr="00C5691D" w:rsidRDefault="00CB2CDC" w:rsidP="00C5691D">
      <w:pPr>
        <w:pStyle w:val="ListParagraph"/>
        <w:numPr>
          <w:ilvl w:val="0"/>
          <w:numId w:val="6"/>
        </w:numPr>
        <w:spacing w:after="0" w:line="480" w:lineRule="auto"/>
        <w:rPr>
          <w:sz w:val="23"/>
          <w:szCs w:val="23"/>
        </w:rPr>
      </w:pPr>
      <w:r w:rsidRPr="00C5691D">
        <w:rPr>
          <w:rFonts w:asciiTheme="majorHAnsi" w:hAnsiTheme="majorHAnsi" w:cstheme="majorHAnsi"/>
          <w:b/>
          <w:sz w:val="24"/>
          <w:szCs w:val="24"/>
        </w:rPr>
        <w:t>Total debt to total assets ratio</w:t>
      </w:r>
      <w:r w:rsidR="00220318" w:rsidRPr="00C5691D">
        <w:rPr>
          <w:rFonts w:asciiTheme="majorHAnsi" w:hAnsiTheme="majorHAnsi" w:cstheme="majorHAnsi"/>
          <w:sz w:val="24"/>
          <w:szCs w:val="24"/>
        </w:rPr>
        <w:t xml:space="preserve">-  Shows percentage of assets financed by total liabilities </w:t>
      </w:r>
      <w:r w:rsidR="00220318" w:rsidRPr="00C5691D">
        <w:rPr>
          <w:rFonts w:asciiTheme="majorHAnsi" w:hAnsiTheme="majorHAnsi" w:cstheme="majorHAnsi"/>
          <w:sz w:val="24"/>
          <w:szCs w:val="24"/>
        </w:rPr>
        <w:fldChar w:fldCharType="begin" w:fldLock="1"/>
      </w:r>
      <w:r w:rsidR="007B2007" w:rsidRPr="00C5691D">
        <w:rPr>
          <w:rFonts w:asciiTheme="majorHAnsi" w:hAnsiTheme="majorHAnsi" w:cstheme="majorHAnsi"/>
          <w:sz w:val="24"/>
          <w:szCs w:val="24"/>
        </w:rPr>
        <w:instrText>ADDIN CSL_CITATION {"citationItems":[{"id":"ITEM-1","itemData":{"abstract":"The factors affecting debt levels of firms are related to the course of economy as well as the profitability of companies. But it is quite difficult to make a prediction about the course of economy. In this study, it is aimed to reveal how profitability indicators of companies affect debt levels. The purpose of this study is to examine the relation between the debt and profitability ratios of the companies that operate on the BIST (Istanbul Stock Exchange Market) manufacturing industry by using Panel Regression Analysis. The data of the 86 companies within manufacturing industry on the BIST between the years 1994 and 2015 were used. Furthermore, the variables such as asset growth ratio, return on asset, current ratio, leverage ratio, cash rate, new borrowing rates, total financial liability/total liability ratio, return on equity, investment and earnings have been studied. It has been observed in the study that the active growth and the return on equity ratios affect the new borrowing variables positively while investment, current earnings per share ratios affect the new borrowing variablesnegatively. In addition, it has been determined in the study that the return on investment, the return on assets and the current ratios affect the leverage ratio negatively while the active growth, the return on equity, the earnings and the cash ratios per share affect the leverage ratios positively. It has also seen that the active return on assets and the earnings per share ratios affect the total financial liabilities/total liability ratios negatively while the asset growth ratios affect the total financial liabilities/total liabilities ratios positively.","author":[{"dropping-particle":"","family":"Korkmaz","given":"Ozge","non-dropping-particle":"","parse-names":false,"suffix":""}],"container-title":"Journal of Financial Studies","id":"ITEM-1","issue":"2","issued":{"date-parts":[["2016"]]},"page":"35-54","title":"The effect of profitability ratios on debt ratio: The sample of BIST manufacturing industry","type":"article-journal","volume":"20"},"uris":["http://www.mendeley.com/documents/?uuid=a0bc9f59-5686-4ee9-a7e7-9357862f6a17"]}],"mendeley":{"formattedCitation":"(Korkmaz, 2016)","plainTextFormattedCitation":"(Korkmaz, 2016)","previouslyFormattedCitation":"(Korkmaz, 2016)"},"properties":{"noteIndex":0},"schema":"https://github.com/citation-style-language/schema/raw/master/csl-citation.json"}</w:instrText>
      </w:r>
      <w:r w:rsidR="00220318" w:rsidRPr="00C5691D">
        <w:rPr>
          <w:rFonts w:asciiTheme="majorHAnsi" w:hAnsiTheme="majorHAnsi" w:cstheme="majorHAnsi"/>
          <w:sz w:val="24"/>
          <w:szCs w:val="24"/>
        </w:rPr>
        <w:fldChar w:fldCharType="separate"/>
      </w:r>
      <w:r w:rsidR="00220318" w:rsidRPr="00C5691D">
        <w:rPr>
          <w:rFonts w:asciiTheme="majorHAnsi" w:hAnsiTheme="majorHAnsi" w:cstheme="majorHAnsi"/>
          <w:noProof/>
          <w:sz w:val="24"/>
          <w:szCs w:val="24"/>
        </w:rPr>
        <w:t>(Korkmaz, 2016)</w:t>
      </w:r>
      <w:r w:rsidR="00220318" w:rsidRPr="00C5691D">
        <w:rPr>
          <w:rFonts w:asciiTheme="majorHAnsi" w:hAnsiTheme="majorHAnsi" w:cstheme="majorHAnsi"/>
          <w:sz w:val="24"/>
          <w:szCs w:val="24"/>
        </w:rPr>
        <w:fldChar w:fldCharType="end"/>
      </w:r>
      <w:r w:rsidR="00220318" w:rsidRPr="00C5691D">
        <w:rPr>
          <w:rFonts w:asciiTheme="majorHAnsi" w:hAnsiTheme="majorHAnsi" w:cstheme="majorHAnsi"/>
          <w:sz w:val="24"/>
          <w:szCs w:val="24"/>
        </w:rPr>
        <w:t xml:space="preserve">. If the percentage is too high, it indicates that it is difficult to meet long-term financial obligations and if the percentage is low the firm is able to meet long term obligations </w:t>
      </w:r>
      <w:r w:rsidR="00220318" w:rsidRPr="00C5691D">
        <w:rPr>
          <w:rFonts w:asciiTheme="majorHAnsi" w:hAnsiTheme="majorHAnsi" w:cstheme="majorHAnsi"/>
          <w:sz w:val="24"/>
          <w:szCs w:val="24"/>
        </w:rPr>
        <w:fldChar w:fldCharType="begin" w:fldLock="1"/>
      </w:r>
      <w:r w:rsidR="007B2007" w:rsidRPr="00C5691D">
        <w:rPr>
          <w:rFonts w:asciiTheme="majorHAnsi" w:hAnsiTheme="majorHAnsi" w:cstheme="majorHAnsi"/>
          <w:sz w:val="24"/>
          <w:szCs w:val="24"/>
        </w:rPr>
        <w:instrText>ADDIN CSL_CITATION {"citationItems":[{"id":"ITEM-1","itemData":{"abstract":"The factors affecting debt levels of firms are related to the course of economy as well as the profitability of companies. But it is quite difficult to make a prediction about the course of economy. In this study, it is aimed to reveal how profitability indicators of companies affect debt levels. The purpose of this study is to examine the relation between the debt and profitability ratios of the companies that operate on the BIST (Istanbul Stock Exchange Market) manufacturing industry by using Panel Regression Analysis. The data of the 86 companies within manufacturing industry on the BIST between the years 1994 and 2015 were used. Furthermore, the variables such as asset growth ratio, return on asset, current ratio, leverage ratio, cash rate, new borrowing rates, total financial liability/total liability ratio, return on equity, investment and earnings have been studied. It has been observed in the study that the active growth and the return on equity ratios affect the new borrowing variables positively while investment, current earnings per share ratios affect the new borrowing variablesnegatively. In addition, it has been determined in the study that the return on investment, the return on assets and the current ratios affect the leverage ratio negatively while the active growth, the return on equity, the earnings and the cash ratios per share affect the leverage ratios positively. It has also seen that the active return on assets and the earnings per share ratios affect the total financial liabilities/total liability ratios negatively while the asset growth ratios affect the total financial liabilities/total liabilities ratios positively.","author":[{"dropping-particle":"","family":"Korkmaz","given":"Ozge","non-dropping-particle":"","parse-names":false,"suffix":""}],"container-title":"Journal of Financial Studies","id":"ITEM-1","issue":"2","issued":{"date-parts":[["2016"]]},"page":"35-54","title":"The effect of profitability ratios on debt ratio: The sample of BIST manufacturing industry","type":"article-journal","volume":"20"},"uris":["http://www.mendeley.com/documents/?uuid=a0bc9f59-5686-4ee9-a7e7-9357862f6a17"]}],"mendeley":{"formattedCitation":"(Korkmaz, 2016)","plainTextFormattedCitation":"(Korkmaz, 2016)","previouslyFormattedCitation":"(Korkmaz, 2016)"},"properties":{"noteIndex":0},"schema":"https://github.com/citation-style-language/schema/raw/master/csl-citation.json"}</w:instrText>
      </w:r>
      <w:r w:rsidR="00220318" w:rsidRPr="00C5691D">
        <w:rPr>
          <w:rFonts w:asciiTheme="majorHAnsi" w:hAnsiTheme="majorHAnsi" w:cstheme="majorHAnsi"/>
          <w:sz w:val="24"/>
          <w:szCs w:val="24"/>
        </w:rPr>
        <w:fldChar w:fldCharType="separate"/>
      </w:r>
      <w:r w:rsidR="00220318" w:rsidRPr="00C5691D">
        <w:rPr>
          <w:rFonts w:asciiTheme="majorHAnsi" w:hAnsiTheme="majorHAnsi" w:cstheme="majorHAnsi"/>
          <w:noProof/>
          <w:sz w:val="24"/>
          <w:szCs w:val="24"/>
        </w:rPr>
        <w:t>(Korkmaz, 2016)</w:t>
      </w:r>
      <w:r w:rsidR="00220318" w:rsidRPr="00C5691D">
        <w:rPr>
          <w:rFonts w:asciiTheme="majorHAnsi" w:hAnsiTheme="majorHAnsi" w:cstheme="majorHAnsi"/>
          <w:sz w:val="24"/>
          <w:szCs w:val="24"/>
        </w:rPr>
        <w:fldChar w:fldCharType="end"/>
      </w:r>
      <w:r w:rsidR="00220318" w:rsidRPr="00C5691D">
        <w:rPr>
          <w:rFonts w:asciiTheme="majorHAnsi" w:hAnsiTheme="majorHAnsi" w:cstheme="majorHAnsi"/>
          <w:sz w:val="24"/>
          <w:szCs w:val="24"/>
        </w:rPr>
        <w:t xml:space="preserve">. </w:t>
      </w:r>
      <w:r w:rsidRPr="00C5691D">
        <w:rPr>
          <w:rFonts w:asciiTheme="majorHAnsi" w:hAnsiTheme="majorHAnsi" w:cstheme="majorHAnsi"/>
          <w:sz w:val="24"/>
          <w:szCs w:val="24"/>
        </w:rPr>
        <w:t>Total debt to total assets ratio</w:t>
      </w:r>
      <w:r w:rsidR="00220318" w:rsidRPr="00C5691D">
        <w:rPr>
          <w:rFonts w:asciiTheme="majorHAnsi" w:hAnsiTheme="majorHAnsi" w:cstheme="majorHAnsi"/>
          <w:sz w:val="24"/>
          <w:szCs w:val="24"/>
        </w:rPr>
        <w:t xml:space="preserve"> was calculated by dividing total liabilities of a commercial bank in Kenya by its total assets.</w:t>
      </w:r>
    </w:p>
    <w:p w14:paraId="7FE5E388" w14:textId="68E80B3D" w:rsidR="00220318" w:rsidRPr="0022305D" w:rsidRDefault="00CB2CDC" w:rsidP="00220318">
      <w:pPr>
        <w:pStyle w:val="ListParagraph"/>
        <w:numPr>
          <w:ilvl w:val="0"/>
          <w:numId w:val="6"/>
        </w:numPr>
        <w:spacing w:after="200" w:line="480" w:lineRule="auto"/>
        <w:rPr>
          <w:rFonts w:asciiTheme="majorHAnsi" w:hAnsiTheme="majorHAnsi" w:cstheme="majorHAnsi"/>
          <w:sz w:val="24"/>
          <w:szCs w:val="24"/>
        </w:rPr>
      </w:pPr>
      <w:r>
        <w:rPr>
          <w:rFonts w:asciiTheme="majorHAnsi" w:hAnsiTheme="majorHAnsi" w:cstheme="majorHAnsi"/>
          <w:b/>
          <w:sz w:val="24"/>
          <w:szCs w:val="24"/>
        </w:rPr>
        <w:t xml:space="preserve">Total </w:t>
      </w:r>
      <w:r w:rsidR="00BE06BC">
        <w:rPr>
          <w:rFonts w:asciiTheme="majorHAnsi" w:hAnsiTheme="majorHAnsi" w:cstheme="majorHAnsi"/>
          <w:b/>
          <w:sz w:val="24"/>
          <w:szCs w:val="24"/>
        </w:rPr>
        <w:t>total debt to equity</w:t>
      </w:r>
      <w:r>
        <w:rPr>
          <w:rFonts w:asciiTheme="majorHAnsi" w:hAnsiTheme="majorHAnsi" w:cstheme="majorHAnsi"/>
          <w:b/>
          <w:sz w:val="24"/>
          <w:szCs w:val="24"/>
        </w:rPr>
        <w:t xml:space="preserve"> ratio</w:t>
      </w:r>
      <w:r w:rsidR="00220318" w:rsidRPr="0022305D">
        <w:rPr>
          <w:rFonts w:asciiTheme="majorHAnsi" w:hAnsiTheme="majorHAnsi" w:cstheme="majorHAnsi"/>
          <w:b/>
          <w:sz w:val="24"/>
          <w:szCs w:val="24"/>
        </w:rPr>
        <w:t xml:space="preserve">- </w:t>
      </w:r>
      <w:r w:rsidR="00220318" w:rsidRPr="0022305D">
        <w:rPr>
          <w:rFonts w:asciiTheme="majorHAnsi" w:hAnsiTheme="majorHAnsi" w:cstheme="majorHAnsi"/>
          <w:bCs/>
          <w:sz w:val="24"/>
          <w:szCs w:val="24"/>
        </w:rPr>
        <w:t xml:space="preserve">Indicates level of debt as a percentage of shareholders equity </w:t>
      </w:r>
      <w:r w:rsidR="00220318" w:rsidRPr="0022305D">
        <w:rPr>
          <w:rFonts w:asciiTheme="majorHAnsi" w:hAnsiTheme="majorHAnsi" w:cstheme="majorHAnsi"/>
          <w:sz w:val="24"/>
          <w:szCs w:val="24"/>
        </w:rPr>
        <w:fldChar w:fldCharType="begin" w:fldLock="1"/>
      </w:r>
      <w:r w:rsidR="00220318" w:rsidRPr="0022305D">
        <w:rPr>
          <w:rFonts w:asciiTheme="majorHAnsi" w:hAnsiTheme="majorHAnsi" w:cstheme="majorHAnsi"/>
          <w:sz w:val="24"/>
          <w:szCs w:val="24"/>
        </w:rPr>
        <w:instrText>ADDIN CSL_CITATION {"citationItems":[{"id":"ITEM-1","itemData":{"DOI":"10.2991/icame-18.2019.20","abstract":"This study aims to determine the effect of Debt to Equity Ratio and Total Asset Turnover partially and simultaneously on Return on Equity. The sample withdrawal used was purposive sampling so that a sample of 10 companies from automotive companies and their components were listed on the IDX. Data analysis techniques from this study use multiple linear regressions. The results of the study with statistical tests showed that partially and simultaneously DER had a significant effect on ROE and so did TATO have a significant effect on ROE","author":[{"dropping-particle":"","family":"Efendi","given":"Asrizal","non-dropping-particle":"","parse-names":false,"suffix":""},{"dropping-particle":"","family":"Putri","given":"Linzzy Pratami","non-dropping-particle":"","parse-names":false,"suffix":""},{"dropping-particle":"","family":"Dungga","given":"Shinta","non-dropping-particle":"","parse-names":false,"suffix":""}],"id":"ITEM-1","issue":"September","issued":{"date-parts":[["2019"]]},"title":"The Effect of debt to equity ratio and total asset turnover on return on equity in automotive companies and components in Indonesia","type":"article-journal"},"uris":["http://www.mendeley.com/documents/?uuid=d12088ca-2cff-4b4d-acb1-393bdc6ec3be"]}],"mendeley":{"formattedCitation":"(Efendi, Putri, &amp; Dungga, 2019)","plainTextFormattedCitation":"(Efendi, Putri, &amp; Dungga, 2019)","previouslyFormattedCitation":"(Efendi, Putri, &amp; Dungga, 2019)"},"properties":{"noteIndex":0},"schema":"https://github.com/citation-style-language/schema/raw/master/csl-citation.json"}</w:instrText>
      </w:r>
      <w:r w:rsidR="00220318" w:rsidRPr="0022305D">
        <w:rPr>
          <w:rFonts w:asciiTheme="majorHAnsi" w:hAnsiTheme="majorHAnsi" w:cstheme="majorHAnsi"/>
          <w:sz w:val="24"/>
          <w:szCs w:val="24"/>
        </w:rPr>
        <w:fldChar w:fldCharType="separate"/>
      </w:r>
      <w:r w:rsidR="00220318" w:rsidRPr="0022305D">
        <w:rPr>
          <w:rFonts w:asciiTheme="majorHAnsi" w:hAnsiTheme="majorHAnsi" w:cstheme="majorHAnsi"/>
          <w:noProof/>
          <w:sz w:val="24"/>
          <w:szCs w:val="24"/>
        </w:rPr>
        <w:t>(Efendi, Putri, &amp; Dungga, 2019)</w:t>
      </w:r>
      <w:r w:rsidR="00220318" w:rsidRPr="0022305D">
        <w:rPr>
          <w:rFonts w:asciiTheme="majorHAnsi" w:hAnsiTheme="majorHAnsi" w:cstheme="majorHAnsi"/>
          <w:sz w:val="24"/>
          <w:szCs w:val="24"/>
        </w:rPr>
        <w:fldChar w:fldCharType="end"/>
      </w:r>
      <w:r w:rsidR="00220318" w:rsidRPr="0022305D">
        <w:rPr>
          <w:rFonts w:asciiTheme="majorHAnsi" w:hAnsiTheme="majorHAnsi" w:cstheme="majorHAnsi"/>
          <w:sz w:val="24"/>
          <w:szCs w:val="24"/>
        </w:rPr>
        <w:t>.</w:t>
      </w:r>
      <w:r w:rsidR="00220318" w:rsidRPr="0022305D">
        <w:rPr>
          <w:rFonts w:asciiTheme="majorHAnsi" w:hAnsiTheme="majorHAnsi" w:cstheme="majorHAnsi"/>
          <w:bCs/>
          <w:sz w:val="24"/>
          <w:szCs w:val="24"/>
        </w:rPr>
        <w:t xml:space="preserve"> </w:t>
      </w:r>
      <w:r w:rsidR="00220318" w:rsidRPr="0022305D">
        <w:rPr>
          <w:rFonts w:asciiTheme="majorHAnsi" w:hAnsiTheme="majorHAnsi" w:cstheme="majorHAnsi"/>
          <w:sz w:val="24"/>
          <w:szCs w:val="24"/>
        </w:rPr>
        <w:t xml:space="preserve">A high </w:t>
      </w:r>
      <w:r w:rsidR="00BE06BC">
        <w:rPr>
          <w:rFonts w:asciiTheme="majorHAnsi" w:hAnsiTheme="majorHAnsi" w:cstheme="majorHAnsi"/>
          <w:sz w:val="24"/>
          <w:szCs w:val="24"/>
        </w:rPr>
        <w:t>total debt to equity</w:t>
      </w:r>
      <w:r w:rsidR="00220318" w:rsidRPr="0022305D">
        <w:rPr>
          <w:rFonts w:asciiTheme="majorHAnsi" w:hAnsiTheme="majorHAnsi" w:cstheme="majorHAnsi"/>
          <w:sz w:val="24"/>
          <w:szCs w:val="24"/>
        </w:rPr>
        <w:t xml:space="preserve"> ratio shows that a firm uses debt to finance its growth and if it is too low (closer to zero), it means the business hasn't relied on borrowing to finance operations </w:t>
      </w:r>
      <w:r w:rsidR="00220318" w:rsidRPr="0022305D">
        <w:rPr>
          <w:rFonts w:asciiTheme="majorHAnsi" w:hAnsiTheme="majorHAnsi" w:cstheme="majorHAnsi"/>
          <w:sz w:val="24"/>
          <w:szCs w:val="24"/>
        </w:rPr>
        <w:fldChar w:fldCharType="begin" w:fldLock="1"/>
      </w:r>
      <w:r w:rsidR="00220318" w:rsidRPr="0022305D">
        <w:rPr>
          <w:rFonts w:asciiTheme="majorHAnsi" w:hAnsiTheme="majorHAnsi" w:cstheme="majorHAnsi"/>
          <w:sz w:val="24"/>
          <w:szCs w:val="24"/>
        </w:rPr>
        <w:instrText>ADDIN CSL_CITATION {"citationItems":[{"id":"ITEM-1","itemData":{"abstract":"This paper presents an analysis which explains the impact of two distinct forms of leverage that arises due to the financing activities and operational activities, upon the profitability and market performance of a firm. The sample consists of twenty eight listed companies in the manufacturing sector of Colombo Stock Exchange, and data is gathered for the period 2008-2012. Study discusses the explanatory power of Financial Liability Leverage (FLEV), Operating Liability Leverage (OLLEV), and Total Leverage (TLEV) on Profitability and Market Performance. While profitability is measured by Return on Equity (ROE), Return on Assets (ROA) and Return on Net Operating Assets (RONOA), market performance is proxied by Price to Book value ratio (PB), Price Earnings ratio (PE), Market Capitalization (LGMCAP) and Tobin’s Q. Panel regression analysis is employed where fixed effects and random effects are tested to select the best suited model. The findings revealed that relationship between leverage and profitability best describes by the RONOA model and where OLLEV and FLEV exhibit a positive significant impact on the RONOA. While FLEV affects the ROA negatively and significantly, there is a negative significant relationship between TLEV and ROE. Only LGMCAP is captured by OLLEV and TLEV positively and negatively respectively. Accordingly LGMCAP model is the best suited model to explain the relationship between leverage and market performance","author":[{"dropping-particle":"","family":"Kumara","given":"Emil Sudath","non-dropping-particle":"","parse-names":false,"suffix":""},{"dropping-particle":"","family":"Samarakoon","given":"","non-dropping-particle":"","parse-names":false,"suffix":""}],"container-title":"Journal of Accountancy and Finance, 1-1;","id":"ITEM-1","issue":"1","issued":{"date-parts":[["2014"]]},"page":"76-87.","title":"Effect of leverage on profitability and market performance in the manufacturing sector of Sri Lanka: A panel regression analysis.","type":"article-journal","volume":"1"},"uris":["http://www.mendeley.com/documents/?uuid=13904257-29c4-42de-b78b-82d606551ef2"]}],"mendeley":{"formattedCitation":"(Kumara &amp; Samarakoon, 2014)","plainTextFormattedCitation":"(Kumara &amp; Samarakoon, 2014)","previouslyFormattedCitation":"(Kumara &amp; Samarakoon, 2014)"},"properties":{"noteIndex":0},"schema":"https://github.com/citation-style-language/schema/raw/master/csl-citation.json"}</w:instrText>
      </w:r>
      <w:r w:rsidR="00220318" w:rsidRPr="0022305D">
        <w:rPr>
          <w:rFonts w:asciiTheme="majorHAnsi" w:hAnsiTheme="majorHAnsi" w:cstheme="majorHAnsi"/>
          <w:sz w:val="24"/>
          <w:szCs w:val="24"/>
        </w:rPr>
        <w:fldChar w:fldCharType="separate"/>
      </w:r>
      <w:r w:rsidR="00220318" w:rsidRPr="0022305D">
        <w:rPr>
          <w:rFonts w:asciiTheme="majorHAnsi" w:hAnsiTheme="majorHAnsi" w:cstheme="majorHAnsi"/>
          <w:noProof/>
          <w:sz w:val="24"/>
          <w:szCs w:val="24"/>
        </w:rPr>
        <w:t>(Kumara &amp; Samarakoon, 2014)</w:t>
      </w:r>
      <w:r w:rsidR="00220318" w:rsidRPr="0022305D">
        <w:rPr>
          <w:rFonts w:asciiTheme="majorHAnsi" w:hAnsiTheme="majorHAnsi" w:cstheme="majorHAnsi"/>
          <w:sz w:val="24"/>
          <w:szCs w:val="24"/>
        </w:rPr>
        <w:fldChar w:fldCharType="end"/>
      </w:r>
      <w:r w:rsidR="00220318" w:rsidRPr="0022305D">
        <w:rPr>
          <w:rFonts w:asciiTheme="majorHAnsi" w:hAnsiTheme="majorHAnsi" w:cstheme="majorHAnsi"/>
          <w:sz w:val="24"/>
          <w:szCs w:val="24"/>
        </w:rPr>
        <w:t xml:space="preserve">. Debt/equity ratio </w:t>
      </w:r>
      <w:r w:rsidR="00220318" w:rsidRPr="0022305D">
        <w:rPr>
          <w:rFonts w:asciiTheme="majorHAnsi" w:hAnsiTheme="majorHAnsi" w:cstheme="majorHAnsi"/>
          <w:bCs/>
          <w:sz w:val="24"/>
          <w:szCs w:val="24"/>
        </w:rPr>
        <w:t xml:space="preserve">was </w:t>
      </w:r>
      <w:r w:rsidR="00220318" w:rsidRPr="0022305D">
        <w:rPr>
          <w:rFonts w:asciiTheme="majorHAnsi" w:hAnsiTheme="majorHAnsi" w:cstheme="majorHAnsi"/>
          <w:bCs/>
          <w:sz w:val="24"/>
          <w:szCs w:val="24"/>
        </w:rPr>
        <w:lastRenderedPageBreak/>
        <w:t>determined by dividing total liabilities of commercial banks in Kenya by their respective shareholder’s equity.</w:t>
      </w:r>
    </w:p>
    <w:p w14:paraId="3156D7EF" w14:textId="77777777" w:rsidR="00220318" w:rsidRPr="0022305D" w:rsidRDefault="00220318" w:rsidP="00220318">
      <w:pPr>
        <w:spacing w:line="480" w:lineRule="auto"/>
        <w:rPr>
          <w:rFonts w:asciiTheme="majorHAnsi" w:hAnsiTheme="majorHAnsi" w:cstheme="majorHAnsi"/>
          <w:sz w:val="25"/>
          <w:szCs w:val="25"/>
        </w:rPr>
      </w:pPr>
      <w:r w:rsidRPr="0022305D">
        <w:rPr>
          <w:rFonts w:asciiTheme="majorHAnsi" w:hAnsiTheme="majorHAnsi" w:cstheme="majorHAnsi"/>
          <w:b/>
          <w:sz w:val="24"/>
          <w:szCs w:val="24"/>
        </w:rPr>
        <w:t>Profitability-</w:t>
      </w:r>
      <w:r w:rsidRPr="0022305D">
        <w:rPr>
          <w:rFonts w:asciiTheme="majorHAnsi" w:hAnsiTheme="majorHAnsi" w:cstheme="majorHAnsi"/>
          <w:sz w:val="24"/>
          <w:szCs w:val="24"/>
        </w:rPr>
        <w:t xml:space="preserve">Measures the firm’s ability to generate profits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{"citationItems":[{"id":"ITEM-1","itemData":{"DOI":"10.4038/jm.v8i1.7556","ISSN":"1391-8230","abstract":"The main objective of the study is to determine the profitability of listed manufacturing companies in Sri Lanka. In order to meet the objectives of the study, data were collected from secondary sources mainly from financial report of the selected companies, which were published by Colombo stock exchange in Sri Lanka. The results revealed that the profitability of manufacturing companies is less satisfactory. On the basis of result and analysis, selected manufacturing companies has different ranking based on each profitability indicators such as Gross Profit Ratio (GPR), Operating Profit Ratio (OPR), Net Profit Ratio (NPR), Return on Investment (ROI), and Return on Capital Employed (ROCE). Based on the Gross Profit Ratio, Operating Profit Ratio, Net Profit Ratio, ROYAL CHERAMIC PLC is at first whereas CHEVRON LUBRICANTS PLC is at first based on ROI, ROCE. Outcome of the study is beneficial to academicians, policy makers, practitioners and so on.","author":[{"dropping-particle":"","family":"Nishanthini","given":"A","non-dropping-particle":"","parse-names":false,"suffix":""},{"dropping-particle":"","family":"Nimalathasan","given":"B","non-dropping-particle":"","parse-names":false,"suffix":""}],"container-title":"Merit Research Journal","id":"ITEM-1","issue":"1","issued":{"date-parts":[["2013"]]},"page":"1-006","title":"Determinants of profitability: a case study of listed manufacturing companies in Sri Lanka","type":"article-journal","volume":"1"},"uris":["http://www.mendeley.com/documents/?uuid=c4051b95-2ee2-4ffe-a109-10cd2cb59c62"]}],"mendeley":{"formattedCitation":"(Nishanthini &amp; Nimalathasan, 2013)","plainTextFormattedCitation":"(Nishanthini &amp; Nimalathasan, 2013)","previouslyFormattedCitation":"(Nishanthini &amp; Nimalathasan, 2013)"},"properties":{"noteIndex":0},"schema":"https://github.com/citation-style-language/schema/raw/master/csl-citation.json"}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(Nishanthini &amp; Nimalathasan, 2013)</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xml:space="preserve">. Profitability, the primary measure of the overall success of enterprise, is done to throw light on the current operating performance and efficiency of business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{"citationItems":[{"id":"ITEM-1","itemData":{"DOI":"10.9790/5933-03211922","ISSN":"23215925","abstract":"The main purpose of a business unit is to make profit. The profitability analysis is done to throw light on the current operating performance and efficiency of business firms. It should be duly noted that net income figure alone is not very helpful in determining the efficiency and performance of the business firm unless it is related to some other figures such as sales, cost of goods sold, operating expenses, capital invested etc. Thus the profitability ratios are calculated to enlighten the end result and comparison of business firms which is the sole criterion of overall efficiency of business concern.","author":[{"dropping-particle":"","family":"Tulsian","given":"Monica","non-dropping-particle":"","parse-names":false,"suffix":""}],"container-title":"IOSR Journal of Economics and Finance","id":"ITEM-1","issue":"2","issued":{"date-parts":[["2014"]]},"page":"19-22","title":"Profitability analysis: A comparative study of Sail &amp; Tata steel","type":"article-journal","volume":"3"},"uris":["http://www.mendeley.com/documents/?uuid=8e512495-a8b0-4ae0-aa8e-752c682fb972"]}],"mendeley":{"formattedCitation":"(Tulsian, 2014)","plainTextFormattedCitation":"(Tulsian, 2014)","previouslyFormattedCitation":"(Tulsian, 2014)"},"properties":{"noteIndex":0},"schema":"https://github.com/citation-style-language/schema/raw/master/csl-citation.json"}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(Tulsian, 2014)</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w:t>
      </w:r>
      <w:r w:rsidRPr="0022305D">
        <w:rPr>
          <w:rFonts w:asciiTheme="majorHAnsi" w:hAnsiTheme="majorHAnsi" w:cstheme="majorHAnsi"/>
          <w:sz w:val="25"/>
          <w:szCs w:val="25"/>
        </w:rPr>
        <w:t xml:space="preserve"> T</w:t>
      </w:r>
      <w:r w:rsidRPr="0022305D">
        <w:rPr>
          <w:rFonts w:asciiTheme="majorHAnsi" w:hAnsiTheme="majorHAnsi" w:cstheme="majorHAnsi"/>
          <w:sz w:val="24"/>
          <w:szCs w:val="24"/>
        </w:rPr>
        <w:t xml:space="preserve">he higher the profitability, the higher the income and the lower the profitability, the lower the income. Therefore, a firm that is not profitable cannot survive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{"citationItems":[{"id":"ITEM-1","itemData":{"abstract":"This paper aims to investigate whether factors such as capital structure, working capital, firm size, non-debt tax shield and growth rate, determining profitability have any impact on profitability of selected manufacturing companies listed on Colombo stock exchange, Sri Lanka over a period of five years from 2008 to 2012. This study employs multiple regression analysis to measure relationship among variables, individual and overall impact on profitability and to test the operational hypotheses. The results revealed that whereas all independent variables explain 76.6% and 84.7% of the variance on ROA and ROE respectively where significant is at 5% levels, the overall model has a significant impact on profitability at the rate of 80.5 % (Adjusted R2 = 80.5%, P&lt;.0.05). Further, while capital structure (+) and non-debt tax shield (+) have statistically significant impact on profitability (P &lt; 0.05), the remaining working capital (+), growth rate (-) and firm size (+) have no significant effect on the profitability (P &gt; 0.05).","author":[{"dropping-particle":"","family":"Sivathaasan","given":"N","non-dropping-particle":"","parse-names":false,"suffix":""},{"dropping-particle":"","family":"Tharanika","given":"R","non-dropping-particle":"","parse-names":false,"suffix":""},{"dropping-particle":"","family":"Sinthuja","given":"M","non-dropping-particle":"","parse-names":false,"suffix":""},{"dropping-particle":"","family":"Hanitha","given":"V","non-dropping-particle":"","parse-names":false,"suffix":""}],"container-title":"European Journal of Business and Management","id":"ITEM-1","issue":"27","issued":{"date-parts":[["2013"]]},"page":"99-108","title":"Factors determining profitability : A study of selected manufacturing companies listed on Colombo stock exchange in Sri Lanka","type":"article-journal","volume":"5"},"uris":["http://www.mendeley.com/documents/?uuid=0b46d43b-ed3b-4bdc-b4b6-335c0e3209a4"]}],"mendeley":{"formattedCitation":"(Sivathaasan, Tharanika, Sinthuja, &amp; Hanitha, 2013)","plainTextFormattedCitation":"(Sivathaasan, Tharanika, Sinthuja, &amp; Hanitha, 2013)","previouslyFormattedCitation":"(Sivathaasan, Tharanika, Sinthuja, &amp; Hanitha, 2013)"},"properties":{"noteIndex":0},"schema":"https://github.com/citation-style-language/schema/raw/master/csl-citation.json"}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(Sivathaasan, Tharanika, Sinthuja, &amp; Hanitha, 2013)</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Profitability was measured by assessing the level of Return on Assets and Return on Equity.</w:t>
      </w:r>
    </w:p>
    <w:p w14:paraId="6BA6CBA8" w14:textId="77777777" w:rsidR="00220318" w:rsidRPr="0022305D" w:rsidRDefault="00220318" w:rsidP="00220318">
      <w:pPr>
        <w:pStyle w:val="ListParagraph"/>
        <w:numPr>
          <w:ilvl w:val="0"/>
          <w:numId w:val="6"/>
        </w:numPr>
        <w:spacing w:after="200" w:line="480" w:lineRule="auto"/>
        <w:rPr>
          <w:rFonts w:asciiTheme="majorHAnsi" w:hAnsiTheme="majorHAnsi" w:cstheme="majorHAnsi"/>
          <w:sz w:val="24"/>
          <w:szCs w:val="24"/>
        </w:rPr>
      </w:pPr>
      <w:r w:rsidRPr="0022305D">
        <w:rPr>
          <w:rFonts w:asciiTheme="majorHAnsi" w:hAnsiTheme="majorHAnsi" w:cstheme="majorHAnsi"/>
          <w:b/>
          <w:sz w:val="24"/>
          <w:szCs w:val="24"/>
        </w:rPr>
        <w:t>Return on Assets</w:t>
      </w:r>
      <w:r w:rsidRPr="0022305D">
        <w:rPr>
          <w:rFonts w:asciiTheme="majorHAnsi" w:hAnsiTheme="majorHAnsi" w:cstheme="majorHAnsi"/>
          <w:sz w:val="24"/>
          <w:szCs w:val="24"/>
        </w:rPr>
        <w:t xml:space="preserve">- Shows the percentage of profit earned in relation to total assets and the efficient management of using assets to generate earnings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{"citationItems":[{"id":"ITEM-1","itemData":{"author":[{"dropping-particle":"","family":"Pradhan","given":"Prof Radhe S","non-dropping-particle":"","parse-names":false,"suffix":""},{"dropping-particle":"","family":"Shrestha","given":"Deepa","non-dropping-particle":"","parse-names":false,"suffix":""}],"container-title":"Journal of management","id":"ITEM-1","issued":{"date-parts":[["2009"]]},"page":"1-14","title":"Impact of liquidity on bank profitability in Nepalese commercial banks","type":"article-journal"},"uris":["http://www.mendeley.com/documents/?uuid=f93c0496-7c21-43d9-9ae4-a5a156fe3815"]}],"mendeley":{"formattedCitation":"(Pradhan &amp; Shrestha, 2009)","plainTextFormattedCitation":"(Pradhan &amp; Shrestha, 2009)","previouslyFormattedCitation":"(Pradhan &amp; Shrestha, 2009)"},"properties":{"noteIndex":0},"schema":"https://github.com/citation-style-language/schema/raw/master/csl-citation.json"}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(Pradhan &amp; Shrestha, 2009)</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xml:space="preserve">. Return on assets was calculated by dividing net profit before tax by the total assets of the commercial banks in Kenya. </w:t>
      </w:r>
    </w:p>
    <w:p w14:paraId="78DFD215" w14:textId="77777777" w:rsidR="00220318" w:rsidRPr="0022305D" w:rsidRDefault="00220318" w:rsidP="00220318">
      <w:pPr>
        <w:pStyle w:val="ListParagraph"/>
        <w:numPr>
          <w:ilvl w:val="0"/>
          <w:numId w:val="6"/>
        </w:numPr>
        <w:spacing w:after="200" w:line="480" w:lineRule="auto"/>
        <w:rPr>
          <w:rFonts w:asciiTheme="majorHAnsi" w:hAnsiTheme="majorHAnsi" w:cstheme="majorHAnsi"/>
          <w:b/>
        </w:rPr>
      </w:pPr>
      <w:r w:rsidRPr="0022305D">
        <w:rPr>
          <w:rFonts w:asciiTheme="majorHAnsi" w:hAnsiTheme="majorHAnsi" w:cstheme="majorHAnsi"/>
          <w:b/>
          <w:sz w:val="24"/>
          <w:szCs w:val="24"/>
        </w:rPr>
        <w:t>Return on Equity</w:t>
      </w:r>
      <w:r w:rsidRPr="0022305D">
        <w:rPr>
          <w:rFonts w:asciiTheme="majorHAnsi" w:hAnsiTheme="majorHAnsi" w:cstheme="majorHAnsi"/>
          <w:sz w:val="24"/>
          <w:szCs w:val="24"/>
        </w:rPr>
        <w:t xml:space="preserve">- Measures the level of profitability by revealing how much profit is generated with the money shareholders have invested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{"citationItems":[{"id":"ITEM-1","itemData":{"author":[{"dropping-particle":"","family":"Dabo","given":"Zainab","non-dropping-particle":"","parse-names":false,"suffix":""}],"container-title":"Journal of business &amp; social sciences","id":"ITEM-1","issue":"Ii","issued":{"date-parts":[["2018"]]},"page":"1-42","title":"Solvency risk and financial prformance: Evidences from listed insurance firms in Nigeria","type":"article-journal","volume":"VIII"},"uris":["http://www.mendeley.com/documents/?uuid=ea9a1bd5-0422-44bb-ad5d-186f08d9db5b"]}],"mendeley":{"formattedCitation":"(Dabo, 2018)","plainTextFormattedCitation":"(Dabo, 2018)","previouslyFormattedCitation":"(Dabo, 2018)"},"properties":{"noteIndex":0},"schema":"https://github.com/citation-style-language/schema/raw/master/csl-citation.json"}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(Dabo, 2018)</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w:t>
      </w:r>
      <w:r w:rsidRPr="0022305D">
        <w:rPr>
          <w:rFonts w:asciiTheme="majorHAnsi" w:hAnsiTheme="majorHAnsi" w:cstheme="majorHAnsi"/>
          <w:b/>
          <w:sz w:val="24"/>
          <w:szCs w:val="24"/>
        </w:rPr>
        <w:tab/>
      </w:r>
      <w:r w:rsidRPr="0022305D">
        <w:rPr>
          <w:rFonts w:asciiTheme="majorHAnsi" w:hAnsiTheme="majorHAnsi" w:cstheme="majorHAnsi"/>
          <w:bCs/>
          <w:sz w:val="24"/>
          <w:szCs w:val="24"/>
        </w:rPr>
        <w:t>Return on equity</w:t>
      </w:r>
      <w:r w:rsidRPr="0022305D">
        <w:rPr>
          <w:rFonts w:asciiTheme="majorHAnsi" w:hAnsiTheme="majorHAnsi" w:cstheme="majorHAnsi"/>
          <w:b/>
          <w:sz w:val="24"/>
          <w:szCs w:val="24"/>
        </w:rPr>
        <w:t xml:space="preserve"> </w:t>
      </w:r>
      <w:r w:rsidRPr="0022305D">
        <w:rPr>
          <w:rFonts w:asciiTheme="majorHAnsi" w:hAnsiTheme="majorHAnsi" w:cstheme="majorHAnsi"/>
          <w:sz w:val="24"/>
          <w:szCs w:val="24"/>
        </w:rPr>
        <w:t xml:space="preserve">was calculated by dividing profit before tax by shareholders’ equity of a commercial banks in Kenya. </w:t>
      </w:r>
    </w:p>
    <w:p w14:paraId="1F22D403" w14:textId="51632DFA" w:rsidR="006C7791" w:rsidRPr="0022305D" w:rsidRDefault="006C7791" w:rsidP="00223A4A">
      <w:pPr>
        <w:pStyle w:val="Heading1"/>
        <w:rPr>
          <w:rFonts w:asciiTheme="majorHAnsi" w:hAnsiTheme="majorHAnsi" w:cstheme="majorHAnsi"/>
        </w:rPr>
      </w:pPr>
    </w:p>
    <w:p w14:paraId="64E7AD1B" w14:textId="26E8C41F" w:rsidR="00EC53C3" w:rsidRPr="0022305D" w:rsidRDefault="00EC53C3" w:rsidP="00EC53C3">
      <w:pPr>
        <w:rPr>
          <w:rFonts w:asciiTheme="majorHAnsi" w:hAnsiTheme="majorHAnsi" w:cstheme="majorHAnsi"/>
        </w:rPr>
      </w:pPr>
    </w:p>
    <w:p w14:paraId="4AB88E89" w14:textId="567651EE" w:rsidR="00EC53C3" w:rsidRDefault="00EC53C3" w:rsidP="00EC53C3">
      <w:pPr>
        <w:rPr>
          <w:rFonts w:asciiTheme="majorHAnsi" w:hAnsiTheme="majorHAnsi" w:cstheme="majorHAnsi"/>
        </w:rPr>
      </w:pPr>
    </w:p>
    <w:p w14:paraId="1431FA5F" w14:textId="35494BE9" w:rsidR="00AB63A4" w:rsidRDefault="00AB63A4" w:rsidP="00EC53C3">
      <w:pPr>
        <w:rPr>
          <w:rFonts w:asciiTheme="majorHAnsi" w:hAnsiTheme="majorHAnsi" w:cstheme="majorHAnsi"/>
        </w:rPr>
      </w:pPr>
    </w:p>
    <w:p w14:paraId="57F2043B" w14:textId="7A993C6C" w:rsidR="00AB63A4" w:rsidRDefault="00AB63A4" w:rsidP="00EC53C3">
      <w:pPr>
        <w:rPr>
          <w:rFonts w:asciiTheme="majorHAnsi" w:hAnsiTheme="majorHAnsi" w:cstheme="majorHAnsi"/>
        </w:rPr>
      </w:pPr>
    </w:p>
    <w:p w14:paraId="63AFF823" w14:textId="70CF4F1F" w:rsidR="00AB63A4" w:rsidRDefault="00AB63A4" w:rsidP="00EC53C3">
      <w:pPr>
        <w:rPr>
          <w:rFonts w:asciiTheme="majorHAnsi" w:hAnsiTheme="majorHAnsi" w:cstheme="majorHAnsi"/>
        </w:rPr>
      </w:pPr>
    </w:p>
    <w:p w14:paraId="13A55243" w14:textId="77777777" w:rsidR="00EC53C3" w:rsidRPr="0022305D" w:rsidRDefault="00EC53C3" w:rsidP="00EC53C3">
      <w:pPr>
        <w:rPr>
          <w:rFonts w:asciiTheme="majorHAnsi" w:hAnsiTheme="majorHAnsi" w:cstheme="majorHAnsi"/>
        </w:rPr>
      </w:pPr>
    </w:p>
    <w:p w14:paraId="16FA5618" w14:textId="48CFEC43" w:rsidR="006C7791" w:rsidRPr="0022305D" w:rsidRDefault="00CB4B95" w:rsidP="00CB4B95">
      <w:pPr>
        <w:pStyle w:val="Heading1"/>
        <w:rPr>
          <w:rFonts w:asciiTheme="majorHAnsi" w:hAnsiTheme="majorHAnsi" w:cstheme="majorHAnsi"/>
          <w:u w:val="none"/>
        </w:rPr>
      </w:pPr>
      <w:bookmarkStart w:id="37" w:name="_Toc78205783"/>
      <w:r w:rsidRPr="0022305D">
        <w:rPr>
          <w:rFonts w:asciiTheme="majorHAnsi" w:hAnsiTheme="majorHAnsi" w:cstheme="majorHAnsi"/>
          <w:u w:val="none"/>
        </w:rPr>
        <w:lastRenderedPageBreak/>
        <w:t>CHAPTER TWO</w:t>
      </w:r>
      <w:bookmarkEnd w:id="37"/>
    </w:p>
    <w:p w14:paraId="3C4F747F" w14:textId="19D4CAE0" w:rsidR="000F035E" w:rsidRPr="0022305D" w:rsidRDefault="000F035E" w:rsidP="00223A4A">
      <w:pPr>
        <w:pStyle w:val="Heading1"/>
        <w:rPr>
          <w:rFonts w:asciiTheme="majorHAnsi" w:hAnsiTheme="majorHAnsi" w:cstheme="majorHAnsi"/>
        </w:rPr>
      </w:pPr>
      <w:bookmarkStart w:id="38" w:name="_Toc78205784"/>
      <w:r w:rsidRPr="0022305D">
        <w:rPr>
          <w:rFonts w:asciiTheme="majorHAnsi" w:hAnsiTheme="majorHAnsi" w:cstheme="majorHAnsi"/>
          <w:u w:val="none"/>
        </w:rPr>
        <w:t>REVIEW OF RELATED LITERATURE AND STUDIES</w:t>
      </w:r>
      <w:bookmarkEnd w:id="38"/>
    </w:p>
    <w:p w14:paraId="34598CAB" w14:textId="77777777" w:rsidR="00C105BE" w:rsidRPr="0022305D" w:rsidRDefault="00C105BE" w:rsidP="000F035E">
      <w:pPr>
        <w:jc w:val="center"/>
        <w:rPr>
          <w:rFonts w:asciiTheme="majorHAnsi" w:hAnsiTheme="majorHAnsi" w:cstheme="majorHAnsi"/>
          <w:b/>
          <w:bCs/>
          <w:sz w:val="28"/>
          <w:szCs w:val="28"/>
          <w:u w:val="single"/>
        </w:rPr>
      </w:pPr>
    </w:p>
    <w:p w14:paraId="633DEC35" w14:textId="476FFF57" w:rsidR="00C105BE" w:rsidRPr="00A96563" w:rsidRDefault="00C105BE" w:rsidP="004478B6">
      <w:pPr>
        <w:pStyle w:val="Heading2"/>
        <w:spacing w:line="480" w:lineRule="auto"/>
        <w:jc w:val="left"/>
      </w:pPr>
      <w:bookmarkStart w:id="39" w:name="_Toc78205785"/>
      <w:r w:rsidRPr="00A96563">
        <w:t>Introduction</w:t>
      </w:r>
      <w:bookmarkEnd w:id="39"/>
    </w:p>
    <w:p w14:paraId="2A1EDDCF" w14:textId="2697993F" w:rsidR="00C45B2F" w:rsidRDefault="00F36397" w:rsidP="00113952">
      <w:pPr>
        <w:spacing w:line="480" w:lineRule="auto"/>
        <w:ind w:firstLine="720"/>
        <w:rPr>
          <w:rFonts w:asciiTheme="majorHAnsi" w:hAnsiTheme="majorHAnsi" w:cstheme="majorHAnsi"/>
          <w:sz w:val="24"/>
          <w:szCs w:val="24"/>
        </w:rPr>
      </w:pPr>
      <w:r w:rsidRPr="0022305D">
        <w:rPr>
          <w:rFonts w:asciiTheme="majorHAnsi" w:hAnsiTheme="majorHAnsi" w:cstheme="majorHAnsi"/>
          <w:sz w:val="24"/>
          <w:szCs w:val="24"/>
        </w:rPr>
        <w:t xml:space="preserve">This </w:t>
      </w:r>
      <w:r w:rsidR="00C105BE" w:rsidRPr="0022305D">
        <w:rPr>
          <w:rFonts w:asciiTheme="majorHAnsi" w:hAnsiTheme="majorHAnsi" w:cstheme="majorHAnsi"/>
          <w:sz w:val="24"/>
          <w:szCs w:val="24"/>
        </w:rPr>
        <w:t>section</w:t>
      </w:r>
      <w:r w:rsidRPr="0022305D">
        <w:rPr>
          <w:rFonts w:asciiTheme="majorHAnsi" w:hAnsiTheme="majorHAnsi" w:cstheme="majorHAnsi"/>
          <w:sz w:val="24"/>
          <w:szCs w:val="24"/>
        </w:rPr>
        <w:t xml:space="preserve"> </w:t>
      </w:r>
      <w:r w:rsidR="00220318" w:rsidRPr="0022305D">
        <w:rPr>
          <w:rFonts w:asciiTheme="majorHAnsi" w:hAnsiTheme="majorHAnsi" w:cstheme="majorHAnsi"/>
          <w:sz w:val="24"/>
          <w:szCs w:val="24"/>
        </w:rPr>
        <w:t xml:space="preserve">covers empirical review that support the study. Empirical review will analyze what various scholars and authors, both local and international, have said about solvency and profitability.  It will also review relevant concepts as well as in-depth analysis of past empirical findings. </w:t>
      </w:r>
      <w:r w:rsidR="00220318" w:rsidRPr="0022305D">
        <w:rPr>
          <w:rFonts w:asciiTheme="majorHAnsi" w:hAnsiTheme="majorHAnsi" w:cstheme="majorHAnsi"/>
          <w:bCs/>
          <w:iCs/>
          <w:sz w:val="24"/>
          <w:szCs w:val="24"/>
        </w:rPr>
        <w:t xml:space="preserve">Further, it will assess the literature on the relationship between </w:t>
      </w:r>
      <w:r w:rsidR="00CB2CDC">
        <w:rPr>
          <w:rFonts w:asciiTheme="majorHAnsi" w:hAnsiTheme="majorHAnsi" w:cstheme="majorHAnsi"/>
          <w:bCs/>
          <w:iCs/>
          <w:sz w:val="24"/>
          <w:szCs w:val="24"/>
        </w:rPr>
        <w:t>total debt to total assets ratio</w:t>
      </w:r>
      <w:r w:rsidR="00220318" w:rsidRPr="0022305D">
        <w:rPr>
          <w:rFonts w:asciiTheme="majorHAnsi" w:hAnsiTheme="majorHAnsi" w:cstheme="majorHAnsi"/>
          <w:bCs/>
          <w:iCs/>
          <w:sz w:val="24"/>
          <w:szCs w:val="24"/>
        </w:rPr>
        <w:t xml:space="preserve"> and return on assets; </w:t>
      </w:r>
      <w:r w:rsidR="00CB2CDC">
        <w:rPr>
          <w:rFonts w:asciiTheme="majorHAnsi" w:hAnsiTheme="majorHAnsi" w:cstheme="majorHAnsi"/>
          <w:bCs/>
          <w:iCs/>
          <w:sz w:val="24"/>
          <w:szCs w:val="24"/>
        </w:rPr>
        <w:t>total debt to total assets ratio</w:t>
      </w:r>
      <w:r w:rsidR="00220318" w:rsidRPr="0022305D">
        <w:rPr>
          <w:rFonts w:asciiTheme="majorHAnsi" w:hAnsiTheme="majorHAnsi" w:cstheme="majorHAnsi"/>
          <w:bCs/>
          <w:iCs/>
          <w:sz w:val="24"/>
          <w:szCs w:val="24"/>
        </w:rPr>
        <w:t xml:space="preserve"> and return on equity; </w:t>
      </w:r>
      <w:r w:rsidR="00BE06BC">
        <w:rPr>
          <w:rFonts w:asciiTheme="majorHAnsi" w:hAnsiTheme="majorHAnsi" w:cstheme="majorHAnsi"/>
          <w:bCs/>
          <w:iCs/>
          <w:sz w:val="24"/>
          <w:szCs w:val="24"/>
        </w:rPr>
        <w:t>total debt to equity</w:t>
      </w:r>
      <w:r w:rsidR="00220318" w:rsidRPr="0022305D">
        <w:rPr>
          <w:rFonts w:asciiTheme="majorHAnsi" w:hAnsiTheme="majorHAnsi" w:cstheme="majorHAnsi"/>
          <w:bCs/>
          <w:iCs/>
          <w:sz w:val="24"/>
          <w:szCs w:val="24"/>
        </w:rPr>
        <w:t xml:space="preserve"> ratio and return on equity; and the relationship between </w:t>
      </w:r>
      <w:r w:rsidR="00BE06BC">
        <w:rPr>
          <w:rFonts w:asciiTheme="majorHAnsi" w:hAnsiTheme="majorHAnsi" w:cstheme="majorHAnsi"/>
          <w:bCs/>
          <w:iCs/>
          <w:sz w:val="24"/>
          <w:szCs w:val="24"/>
        </w:rPr>
        <w:t>total debt to equity</w:t>
      </w:r>
      <w:r w:rsidR="00220318" w:rsidRPr="0022305D">
        <w:rPr>
          <w:rFonts w:asciiTheme="majorHAnsi" w:hAnsiTheme="majorHAnsi" w:cstheme="majorHAnsi"/>
          <w:bCs/>
          <w:iCs/>
          <w:sz w:val="24"/>
          <w:szCs w:val="24"/>
        </w:rPr>
        <w:t xml:space="preserve"> ratio and return on assets.</w:t>
      </w:r>
      <w:r w:rsidR="00220318" w:rsidRPr="0022305D">
        <w:rPr>
          <w:rFonts w:asciiTheme="majorHAnsi" w:hAnsiTheme="majorHAnsi" w:cstheme="majorHAnsi"/>
          <w:bCs/>
          <w:sz w:val="24"/>
          <w:szCs w:val="24"/>
        </w:rPr>
        <w:t xml:space="preserve"> </w:t>
      </w:r>
      <w:r w:rsidR="00220318" w:rsidRPr="0022305D">
        <w:rPr>
          <w:rFonts w:asciiTheme="majorHAnsi" w:hAnsiTheme="majorHAnsi" w:cstheme="majorHAnsi"/>
          <w:sz w:val="24"/>
          <w:szCs w:val="24"/>
        </w:rPr>
        <w:t>The sources of literature was obtained from journals, text books, reports and earlier research works.</w:t>
      </w:r>
    </w:p>
    <w:p w14:paraId="0BA1A34E" w14:textId="77777777" w:rsidR="00113952" w:rsidRPr="00113952" w:rsidRDefault="00113952" w:rsidP="00113952">
      <w:pPr>
        <w:spacing w:line="480" w:lineRule="auto"/>
        <w:ind w:firstLine="720"/>
        <w:rPr>
          <w:rFonts w:asciiTheme="majorHAnsi" w:hAnsiTheme="majorHAnsi" w:cstheme="majorHAnsi"/>
          <w:bCs/>
          <w:sz w:val="24"/>
          <w:szCs w:val="24"/>
        </w:rPr>
      </w:pPr>
    </w:p>
    <w:p w14:paraId="03ACC983" w14:textId="77777777" w:rsidR="00220318" w:rsidRPr="00A96563" w:rsidRDefault="00220318" w:rsidP="004478B6">
      <w:pPr>
        <w:pStyle w:val="Heading2"/>
        <w:spacing w:line="480" w:lineRule="auto"/>
        <w:jc w:val="left"/>
        <w:rPr>
          <w:rFonts w:asciiTheme="majorHAnsi" w:hAnsiTheme="majorHAnsi" w:cstheme="majorHAnsi"/>
          <w:sz w:val="28"/>
          <w:szCs w:val="28"/>
        </w:rPr>
      </w:pPr>
      <w:bookmarkStart w:id="40" w:name="_Toc76494393"/>
      <w:bookmarkStart w:id="41" w:name="_Toc78205786"/>
      <w:r w:rsidRPr="00A96563">
        <w:rPr>
          <w:rFonts w:asciiTheme="majorHAnsi" w:hAnsiTheme="majorHAnsi" w:cstheme="majorHAnsi"/>
          <w:sz w:val="28"/>
          <w:szCs w:val="28"/>
        </w:rPr>
        <w:t>Profitability</w:t>
      </w:r>
      <w:bookmarkEnd w:id="40"/>
      <w:bookmarkEnd w:id="41"/>
    </w:p>
    <w:p w14:paraId="16BB5CFE" w14:textId="255E7DC2" w:rsidR="00220318" w:rsidRPr="0022305D" w:rsidRDefault="00220318" w:rsidP="00220318">
      <w:pPr>
        <w:pStyle w:val="Default"/>
        <w:spacing w:line="480" w:lineRule="auto"/>
        <w:ind w:firstLine="720"/>
        <w:rPr>
          <w:rFonts w:asciiTheme="majorHAnsi" w:hAnsiTheme="majorHAnsi" w:cstheme="majorHAnsi"/>
          <w:bCs/>
          <w:iCs/>
          <w:color w:val="auto"/>
        </w:rPr>
      </w:pPr>
      <w:r w:rsidRPr="0022305D">
        <w:rPr>
          <w:rFonts w:asciiTheme="majorHAnsi" w:hAnsiTheme="majorHAnsi" w:cstheme="majorHAnsi"/>
          <w:bCs/>
          <w:iCs/>
          <w:color w:val="auto"/>
        </w:rPr>
        <w:t xml:space="preserve">Profitability is a key indicator of a company's success since a profitable company is more likely to survive difficult economic times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{"citationItems":[{"id":"ITEM-1","itemData":{"DOI":"10.7441/joc.2017.03.07","ISSN":"1804171X","abstract":"The paper aims to provide up-to-date empirical evidence of relationship between the key indicators of business competitiveness: leverage and corporate performance. The study is based on corporate financial data of selected companies from the Czech Republic within 14 major business sectors according to CZ-NACE which companies published for the year 2014. The results of this study show that leverage (debt ratio) has a substantially negative effect on corporate performance when the return on equity (ROE) is used as an indicator of corporate performance in the Czech Republic over the period covered by the study. The results of the regression analysis confirmed negative relationship between the company profitability and the use of debt in majority of business sectors (Agriculture, fishery, and forestry; Construction, Wholesale and retail trade, repair of motor vehicles and motorcycles; Professional, scientific and technical activities; Administrative and support service activities). The opposite relationship was found in one business sector only (Mining and quarrying) where positive relationship between the company profitability and leverage was confirmed. Among other things, the results of this study confirm that corporate leverage varies across industries.","author":[{"dropping-particle":"","family":"Stryckova","given":"Lenka","non-dropping-particle":"","parse-names":false,"suffix":""}],"container-title":"Journal of Competitiveness","id":"ITEM-1","issue":"3","issued":{"date-parts":[["2017"]]},"page":"98-110","title":"The relationship between company returns and leverage depending on the business sector: Empirical evidence from the Czech republic","type":"article-journal","volume":"9"},"uris":["http://www.mendeley.com/documents/?uuid=e7a7c6fc-06b5-43e5-8bf2-3b26115733de"]}],"mendeley":{"formattedCitation":"(Stryckova, 2017)","plainTextFormattedCitation":"(Stryckova, 2017)","previouslyFormattedCitation":"(Stryckova, 2017)"},"properties":{"noteIndex":0},"schema":"https://github.com/citation-style-language/schema/raw/master/csl-citation.json"}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(Stryckova, 2017)</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According to </w:t>
      </w:r>
      <w:r w:rsidRPr="0022305D">
        <w:rPr>
          <w:rFonts w:asciiTheme="majorHAnsi" w:hAnsiTheme="majorHAnsi" w:cstheme="majorHAnsi"/>
          <w:bCs/>
          <w:iCs/>
          <w:color w:val="auto"/>
        </w:rPr>
        <w:fldChar w:fldCharType="begin" w:fldLock="1"/>
      </w:r>
      <w:r w:rsidR="0002347B">
        <w:rPr>
          <w:rFonts w:asciiTheme="majorHAnsi" w:hAnsiTheme="majorHAnsi" w:cstheme="majorHAnsi"/>
          <w:bCs/>
          <w:iCs/>
          <w:color w:val="auto"/>
        </w:rPr>
        <w:instrText>ADDIN CSL_CITATION {"citationItems":[{"id":"ITEM-1","itemData":{"author":[{"dropping-particle":"","family":"Muthoni","given":"Mburu Ruth","non-dropping-particle":"","parse-names":false,"suffix":""}],"container-title":"Journal of Asian Finance, Economics and Business","id":"ITEM-1","issue":"October","issued":{"date-parts":[["2013"]]},"page":"1-62","title":"The effect of liquidity and solvency on the profitability of commercial banks in Kenya","type":"article-journal"},"uris":["http://www.mendeley.com/documents/?uuid=44d5acc2-c2a6-4bc7-9abc-d398a680607e"]}],"mendeley":{"formattedCitation":"(Muthoni, 2013)","manualFormatting":"Muthoni (2013)","plainTextFormattedCitation":"(Muthoni, 2013)","previouslyFormattedCitation":"(Muthoni, 2013)"},"properties":{"noteIndex":0},"schema":"https://github.com/citation-style-language/schema/raw/master/csl-citation.json"}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Muthoni (2013)</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net revenue and expenses are used to calculate profitability. </w:t>
      </w:r>
      <w:r w:rsidRPr="0022305D">
        <w:rPr>
          <w:rFonts w:asciiTheme="majorHAnsi" w:hAnsiTheme="majorHAnsi" w:cstheme="majorHAnsi"/>
          <w:color w:val="auto"/>
        </w:rPr>
        <w:t xml:space="preserve">Bank, like any other business, is considered successful based on the profitability which is the motivating factor that keeps a business running because it reflects the firm’s progress and, at the same time, assess the effectiveness of such progress </w:t>
      </w:r>
      <w:r w:rsidRPr="0022305D">
        <w:rPr>
          <w:rFonts w:asciiTheme="majorHAnsi" w:hAnsiTheme="majorHAnsi" w:cstheme="majorHAnsi"/>
          <w:color w:val="auto"/>
        </w:rPr>
        <w:fldChar w:fldCharType="begin" w:fldLock="1"/>
      </w:r>
      <w:r w:rsidRPr="0022305D">
        <w:rPr>
          <w:rFonts w:asciiTheme="majorHAnsi" w:hAnsiTheme="majorHAnsi" w:cstheme="majorHAnsi"/>
          <w:color w:val="auto"/>
        </w:rPr>
        <w:instrText>ADDIN CSL_CITATION {"citationItems":[{"id":"ITEM-1","itemData":{"DOI":"10.1016/j.cbrev.2020.04.001","ISSN":"25241699","abstract":"This study investigates the determinants of bank profitability in 23 countries from 2002 to 2016 using the system generalized method of moments. The findings indicate that the number of bank cards issued, the number of automated teller machines (ATMs) and the number of point of sale (POS) terminals can improve bank profitability. Hence, this suggests a need for further expansion of these delivery channels. Also, the findings show the negative impact of market power on bank profitability, implying that competition improves bank profitability. Further, the positive relationship between capital market development and bank profitability suggests that they should be considered as complementary to one another.","author":[{"dropping-particle":"","family":"Ngo","given":"Thanh","non-dropping-particle":"","parse-names":false,"suffix":""}],"container-title":"Central Bank Review","id":"ITEM-1","issue":"2","issued":{"date-parts":[["2020"]]},"page":"65-73","title":"The determinants of bank profitability: A cross-country analysis","type":"article-journal","volume":"20"},"uris":["http://www.mendeley.com/documents/?uuid=8ab325d5-ea25-495d-b402-8e7604ae4221"]}],"mendeley":{"formattedCitation":"(Ngo, 2020)","plainTextFormattedCitation":"(Ngo, 2020)","previouslyFormattedCitation":"(Ngo, 2020)"},"properties":{"noteIndex":0},"schema":"https://github.com/citation-style-language/schema/raw/master/csl-citation.json"}</w:instrText>
      </w:r>
      <w:r w:rsidRPr="0022305D">
        <w:rPr>
          <w:rFonts w:asciiTheme="majorHAnsi" w:hAnsiTheme="majorHAnsi" w:cstheme="majorHAnsi"/>
          <w:color w:val="auto"/>
        </w:rPr>
        <w:fldChar w:fldCharType="separate"/>
      </w:r>
      <w:r w:rsidRPr="0022305D">
        <w:rPr>
          <w:rFonts w:asciiTheme="majorHAnsi" w:hAnsiTheme="majorHAnsi" w:cstheme="majorHAnsi"/>
          <w:noProof/>
          <w:color w:val="auto"/>
        </w:rPr>
        <w:t>(Ngo, 2020)</w:t>
      </w:r>
      <w:r w:rsidRPr="0022305D">
        <w:rPr>
          <w:rFonts w:asciiTheme="majorHAnsi" w:hAnsiTheme="majorHAnsi" w:cstheme="majorHAnsi"/>
          <w:color w:val="auto"/>
        </w:rPr>
        <w:fldChar w:fldCharType="end"/>
      </w:r>
      <w:r w:rsidRPr="0022305D">
        <w:rPr>
          <w:rFonts w:asciiTheme="majorHAnsi" w:hAnsiTheme="majorHAnsi" w:cstheme="majorHAnsi"/>
          <w:color w:val="auto"/>
        </w:rPr>
        <w:t xml:space="preserve">.  Profitability is considered to be the magic eye that reflects the whole picture of a firm, including all aspects of the entire operation </w:t>
      </w:r>
      <w:r w:rsidRPr="0022305D">
        <w:rPr>
          <w:rFonts w:asciiTheme="majorHAnsi" w:hAnsiTheme="majorHAnsi" w:cstheme="majorHAnsi"/>
          <w:color w:val="auto"/>
        </w:rPr>
        <w:fldChar w:fldCharType="begin" w:fldLock="1"/>
      </w:r>
      <w:r w:rsidRPr="0022305D">
        <w:rPr>
          <w:rFonts w:asciiTheme="majorHAnsi" w:hAnsiTheme="majorHAnsi" w:cstheme="majorHAnsi"/>
          <w:color w:val="auto"/>
        </w:rPr>
        <w:instrText>ADDIN CSL_CITATION {"citationItems":[{"id":"ITEM-1","itemData":{"author":[{"dropping-particle":"","family":"Hossain","given":"Tarik","non-dropping-particle":"","parse-names":false,"suffix":""}],"container-title":"International Journal of Research and Social Sciences","id":"ITEM-1","issue":"6","issued":{"date-parts":[["2020"]]},"page":"114-122","title":"The effect of working capital management on profitability: A study on manufacturing companies in Bangladesh","type":"article-journal","volume":"9"},"uris":["http://www.mendeley.com/documents/?uuid=e82e4a83-e35c-476f-8a91-399df5876099"]}],"mendeley":{"formattedCitation":"(Hossain, 2020)","plainTextFormattedCitation":"(Hossain, 2020)","previouslyFormattedCitation":"(Hossain, 2020)"},"properties":{"noteIndex":0},"schema":"https://github.com/citation-style-language/schema/raw/master/csl-citation.json"}</w:instrText>
      </w:r>
      <w:r w:rsidRPr="0022305D">
        <w:rPr>
          <w:rFonts w:asciiTheme="majorHAnsi" w:hAnsiTheme="majorHAnsi" w:cstheme="majorHAnsi"/>
          <w:color w:val="auto"/>
        </w:rPr>
        <w:fldChar w:fldCharType="separate"/>
      </w:r>
      <w:r w:rsidRPr="0022305D">
        <w:rPr>
          <w:rFonts w:asciiTheme="majorHAnsi" w:hAnsiTheme="majorHAnsi" w:cstheme="majorHAnsi"/>
          <w:noProof/>
          <w:color w:val="auto"/>
        </w:rPr>
        <w:t>(Hossain, 2020)</w:t>
      </w:r>
      <w:r w:rsidRPr="0022305D">
        <w:rPr>
          <w:rFonts w:asciiTheme="majorHAnsi" w:hAnsiTheme="majorHAnsi" w:cstheme="majorHAnsi"/>
          <w:color w:val="auto"/>
        </w:rPr>
        <w:fldChar w:fldCharType="end"/>
      </w:r>
      <w:r w:rsidRPr="0022305D">
        <w:rPr>
          <w:rFonts w:asciiTheme="majorHAnsi" w:hAnsiTheme="majorHAnsi" w:cstheme="majorHAnsi"/>
          <w:color w:val="auto"/>
        </w:rPr>
        <w:t xml:space="preserve">. According to </w:t>
      </w:r>
      <w:r w:rsidRPr="0022305D">
        <w:rPr>
          <w:rFonts w:asciiTheme="majorHAnsi" w:hAnsiTheme="majorHAnsi" w:cstheme="majorHAnsi"/>
          <w:color w:val="auto"/>
        </w:rPr>
        <w:fldChar w:fldCharType="begin" w:fldLock="1"/>
      </w:r>
      <w:r w:rsidRPr="0022305D">
        <w:rPr>
          <w:rFonts w:asciiTheme="majorHAnsi" w:hAnsiTheme="majorHAnsi" w:cstheme="majorHAnsi"/>
          <w:color w:val="auto"/>
        </w:rPr>
        <w:instrText>ADDIN CSL_CITATION {"citationItems":[{"id":"ITEM-1","itemData":{"DOI":"10.5430/ijfr.v11n2p61","ISSN":"19234031","abstract":"This study examines the factors that influence Audit Report Lag in Indonesia. This factor is seen from the financial performance of the company size, profitability and corporate leverage. The research sample was 91 manufacturing companies listed on the Indonesia Stock Exchange (IDX) for the period of 2015 and 2016. The total observation for 2 years amounted to 182. The method of data analysis is random effect models. The results showed that company size and profitability are variables that can shorten Audit Report Lag. Meanwhile, leverage has not empirically proven to have a significant effect. The findings implies that large companies have better information and technology systems compared to smaller companies so as to strengthen internal control and speed of presentation of financial statements. High profitability encourages companies to present financial reports on time so that the impact of ARL decline.","author":[{"dropping-particle":"","family":"Fujianti","given":"Lailah","non-dropping-particle":"","parse-names":false,"suffix":""}],"container-title":"International Journal of Financial Research","id":"ITEM-1","issue":"2","issued":{"date-parts":[["2020"]]},"title":"Firm size, profitability, leverage as determinants of audit report lag: Evidence from Indonesia","type":"article-journal","volume":"11"},"uris":["http://www.mendeley.com/documents/?uuid=13b36c06-a018-4bf3-9429-6b2cb6c45747"]}],"mendeley":{"formattedCitation":"(Fujianti, 2020)","manualFormatting":"Fujianti (2020)","plainTextFormattedCitation":"(Fujianti, 2020)","previouslyFormattedCitation":"(Fujianti, 2020)"},"properties":{"noteIndex":0},"schema":"https://github.com/citation-style-language/schema/raw/master/csl-citation.json"}</w:instrText>
      </w:r>
      <w:r w:rsidRPr="0022305D">
        <w:rPr>
          <w:rFonts w:asciiTheme="majorHAnsi" w:hAnsiTheme="majorHAnsi" w:cstheme="majorHAnsi"/>
          <w:color w:val="auto"/>
        </w:rPr>
        <w:fldChar w:fldCharType="separate"/>
      </w:r>
      <w:r w:rsidRPr="0022305D">
        <w:rPr>
          <w:rFonts w:asciiTheme="majorHAnsi" w:hAnsiTheme="majorHAnsi" w:cstheme="majorHAnsi"/>
          <w:noProof/>
          <w:color w:val="auto"/>
        </w:rPr>
        <w:t>Fujianti (2020)</w:t>
      </w:r>
      <w:r w:rsidRPr="0022305D">
        <w:rPr>
          <w:rFonts w:asciiTheme="majorHAnsi" w:hAnsiTheme="majorHAnsi" w:cstheme="majorHAnsi"/>
          <w:color w:val="auto"/>
        </w:rPr>
        <w:fldChar w:fldCharType="end"/>
      </w:r>
      <w:r w:rsidRPr="0022305D">
        <w:rPr>
          <w:rFonts w:asciiTheme="majorHAnsi" w:hAnsiTheme="majorHAnsi" w:cstheme="majorHAnsi"/>
          <w:color w:val="auto"/>
        </w:rPr>
        <w:t xml:space="preserve">, profitability plays different roles to each stakeholder. For instance, to a manager, it is an efficiency </w:t>
      </w:r>
      <w:r w:rsidRPr="0022305D">
        <w:rPr>
          <w:rFonts w:asciiTheme="majorHAnsi" w:hAnsiTheme="majorHAnsi" w:cstheme="majorHAnsi"/>
          <w:color w:val="auto"/>
        </w:rPr>
        <w:lastRenderedPageBreak/>
        <w:t xml:space="preserve">and a regulator measurement; to a creditor, it is a safety boundary; to the owners, it is the evaluation of worth of their investment; to the employees, it is a source of marginal benefits; to the customers, it is a sign for demand of product to a country, it reflects the whole economic progress. </w:t>
      </w:r>
    </w:p>
    <w:p w14:paraId="2CEB2ACE" w14:textId="7DA3EBEE" w:rsidR="00220318" w:rsidRPr="0022305D" w:rsidRDefault="00220318" w:rsidP="00220318">
      <w:pPr>
        <w:pStyle w:val="Default"/>
        <w:spacing w:line="480" w:lineRule="auto"/>
        <w:ind w:firstLine="720"/>
        <w:rPr>
          <w:rFonts w:asciiTheme="majorHAnsi" w:hAnsiTheme="majorHAnsi" w:cstheme="majorHAnsi"/>
          <w:bCs/>
          <w:iCs/>
          <w:color w:val="auto"/>
        </w:rPr>
      </w:pPr>
      <w:r w:rsidRPr="0022305D">
        <w:rPr>
          <w:rFonts w:asciiTheme="majorHAnsi" w:hAnsiTheme="majorHAnsi" w:cstheme="majorHAnsi"/>
          <w:bCs/>
          <w:iCs/>
          <w:color w:val="auto"/>
        </w:rPr>
        <w:t xml:space="preserve">Profitability is a metric that gauges a company's capital productivity as well as its operational efficiency because it is a major indicator of a company's economic success and management skill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{"citationItems":[{"id":"ITEM-1","itemData":{"abstract":"This research is an attempt to establish a stochastic relationship between Financial leverage and Profitability of cement sector operating in Pakistan. For this purpose 18 cement manufacturers out of 21 are incorporated in the study and six years annual data from 2005 to 2010 regarding financial leverage and profitability of the said firms were taken into consideration. The sample size for eighteen firms for six years consists of 108 observations. An Ordinary Least Square model is applied on the data to establish a causal relationship between the variables. The study finds that financial leverage has a statistically significant inverse impact on profitability at 99% confidence interval.","author":[{"dropping-particle":"","family":"Ahmad","given":"Nawaz","non-dropping-particle":"","parse-names":false,"suffix":""},{"dropping-particle":"","family":"Salman","given":"Atif","non-dropping-particle":"","parse-names":false,"suffix":""},{"dropping-particle":"","family":"Shamsi","given":"Aamir Firoz","non-dropping-particle":"","parse-names":false,"suffix":""}],"container-title":"Research Journal Of Finance And Accounting","id":"ITEM-1","issue":"7","issued":{"date-parts":[["2015"]]},"page":"75-81","title":"Impact of financial leverage on firms ’ profitability : An investigation from cement sector of Pakistan","type":"article-journal","volume":"6"},"uris":["http://www.mendeley.com/documents/?uuid=63bf130c-0b6c-42e4-8983-915876374276"]}],"mendeley":{"formattedCitation":"(Ahmad et al., 2015)","plainTextFormattedCitation":"(Ahmad et al., 2015)","previouslyFormattedCitation":"(Ahmad et al., 2015)"},"properties":{"noteIndex":0},"schema":"https://github.com/citation-style-language/schema/raw/master/csl-citation.json"}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(Ahmad et al., 2015)</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Profitability portrays the capacity of a firm to make revenue in excess of attributable costs incurred since it indicates the efficiency of the management to utilize resources at their disposal in generating net return </w:t>
      </w:r>
      <w:r w:rsidRPr="0022305D">
        <w:rPr>
          <w:rFonts w:asciiTheme="majorHAnsi" w:hAnsiTheme="majorHAnsi" w:cstheme="majorHAnsi"/>
          <w:bCs/>
          <w:iCs/>
          <w:color w:val="auto"/>
        </w:rPr>
        <w:fldChar w:fldCharType="begin" w:fldLock="1"/>
      </w:r>
      <w:r w:rsidR="007B2007">
        <w:rPr>
          <w:rFonts w:asciiTheme="majorHAnsi" w:hAnsiTheme="majorHAnsi" w:cstheme="majorHAnsi"/>
          <w:bCs/>
          <w:iCs/>
          <w:color w:val="auto"/>
        </w:rPr>
        <w:instrText>ADDIN CSL_CITATION {"citationItems":[{"id":"ITEM-1","itemData":{"abstract":"The factors affecting debt levels of firms are related to the course of economy as well as the profitability of companies. But it is quite difficult to make a prediction about the course of economy. In this study, it is aimed to reveal how profitability indicators of companies affect debt levels. The purpose of this study is to examine the relation between the debt and profitability ratios of the companies that operate on the BIST (Istanbul Stock Exchange Market) manufacturing industry by using Panel Regression Analysis. The data of the 86 companies within manufacturing industry on the BIST between the years 1994 and 2015 were used. Furthermore, the variables such as asset growth ratio, return on asset, current ratio, leverage ratio, cash rate, new borrowing rates, total financial liability/total liability ratio, return on equity, investment and earnings have been studied. It has been observed in the study that the active growth and the return on equity ratios affect the new borrowing variables positively while investment, current earnings per share ratios affect the new borrowing variablesnegatively. In addition, it has been determined in the study that the return on investment, the return on assets and the current ratios affect the leverage ratio negatively while the active growth, the return on equity, the earnings and the cash ratios per share affect the leverage ratios positively. It has also seen that the active return on assets and the earnings per share ratios affect the total financial liabilities/total liability ratios negatively while the asset growth ratios affect the total financial liabilities/total liabilities ratios positively.","author":[{"dropping-particle":"","family":"Korkmaz","given":"Ozge","non-dropping-particle":"","parse-names":false,"suffix":""}],"container-title":"Journal of Financial Studies","id":"ITEM-1","issue":"2","issued":{"date-parts":[["2016"]]},"page":"35-54","title":"The effect of profitability ratios on debt ratio: The sample of BIST manufacturing industry","type":"article-journal","volume":"20"},"uris":["http://www.mendeley.com/documents/?uuid=a0bc9f59-5686-4ee9-a7e7-9357862f6a17"]}],"mendeley":{"formattedCitation":"(Korkmaz, 2016)","plainTextFormattedCitation":"(Korkmaz, 2016)","previouslyFormattedCitation":"(Korkmaz, 2016)"},"properties":{"noteIndex":0},"schema":"https://github.com/citation-style-language/schema/raw/master/csl-citation.json"}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(Korkmaz, 2016)</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w:t>
      </w:r>
    </w:p>
    <w:p w14:paraId="54D5F2F5" w14:textId="09CC5F63" w:rsidR="00220318" w:rsidRPr="0022305D" w:rsidRDefault="00220318" w:rsidP="00220318">
      <w:pPr>
        <w:pStyle w:val="Default"/>
        <w:spacing w:line="480" w:lineRule="auto"/>
        <w:rPr>
          <w:rFonts w:asciiTheme="majorHAnsi" w:hAnsiTheme="majorHAnsi" w:cstheme="majorHAnsi"/>
          <w:bCs/>
          <w:iCs/>
          <w:color w:val="auto"/>
        </w:rPr>
      </w:pPr>
      <w:r w:rsidRPr="0022305D">
        <w:rPr>
          <w:rFonts w:asciiTheme="majorHAnsi" w:hAnsiTheme="majorHAnsi" w:cstheme="majorHAnsi"/>
          <w:bCs/>
          <w:iCs/>
          <w:color w:val="auto"/>
        </w:rPr>
        <w:t xml:space="preserve">Profitability is the eventual goal of all company undertakings, both short- and long-term both in the short-run and in the long-run. In order to </w:t>
      </w:r>
      <w:r w:rsidR="00BC2958">
        <w:rPr>
          <w:rFonts w:asciiTheme="majorHAnsi" w:hAnsiTheme="majorHAnsi" w:cstheme="majorHAnsi"/>
          <w:bCs/>
          <w:iCs/>
          <w:color w:val="auto"/>
        </w:rPr>
        <w:t>continue in existence and to remain competitive</w:t>
      </w:r>
      <w:r w:rsidRPr="0022305D">
        <w:rPr>
          <w:rFonts w:asciiTheme="majorHAnsi" w:hAnsiTheme="majorHAnsi" w:cstheme="majorHAnsi"/>
          <w:bCs/>
          <w:iCs/>
          <w:color w:val="auto"/>
        </w:rPr>
        <w:t xml:space="preserve">, a company must maintain profitability. As a result, it's critical to assess current and historical profitability, as well as expected future profitability.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{"citationItems":[{"id":"ITEM-1","itemData":{"ISSN":"21464138","abstract":"This study aimed to analyze the effect of leverage and the size of a company to its profitability. Data were obtained from the financial statements of 100 qualified manufacturing companies listed in Indonesia Stock Exchange in the period of 2009-2014. Leverage was measured by debt ratio, while firm size was measured by total assets and total sales, and profitability by return on assets. Panel data regression analysis was implemented to analyze the influence of independent variables to the dependent variable. The most suitable panel data regression model in this study was a fixed effect model. The study found that the debt ratio had a significant positive effect on profitability while total assets had a significant negative impact. In contrast, total sales had statistically insignificant effect to the profitability of the companies.","author":[{"dropping-particle":"","family":"Kartikasari","given":"Dwi","non-dropping-particle":"","parse-names":false,"suffix":""},{"dropping-particle":"","family":"Merianti","given":"Marisa","non-dropping-particle":"","parse-names":false,"suffix":""}],"container-title":"International Journal of Economics and Financial Issues","id":"ITEM-1","issue":"2","issued":{"date-parts":[["2016"]]},"page":"409-413","title":"The effect of leverage and firm size to profitability of public manufacturing companies in Indonesia","type":"article-journal","volume":"6"},"uris":["http://www.mendeley.com/documents/?uuid=6525fe3a-5d72-4480-abed-e490e1e4a97b"]}],"mendeley":{"formattedCitation":"(Kartikasari &amp; Merianti, 2016)","plainTextFormattedCitation":"(Kartikasari &amp; Merianti, 2016)","previouslyFormattedCitation":"(Kartikasari &amp; Merianti, 2016)"},"properties":{"noteIndex":0},"schema":"https://github.com/citation-style-language/schema/raw/master/csl-citation.json"}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(Kartikasari &amp; Merianti, 2016)</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w:t>
      </w:r>
    </w:p>
    <w:p w14:paraId="2ED67DD7" w14:textId="5C39B827" w:rsidR="00220318" w:rsidRPr="0022305D" w:rsidRDefault="00220318" w:rsidP="00220318">
      <w:pPr>
        <w:pStyle w:val="Default"/>
        <w:spacing w:line="480" w:lineRule="auto"/>
        <w:rPr>
          <w:rFonts w:asciiTheme="majorHAnsi" w:hAnsiTheme="majorHAnsi" w:cstheme="majorHAnsi"/>
          <w:bCs/>
          <w:iCs/>
          <w:color w:val="auto"/>
        </w:rPr>
      </w:pPr>
      <w:r w:rsidRPr="0022305D">
        <w:rPr>
          <w:rFonts w:asciiTheme="majorHAnsi" w:hAnsiTheme="majorHAnsi" w:cstheme="majorHAnsi"/>
          <w:bCs/>
          <w:iCs/>
          <w:color w:val="auto"/>
        </w:rPr>
        <w:tab/>
        <w:t xml:space="preserve">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ISSN":"1857-9108","author":[{"dropping-particle":"","family":"Filipovic","given":"Ana","non-dropping-particle":"","parse-names":false,"suffix":""},{"dropping-particle":"","family":"Demirovic","given":"Selma","non-dropping-particle":"","parse-names":false,"suffix":""}],"container-title":"Journal of Contemporary Economic and Business Issues","id":"ITEM-1","issue":"2","issued":{"date-parts":[["2016"]]},"page":"19-34","title":"The relationship between debt and profitability of stock companies in Montenegro","type":"article-journal","volume":"3"},"uris":["http://www.mendeley.com/documents/?uuid=0c704706-d71b-45b9-847c-9377f1af3433"]}],"mendeley":{"formattedCitation":"(Filipovic &amp; Demirovic, 2016)","manualFormatting":"Filipovic and Demirovic (2016)","plainTextFormattedCitation":"(Filipovic &amp; Demirovic, 2016)","previouslyFormattedCitation":"(Filipovic &amp; Demirovic, 2016)"},"properties":{"noteIndex":0},"schema":"https://github.com/citation-style-language/schema/raw/master/csl-citation.json"}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Filipovic and Demirovic (2016)</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conducted a study on the relationship between debt and profitability of stock companies in Montenegro and they measured profitability by return on equity and return on assets. This is in line with how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DOI":"10.1515/sbe-2017-0036","author":[{"dropping-particle":"","family":"Mihaela","given":"Herciu","non-dropping-particle":"","parse-names":false,"suffix":""},{"dropping-particle":"","family":"Claudia","given":"Ogrean","non-dropping-particle":"","parse-names":false,"suffix":""}],"container-title":"Journal of Business and Economics","id":"ITEM-1","issue":"12","issued":{"date-parts":[["2017"]]},"page":"50-62","title":"Does capital struscture influence company profitability ?","type":"article-journal","volume":"12"},"uris":["http://www.mendeley.com/documents/?uuid=91653f8f-339e-4dbf-a312-3da2e454304d"]}],"mendeley":{"formattedCitation":"(Mihaela &amp; Claudia, 2017)","manualFormatting":"Mihaela and Claudia (2017)","plainTextFormattedCitation":"(Mihaela &amp; Claudia, 2017)","previouslyFormattedCitation":"(Mihaela &amp; Claudia, 2017)"},"properties":{"noteIndex":0},"schema":"https://github.com/citation-style-language/schema/raw/master/csl-citation.json"}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Mihaela and Claudia (2017)</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measured profitability in their studies on the influence of capital structure on profitability of top 100 best companies in the world. Another study by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{"citationItems":[{"id":"ITEM-1","itemData":{"author":[{"dropping-particle":"","family":"Mazumder","given":"Deepanjali","non-dropping-particle":"","parse-names":false,"suffix":""}],"container-title":"International Conference on Paradigm Shift in Taxation","id":"ITEM-1","issued":{"date-parts":[["2017"]]},"page":"6-11","title":"The impact of capital structure on profitability of listed Indian infrastructure companies","type":"paper-conference"},"uris":["http://www.mendeley.com/documents/?uuid=34c8228a-c3f3-4447-8402-353a98445fba"]}],"mendeley":{"formattedCitation":"(Mazumder, 2017)","manualFormatting":"Mazumder (2017)","plainTextFormattedCitation":"(Mazumder, 2017)","previouslyFormattedCitation":"(Mazumder, 2017)"},"properties":{"noteIndex":0},"schema":"https://github.com/citation-style-language/schema/raw/master/csl-citation.json"}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Mazumder (2017)</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on the impact of capital structure on profitability of listed Indian infrastructure companies reveals that profitability was measured by return on equity and return on assets. A common measure of profitability included in previous research is return on assets </w:t>
      </w:r>
      <w:r w:rsidRPr="0022305D">
        <w:rPr>
          <w:rFonts w:asciiTheme="majorHAnsi" w:hAnsiTheme="majorHAnsi" w:cstheme="majorHAnsi"/>
          <w:bCs/>
          <w:iCs/>
          <w:color w:val="auto"/>
        </w:rPr>
        <w:lastRenderedPageBreak/>
        <w:fldChar w:fldCharType="begin" w:fldLock="1"/>
      </w:r>
      <w:r w:rsidRPr="0022305D">
        <w:rPr>
          <w:rFonts w:asciiTheme="majorHAnsi" w:hAnsiTheme="majorHAnsi" w:cstheme="majorHAnsi"/>
          <w:bCs/>
          <w:iCs/>
          <w:color w:val="auto"/>
        </w:rPr>
        <w:instrText>ADDIN CSL_CITATION {"citationItems":[{"id":"ITEM-1","itemData":{"author":[{"dropping-particle":"","family":"Andersson","given":"Alexander","non-dropping-particle":"","parse-names":false,"suffix":""},{"dropping-particle":"","family":"Minnema","given":"Joel","non-dropping-particle":"","parse-names":false,"suffix":""}],"container-title":"Umea school of business, economics and statistics","id":"ITEM-1","issued":{"date-parts":[["2018"]]},"page":"1-83","title":"The relationship between leverage and profitability: A quantitative study of consulting firms in Sweden","type":"article-journal"},"uris":["http://www.mendeley.com/documents/?uuid=c1d67739-5e36-4384-9c99-4a954686ff7d"]}],"mendeley":{"formattedCitation":"(Andersson &amp; Minnema, 2018)","manualFormatting":"(Andersson &amp; Minnema, 2018","plainTextFormattedCitation":"(Andersson &amp; Minnema, 2018)","previouslyFormattedCitation":"(Andersson &amp; Minnema, 2018)"},"properties":{"noteIndex":0},"schema":"https://github.com/citation-style-language/schema/raw/master/csl-citation.json"}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(Andersson &amp; Minnema, 2018</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w:t>
      </w:r>
      <w:r w:rsidRPr="0022305D">
        <w:rPr>
          <w:rFonts w:asciiTheme="majorHAnsi" w:hAnsiTheme="majorHAnsi" w:cstheme="majorHAnsi"/>
          <w:bCs/>
          <w:iCs/>
          <w:color w:val="auto"/>
        </w:rPr>
        <w:fldChar w:fldCharType="begin" w:fldLock="1"/>
      </w:r>
      <w:r w:rsidR="007B2007">
        <w:rPr>
          <w:rFonts w:asciiTheme="majorHAnsi" w:hAnsiTheme="majorHAnsi" w:cstheme="majorHAnsi"/>
          <w:bCs/>
          <w:iCs/>
          <w:color w:val="auto"/>
        </w:rPr>
        <w:instrText>ADDIN CSL_CITATION {"citationItems":[{"id":"ITEM-1","itemData":{"author":[{"dropping-particle":"","family":"Arimi","given":"Jesse Kaumbuthu","non-dropping-particle":"","parse-names":false,"suffix":""}],"container-title":"Journal of Accountancy and Finance","id":"ITEM-1","issue":"November","issued":{"date-parts":[["2010"]]},"title":"The relationship between capital structure and financial performance: A study of firms listed under industrial and allied sector at the Nairobi stock exchange","type":"article-journal"},"uris":["http://www.mendeley.com/documents/?uuid=21441988-efcd-4cc3-8bc2-50b0c9f0a8f5"]}],"mendeley":{"formattedCitation":"(Arimi, 2010)","manualFormatting":" Stryckova, 2017; Kartikasari &amp; Merianti, 2016 and Arimi, 2010","plainTextFormattedCitation":"(Arimi, 2010)","previouslyFormattedCitation":"(Arimi, 2010)"},"properties":{"noteIndex":0},"schema":"https://github.com/citation-style-language/schema/raw/master/csl-citation.json"}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 xml:space="preserve"> </w:t>
      </w:r>
      <w:r w:rsidRPr="0022305D">
        <w:rPr>
          <w:rFonts w:asciiTheme="majorHAnsi" w:hAnsiTheme="majorHAnsi" w:cstheme="majorHAnsi"/>
          <w:bCs/>
          <w:iCs/>
          <w:noProof/>
          <w:color w:val="auto"/>
        </w:rPr>
        <w:fldChar w:fldCharType="begin" w:fldLock="1"/>
      </w:r>
      <w:r w:rsidRPr="0022305D">
        <w:rPr>
          <w:rFonts w:asciiTheme="majorHAnsi" w:hAnsiTheme="majorHAnsi" w:cstheme="majorHAnsi"/>
          <w:bCs/>
          <w:iCs/>
          <w:noProof/>
          <w:color w:val="auto"/>
        </w:rPr>
        <w:instrText>ADDIN CSL_CITATION {"citationItems":[{"id":"ITEM-1","itemData":{"DOI":"10.7441/joc.2017.03.07","ISSN":"1804171X","abstract":"The paper aims to provide up-to-date empirical evidence of relationship between the key indicators of business competitiveness: leverage and corporate performance. The study is based on corporate financial data of selected companies from the Czech Republic within 14 major business sectors according to CZ-NACE which companies published for the year 2014. The results of this study show that leverage (debt ratio) has a substantially negative effect on corporate performance when the return on equity (ROE) is used as an indicator of corporate performance in the Czech Republic over the period covered by the study. The results of the regression analysis confirmed negative relationship between the company profitability and the use of debt in majority of business sectors (Agriculture, fishery, and forestry; Construction, Wholesale and retail trade, repair of motor vehicles and motorcycles; Professional, scientific and technical activities; Administrative and support service activities). The opposite relationship was found in one business sector only (Mining and quarrying) where positive relationship between the company profitability and leverage was confirmed. Among other things, the results of this study confirm that corporate leverage varies across industries.","author":[{"dropping-particle":"","family":"Stryckova","given":"Lenka","non-dropping-particle":"","parse-names":false,"suffix":""}],"container-title":"Journal of Competitiveness","id":"ITEM-1","issue":"3","issued":{"date-parts":[["2017"]]},"page":"98-110","title":"The relationship between company returns and leverage depending on the business sector: Empirical evidence from the Czech republic","type":"article-journal","volume":"9"},"uris":["http://www.mendeley.com/documents/?uuid=e7a7c6fc-06b5-43e5-8bf2-3b26115733de"]}],"mendeley":{"formattedCitation":"(Stryckova, 2017)","manualFormatting":"Stryckova, 2017","plainTextFormattedCitation":"(Stryckova, 2017)","previouslyFormattedCitation":"(Stryckova, 2017)"},"properties":{"noteIndex":0},"schema":"https://github.com/citation-style-language/schema/raw/master/csl-citation.json"}</w:instrText>
      </w:r>
      <w:r w:rsidRPr="0022305D">
        <w:rPr>
          <w:rFonts w:asciiTheme="majorHAnsi" w:hAnsiTheme="majorHAnsi" w:cstheme="majorHAnsi"/>
          <w:bCs/>
          <w:iCs/>
          <w:noProof/>
          <w:color w:val="auto"/>
        </w:rPr>
        <w:fldChar w:fldCharType="separate"/>
      </w:r>
      <w:r w:rsidRPr="0022305D">
        <w:rPr>
          <w:rFonts w:asciiTheme="majorHAnsi" w:hAnsiTheme="majorHAnsi" w:cstheme="majorHAnsi"/>
          <w:bCs/>
          <w:iCs/>
          <w:noProof/>
          <w:color w:val="auto"/>
        </w:rPr>
        <w:t>Stryckova, 2017</w:t>
      </w:r>
      <w:r w:rsidRPr="0022305D">
        <w:rPr>
          <w:rFonts w:asciiTheme="majorHAnsi" w:hAnsiTheme="majorHAnsi" w:cstheme="majorHAnsi"/>
          <w:bCs/>
          <w:iCs/>
          <w:noProof/>
          <w:color w:val="auto"/>
        </w:rPr>
        <w:fldChar w:fldCharType="end"/>
      </w:r>
      <w:r w:rsidRPr="0022305D">
        <w:rPr>
          <w:rFonts w:asciiTheme="majorHAnsi" w:hAnsiTheme="majorHAnsi" w:cstheme="majorHAnsi"/>
          <w:bCs/>
          <w:iCs/>
          <w:noProof/>
          <w:color w:val="auto"/>
        </w:rPr>
        <w:t xml:space="preserve">; </w:t>
      </w:r>
      <w:r w:rsidRPr="0022305D">
        <w:rPr>
          <w:rFonts w:asciiTheme="majorHAnsi" w:hAnsiTheme="majorHAnsi" w:cstheme="majorHAnsi"/>
          <w:bCs/>
          <w:iCs/>
          <w:noProof/>
          <w:color w:val="auto"/>
        </w:rPr>
        <w:fldChar w:fldCharType="begin" w:fldLock="1"/>
      </w:r>
      <w:r w:rsidRPr="0022305D">
        <w:rPr>
          <w:rFonts w:asciiTheme="majorHAnsi" w:hAnsiTheme="majorHAnsi" w:cstheme="majorHAnsi"/>
          <w:bCs/>
          <w:iCs/>
          <w:noProof/>
          <w:color w:val="auto"/>
        </w:rPr>
        <w:instrText>ADDIN CSL_CITATION {"citationItems":[{"id":"ITEM-1","itemData":{"ISSN":"21464138","abstract":"This study aimed to analyze the effect of leverage and the size of a company to its profitability. Data were obtained from the financial statements of 100 qualified manufacturing companies listed in Indonesia Stock Exchange in the period of 2009-2014. Leverage was measured by debt ratio, while firm size was measured by total assets and total sales, and profitability by return on assets. Panel data regression analysis was implemented to analyze the influence of independent variables to the dependent variable. The most suitable panel data regression model in this study was a fixed effect model. The study found that the debt ratio had a significant positive effect on profitability while total assets had a significant negative impact. In contrast, total sales had statistically insignificant effect to the profitability of the companies.","author":[{"dropping-particle":"","family":"Kartikasari","given":"Dwi","non-dropping-particle":"","parse-names":false,"suffix":""},{"dropping-particle":"","family":"Merianti","given":"Marisa","non-dropping-particle":"","parse-names":false,"suffix":""}],"container-title":"International Journal of Economics and Financial Issues","id":"ITEM-1","issue":"2","issued":{"date-parts":[["2016"]]},"page":"409-413","title":"The effect of leverage and firm size to profitability of public manufacturing companies in Indonesia","type":"article-journal","volume":"6"},"uris":["http://www.mendeley.com/documents/?uuid=6525fe3a-5d72-4480-abed-e490e1e4a97b"]}],"mendeley":{"formattedCitation":"(Kartikasari &amp; Merianti, 2016)","manualFormatting":"Kartikasari &amp; Merianti, 2016","plainTextFormattedCitation":"(Kartikasari &amp; Merianti, 2016)","previouslyFormattedCitation":"(Kartikasari &amp; Merianti, 2016)"},"properties":{"noteIndex":0},"schema":"https://github.com/citation-style-language/schema/raw/master/csl-citation.json"}</w:instrText>
      </w:r>
      <w:r w:rsidRPr="0022305D">
        <w:rPr>
          <w:rFonts w:asciiTheme="majorHAnsi" w:hAnsiTheme="majorHAnsi" w:cstheme="majorHAnsi"/>
          <w:bCs/>
          <w:iCs/>
          <w:noProof/>
          <w:color w:val="auto"/>
        </w:rPr>
        <w:fldChar w:fldCharType="separate"/>
      </w:r>
      <w:r w:rsidRPr="0022305D">
        <w:rPr>
          <w:rFonts w:asciiTheme="majorHAnsi" w:hAnsiTheme="majorHAnsi" w:cstheme="majorHAnsi"/>
          <w:bCs/>
          <w:iCs/>
          <w:noProof/>
          <w:color w:val="auto"/>
        </w:rPr>
        <w:t>Kartikasari &amp; Merianti, 2016</w:t>
      </w:r>
      <w:r w:rsidRPr="0022305D">
        <w:rPr>
          <w:rFonts w:asciiTheme="majorHAnsi" w:hAnsiTheme="majorHAnsi" w:cstheme="majorHAnsi"/>
          <w:bCs/>
          <w:iCs/>
          <w:noProof/>
          <w:color w:val="auto"/>
        </w:rPr>
        <w:fldChar w:fldCharType="end"/>
      </w:r>
      <w:r w:rsidRPr="0022305D">
        <w:rPr>
          <w:rFonts w:asciiTheme="majorHAnsi" w:hAnsiTheme="majorHAnsi" w:cstheme="majorHAnsi"/>
          <w:bCs/>
          <w:iCs/>
          <w:noProof/>
          <w:color w:val="auto"/>
        </w:rPr>
        <w:t xml:space="preserve"> and Arimi, 2010</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Another recurring measure in previous research is return on equity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{"citationItems":[{"id":"ITEM-1","itemData":{"abstract":"This paper presents an analysis which explains the impact of two distinct forms of leverage that arises due to the financing activities and operational activities, upon the profitability and market performance of a firm. The sample consists of twenty eight listed companies in the manufacturing sector of Colombo Stock Exchange, and data is gathered for the period 2008-2012. Study discusses the explanatory power of Financial Liability Leverage (FLEV), Operating Liability Leverage (OLLEV), and Total Leverage (TLEV) on Profitability and Market Performance. While profitability is measured by Return on Equity (ROE), Return on Assets (ROA) and Return on Net Operating Assets (RONOA), market performance is proxied by Price to Book value ratio (PB), Price Earnings ratio (PE), Market Capitalization (LGMCAP) and Tobin’s Q. Panel regression analysis is employed where fixed effects and random effects are tested to select the best suited model. The findings revealed that relationship between leverage and profitability best describes by the RONOA model and where OLLEV and FLEV exhibit a positive significant impact on the RONOA. While FLEV affects the ROA negatively and significantly, there is a negative significant relationship between TLEV and ROE. Only LGMCAP is captured by OLLEV and TLEV positively and negatively respectively. Accordingly LGMCAP model is the best suited model to explain the relationship between leverage and market performance","author":[{"dropping-particle":"","family":"Kumara","given":"Emil Sudath","non-dropping-particle":"","parse-names":false,"suffix":""},{"dropping-particle":"","family":"Samarakoon","given":"","non-dropping-particle":"","parse-names":false,"suffix":""}],"container-title":"Journal of Accountancy and Finance, 1-1;","id":"ITEM-1","issue":"1","issued":{"date-parts":[["2014"]]},"page":"76-87.","title":"Effect of leverage on profitability and market performance in the manufacturing sector of Sri Lanka: A panel regression analysis.","type":"article-journal","volume":"1"},"uris":["http://www.mendeley.com/documents/?uuid=13904257-29c4-42de-b78b-82d606551ef2"]}],"mendeley":{"formattedCitation":"(Kumara &amp; Samarakoon, 2014)","manualFormatting":"(Kumara &amp; Samarakoon, 2014","plainTextFormattedCitation":"(Kumara &amp; Samarakoon, 2014)","previouslyFormattedCitation":"(Kumara &amp; Samarakoon, 2014)"},"properties":{"noteIndex":0},"schema":"https://github.com/citation-style-language/schema/raw/master/csl-citation.json"}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(Kumara &amp; Samarakoon, 2014</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{"citationItems":[{"id":"ITEM-1","itemData":{"author":[{"dropping-particle":"","family":"Pradhan","given":"Prof Radhe S","non-dropping-particle":"","parse-names":false,"suffix":""},{"dropping-particle":"","family":"Shrestha","given":"Deepa","non-dropping-particle":"","parse-names":false,"suffix":""}],"container-title":"Journal of management","id":"ITEM-1","issued":{"date-parts":[["2009"]]},"page":"1-14","title":"Impact of liquidity on bank profitability in Nepalese commercial banks","type":"article-journal"},"uris":["http://www.mendeley.com/documents/?uuid=f93c0496-7c21-43d9-9ae4-a5a156fe3815"]}],"mendeley":{"formattedCitation":"(Pradhan &amp; Shrestha, 2009)","manualFormatting":"Pradhan &amp; Shrestha, 2009","plainTextFormattedCitation":"(Pradhan &amp; Shrestha, 2009)","previouslyFormattedCitation":"(Pradhan &amp; Shrestha, 2009)"},"properties":{"noteIndex":0},"schema":"https://github.com/citation-style-language/schema/raw/master/csl-citation.json"}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Pradhan &amp; Shrestha, 2009</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and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{"citationItems":[{"id":"ITEM-1","itemData":{"abstract":"This study aims to examine the effect of profitability ration on market capitalization in the Jordanian insurance companies listed in Amman stock exchange (ASE) by examining time series data collected over a period of four years from (2010 – 2013) which included 25 companies and utilizing content analysis to extract the data from the company's annual reports. The finding indicated that there's an effect of Return on Investment (ROI) upon market capitalization for the companies operating in the insurance sector listed in the ASE. In terms of the effect of Return on Equity (ROE) on market capitalization, the study revealed that ROE does not affect the market capitalization for the companies operating in the insurance sector listed in ASE. In respect of the effect of Return on Asset (ROA) on market capitalization, the result indicated that there is an effect of ROA on Market Capitalization for the companies operating in the insurance sector listed in ASE. Additionally, by examining the effect of the independent variables (ROA, ROI, and ROE) combined in the market capitalization variable, the study revealed that all of ROA, ROI, ROE combined effects on the market capitalization and thus the main hypothesis was accepted and requires that there is an effect of profitability measured by (ROA, ROI, ROE) on market capitalization for the companies operating in the insurance listed in (ASE). Finally, the study contributes by utilizing a content analysis for a time series data in order to track the relation between financial performance indicators and market capitalization in an emerging economy such as Jordan, specifically Jordanian insurance sector. 1. Introduction Financial Analysis defined as the process of assessing the financial position of a company by analyzing its stability, viability and profitability. One of the primary objectives of financial analysis is to recognize changes in financial trends, to help measure the progress made by an enterprise and identify a relationship to draw a logical conclusion on the performance of the company, (Sultan, 2014). Profitability or financial performance could be defined as a measurement of the results of a firm's polices and operations in monetary terms. In order to evaluate the company's inclusive financial situation, accounting out provides two main statements, the income statement and the financial position statement which are significant recourses, as the income statement captures the company's operating performa…","author":[{"dropping-particle":"","family":"Al-Nimer","given":"Munther","non-dropping-particle":"","parse-names":false,"suffix":""},{"dropping-particle":"","family":"Al-sliha","given":"Nimer","non-dropping-particle":"","parse-names":false,"suffix":""}],"container-title":"Journal of Economics and Sustainable Development","id":"ITEM-1","issue":"6","issued":{"date-parts":[["2015"]]},"page":"140-147","title":"The effect of profitability ratios on market capitalization in Jordanian insurance companies listed in Amman stock exchange","type":"article-journal","volume":"6"},"uris":["http://www.mendeley.com/documents/?uuid=ad889b79-0f02-4d18-b374-33587ead8a59"]}],"mendeley":{"formattedCitation":"(Al-Nimer &amp; Al-sliha, 2015)","manualFormatting":"Al-Nimer &amp; Al-sliha, 2015)","plainTextFormattedCitation":"(Al-Nimer &amp; Al-sliha, 2015)","previouslyFormattedCitation":"(Al-Nimer &amp; Al-sliha, 2015)"},"properties":{"noteIndex":0},"schema":"https://github.com/citation-style-language/schema/raw/master/csl-citation.json"}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Al-Nimer &amp; Al-sliha, 2015)</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According to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author":[{"dropping-particle":"","family":"Andersson","given":"Alexander","non-dropping-particle":"","parse-names":false,"suffix":""},{"dropping-particle":"","family":"Minnema","given":"Joel","non-dropping-particle":"","parse-names":false,"suffix":""}],"container-title":"Umea school of business, economics and statistics","id":"ITEM-1","issued":{"date-parts":[["2018"]]},"page":"1-83","title":"The relationship between leverage and profitability: A quantitative study of consulting firms in Sweden","type":"article-journal"},"uris":["http://www.mendeley.com/documents/?uuid=c1d67739-5e36-4384-9c99-4a954686ff7d"]}],"mendeley":{"formattedCitation":"(Andersson &amp; Minnema, 2018)","manualFormatting":"Andersson and Minnema (2018)","plainTextFormattedCitation":"(Andersson &amp; Minnema, 2018)","previouslyFormattedCitation":"(Andersson &amp; Minnema, 2018)"},"properties":{"noteIndex":0},"schema":"https://github.com/citation-style-language/schema/raw/master/csl-citation.json"}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Andersson and Minnema (2018)</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the choice of measure depends on the perspective of the study and the stakeholders who are supposed to use the information. They argue that return on assets displays how profitable a firm is relative to its total assets; while return on equity reveals how efficient a firm uses shareholders’ invested capital to generate profits. </w:t>
      </w:r>
    </w:p>
    <w:p w14:paraId="3B8B38A9" w14:textId="479F59F2" w:rsidR="00C45B2F" w:rsidRPr="0022305D" w:rsidRDefault="00220318" w:rsidP="00113952">
      <w:pPr>
        <w:pStyle w:val="Default"/>
        <w:spacing w:line="480" w:lineRule="auto"/>
        <w:ind w:firstLine="720"/>
        <w:rPr>
          <w:rFonts w:asciiTheme="majorHAnsi" w:hAnsiTheme="majorHAnsi" w:cstheme="majorHAnsi"/>
          <w:bCs/>
          <w:iCs/>
          <w:color w:val="auto"/>
        </w:rPr>
      </w:pPr>
      <w:r w:rsidRPr="0022305D">
        <w:rPr>
          <w:rFonts w:asciiTheme="majorHAnsi" w:hAnsiTheme="majorHAnsi" w:cstheme="majorHAnsi"/>
          <w:bCs/>
          <w:iCs/>
          <w:color w:val="auto"/>
        </w:rPr>
        <w:t>In line with the above literature, this study used return on equity as the measure of profitability. Return on equity was calculated by dividing net profit by the shareholders’ equity of the commercial banks in Kenya. Profitability was also measured by return on assets, which is calculated by dividing the net profit by the total assets</w:t>
      </w:r>
      <w:r w:rsidRPr="0022305D">
        <w:rPr>
          <w:rStyle w:val="CommentReference"/>
          <w:rFonts w:asciiTheme="majorHAnsi" w:eastAsiaTheme="minorHAnsi" w:hAnsiTheme="majorHAnsi" w:cstheme="majorHAnsi"/>
          <w:color w:val="auto"/>
        </w:rPr>
        <w:t xml:space="preserve"> </w:t>
      </w:r>
      <w:r w:rsidRPr="0022305D">
        <w:rPr>
          <w:rFonts w:asciiTheme="majorHAnsi" w:hAnsiTheme="majorHAnsi" w:cstheme="majorHAnsi"/>
          <w:bCs/>
          <w:iCs/>
          <w:color w:val="auto"/>
        </w:rPr>
        <w:t xml:space="preserve">of commercial banks in Kenya. </w:t>
      </w:r>
    </w:p>
    <w:p w14:paraId="24A17475" w14:textId="20D7F8A4" w:rsidR="00545AA6" w:rsidRPr="0022305D" w:rsidRDefault="00220318" w:rsidP="0015615F">
      <w:pPr>
        <w:autoSpaceDE w:val="0"/>
        <w:autoSpaceDN w:val="0"/>
        <w:adjustRightInd w:val="0"/>
        <w:spacing w:after="0" w:line="480" w:lineRule="auto"/>
        <w:ind w:firstLine="720"/>
        <w:rPr>
          <w:rFonts w:asciiTheme="majorHAnsi" w:hAnsiTheme="majorHAnsi" w:cstheme="majorHAnsi"/>
          <w:sz w:val="24"/>
          <w:szCs w:val="24"/>
        </w:rPr>
      </w:pPr>
      <w:r w:rsidRPr="0022305D">
        <w:rPr>
          <w:rFonts w:asciiTheme="majorHAnsi" w:eastAsia="Times New Roman" w:hAnsiTheme="majorHAnsi" w:cstheme="majorHAnsi"/>
          <w:sz w:val="24"/>
          <w:szCs w:val="24"/>
        </w:rPr>
        <w:t xml:space="preserve">Solvency is a necessary condition for any business to operate </w:t>
      </w:r>
      <w:r w:rsidRPr="0022305D">
        <w:rPr>
          <w:rFonts w:asciiTheme="majorHAnsi" w:eastAsia="Times New Roman" w:hAnsiTheme="majorHAnsi" w:cstheme="majorHAnsi"/>
          <w:sz w:val="24"/>
          <w:szCs w:val="24"/>
        </w:rPr>
        <w:fldChar w:fldCharType="begin" w:fldLock="1"/>
      </w:r>
      <w:r w:rsidRPr="0022305D">
        <w:rPr>
          <w:rFonts w:asciiTheme="majorHAnsi" w:eastAsia="Times New Roman" w:hAnsiTheme="majorHAnsi" w:cstheme="majorHAnsi"/>
          <w:sz w:val="24"/>
          <w:szCs w:val="24"/>
        </w:rPr>
        <w:instrText>ADDIN CSL_CITATION {"citationItems":[{"id":"ITEM-1","itemData":{"author":[{"dropping-particle":"","family":"Dabo","given":"Zainab","non-dropping-particle":"","parse-names":false,"suffix":""}],"container-title":"Journal of business &amp; social sciences","id":"ITEM-1","issue":"Ii","issued":{"date-parts":[["2018"]]},"page":"1-42","title":"Solvency risk and financial prformance: Evidences from listed insurance firms in Nigeria","type":"article-journal","volume":"VIII"},"uris":["http://www.mendeley.com/documents/?uuid=ea9a1bd5-0422-44bb-ad5d-186f08d9db5b"]}],"mendeley":{"formattedCitation":"(Dabo, 2018)","plainTextFormattedCitation":"(Dabo, 2018)","previouslyFormattedCitation":"(Dabo, 2018)"},"properties":{"noteIndex":0},"schema":"https://github.com/citation-style-language/schema/raw/master/csl-citation.json"}</w:instrText>
      </w:r>
      <w:r w:rsidRPr="0022305D">
        <w:rPr>
          <w:rFonts w:asciiTheme="majorHAnsi" w:eastAsia="Times New Roman" w:hAnsiTheme="majorHAnsi" w:cstheme="majorHAnsi"/>
          <w:sz w:val="24"/>
          <w:szCs w:val="24"/>
        </w:rPr>
        <w:fldChar w:fldCharType="separate"/>
      </w:r>
      <w:r w:rsidRPr="0022305D">
        <w:rPr>
          <w:rFonts w:asciiTheme="majorHAnsi" w:eastAsia="Times New Roman" w:hAnsiTheme="majorHAnsi" w:cstheme="majorHAnsi"/>
          <w:noProof/>
          <w:sz w:val="24"/>
          <w:szCs w:val="24"/>
        </w:rPr>
        <w:t>(Dabo, 2018)</w:t>
      </w:r>
      <w:r w:rsidRPr="0022305D">
        <w:rPr>
          <w:rFonts w:asciiTheme="majorHAnsi" w:eastAsia="Times New Roman" w:hAnsiTheme="majorHAnsi" w:cstheme="majorHAnsi"/>
          <w:sz w:val="24"/>
          <w:szCs w:val="24"/>
        </w:rPr>
        <w:fldChar w:fldCharType="end"/>
      </w:r>
      <w:r w:rsidRPr="0022305D">
        <w:rPr>
          <w:rFonts w:asciiTheme="majorHAnsi" w:eastAsia="Times New Roman" w:hAnsiTheme="majorHAnsi" w:cstheme="majorHAnsi"/>
          <w:sz w:val="24"/>
          <w:szCs w:val="24"/>
        </w:rPr>
        <w:t xml:space="preserve">. Solvency shows a metric that compares the level of debt a company has against its amount of equity. </w:t>
      </w:r>
      <w:r w:rsidRPr="0022305D">
        <w:rPr>
          <w:rFonts w:asciiTheme="majorHAnsi" w:eastAsia="Times New Roman" w:hAnsiTheme="majorHAnsi" w:cstheme="majorHAnsi"/>
          <w:sz w:val="24"/>
          <w:szCs w:val="24"/>
        </w:rPr>
        <w:fldChar w:fldCharType="begin" w:fldLock="1"/>
      </w:r>
      <w:r w:rsidRPr="0022305D">
        <w:rPr>
          <w:rFonts w:asciiTheme="majorHAnsi" w:eastAsia="Times New Roman" w:hAnsiTheme="majorHAnsi" w:cstheme="majorHAnsi"/>
          <w:sz w:val="24"/>
          <w:szCs w:val="24"/>
        </w:rPr>
        <w:instrText>ADDIN CSL_CITATION {"citationItems":[{"id":"ITEM-1","itemData":{"DOI":"10.1016/j.jfi.2013.01.002","ISSN":"10429573","abstract":"Banks may be unable to refinance short-term liabilities in case of solvency concerns. To manage this risk, banks can accumulate a buffer of liquid assets, or strengthen transparency to communicate solvency. While a liquidity buffer provides complete insurance against small shocks, transparency covers also large shocks but imperfectly. Due to leverage, an unregulated bank may choose insufficient liquidity buffers and transparency. The regulatory response is constrained: while liquidity buffers can be imposed, transparency is not verifiable. Moreover, liquidity requirements can compromise banks' transparency choices, and increase refinancing risk. To be effective, liquidity requirements should be complemented by measures that increase bank incentives to adopt transparency. © 2013 Elsevier Inc.","author":[{"dropping-particle":"","family":"Ratnovski","given":"Lev","non-dropping-particle":"","parse-names":false,"suffix":""}],"container-title":"Journal of Financial Intermediation","id":"ITEM-1","issued":{"date-parts":[["2013"]]},"title":"Liquidity and transparency in bank risk management","type":"article-journal"},"uris":["http://www.mendeley.com/documents/?uuid=34776e88-2a6b-4a53-aa41-a85ada609aed"]}],"mendeley":{"formattedCitation":"(Ratnovski, 2013)","plainTextFormattedCitation":"(Ratnovski, 2013)","previouslyFormattedCitation":"(Ratnovski, 2013)"},"properties":{"noteIndex":0},"schema":"https://github.com/citation-style-language/schema/raw/master/csl-citation.json"}</w:instrText>
      </w:r>
      <w:r w:rsidRPr="0022305D">
        <w:rPr>
          <w:rFonts w:asciiTheme="majorHAnsi" w:eastAsia="Times New Roman" w:hAnsiTheme="majorHAnsi" w:cstheme="majorHAnsi"/>
          <w:sz w:val="24"/>
          <w:szCs w:val="24"/>
        </w:rPr>
        <w:fldChar w:fldCharType="separate"/>
      </w:r>
      <w:r w:rsidRPr="0022305D">
        <w:rPr>
          <w:rFonts w:asciiTheme="majorHAnsi" w:eastAsia="Times New Roman" w:hAnsiTheme="majorHAnsi" w:cstheme="majorHAnsi"/>
          <w:noProof/>
          <w:sz w:val="24"/>
          <w:szCs w:val="24"/>
        </w:rPr>
        <w:t>(Ratnovski, 2013)</w:t>
      </w:r>
      <w:r w:rsidRPr="0022305D">
        <w:rPr>
          <w:rFonts w:asciiTheme="majorHAnsi" w:eastAsia="Times New Roman" w:hAnsiTheme="majorHAnsi" w:cstheme="majorHAnsi"/>
          <w:sz w:val="24"/>
          <w:szCs w:val="24"/>
        </w:rPr>
        <w:fldChar w:fldCharType="end"/>
      </w:r>
      <w:r w:rsidRPr="0022305D">
        <w:rPr>
          <w:rFonts w:asciiTheme="majorHAnsi" w:eastAsia="Times New Roman" w:hAnsiTheme="majorHAnsi" w:cstheme="majorHAnsi"/>
          <w:sz w:val="24"/>
          <w:szCs w:val="24"/>
        </w:rPr>
        <w:t>.</w:t>
      </w:r>
      <w:r w:rsidRPr="0022305D">
        <w:rPr>
          <w:rFonts w:asciiTheme="majorHAnsi" w:hAnsiTheme="majorHAnsi" w:cstheme="majorHAnsi"/>
          <w:sz w:val="24"/>
          <w:szCs w:val="24"/>
        </w:rPr>
        <w:t xml:space="preserve"> Solvency ratios in terms of </w:t>
      </w:r>
      <w:r w:rsidR="00CB2CDC">
        <w:rPr>
          <w:rFonts w:asciiTheme="majorHAnsi" w:hAnsiTheme="majorHAnsi" w:cstheme="majorHAnsi"/>
          <w:sz w:val="24"/>
          <w:szCs w:val="24"/>
        </w:rPr>
        <w:t xml:space="preserve">total </w:t>
      </w:r>
      <w:r w:rsidRPr="0022305D">
        <w:rPr>
          <w:rFonts w:asciiTheme="majorHAnsi" w:hAnsiTheme="majorHAnsi" w:cstheme="majorHAnsi"/>
          <w:sz w:val="24"/>
          <w:szCs w:val="24"/>
        </w:rPr>
        <w:t xml:space="preserve">debt </w:t>
      </w:r>
      <w:r w:rsidR="00CB2CDC">
        <w:rPr>
          <w:rFonts w:asciiTheme="majorHAnsi" w:hAnsiTheme="majorHAnsi" w:cstheme="majorHAnsi"/>
          <w:sz w:val="24"/>
          <w:szCs w:val="24"/>
        </w:rPr>
        <w:t xml:space="preserve">to total assets </w:t>
      </w:r>
      <w:r w:rsidRPr="0022305D">
        <w:rPr>
          <w:rFonts w:asciiTheme="majorHAnsi" w:hAnsiTheme="majorHAnsi" w:cstheme="majorHAnsi"/>
          <w:sz w:val="24"/>
          <w:szCs w:val="24"/>
        </w:rPr>
        <w:t xml:space="preserve">ratio and </w:t>
      </w:r>
      <w:r w:rsidR="00BE06BC">
        <w:rPr>
          <w:rFonts w:asciiTheme="majorHAnsi" w:hAnsiTheme="majorHAnsi" w:cstheme="majorHAnsi"/>
          <w:sz w:val="24"/>
          <w:szCs w:val="24"/>
        </w:rPr>
        <w:t>total debt to equity</w:t>
      </w:r>
      <w:r w:rsidRPr="0022305D">
        <w:rPr>
          <w:rFonts w:asciiTheme="majorHAnsi" w:hAnsiTheme="majorHAnsi" w:cstheme="majorHAnsi"/>
          <w:sz w:val="24"/>
          <w:szCs w:val="24"/>
        </w:rPr>
        <w:t xml:space="preserve"> ratio assesses the amount of debt capital used by a firm to determine whether the business can meet long-term responsibilities or not. Any business that uses debt capital incurs an obligation to make principle and interest payments whereby a business with too much debt, periods of low profitability, can lead to insufficient cash flow to cover the principle and interest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{"citationItems":[{"id":"ITEM-1","itemData":{"DOI":"10.1108/JRF-09-2019-0183","ISSN":"09657967","abstract":"Purpose: The purpose of this paper is to analyze how enterprise risk management (ERM), the system of governance and the Own Risk and Solvency Assessment (ORSA) have been boosted with the entry of Solvency II. Design/methodology/approach: For this analysis, the authors have undertaken a survey of chief risk officers (CROs) working in Spanish insurance companies. Findings: The results show that Solvency II has definitely promoted ERM in the European insurance industry and improved the system of governance of the insurance companies, and that the perceived value of the ORSA for the companies is higher than the cost. It is clear that the quality of ERM implemented by companies is higher in those that face more complex risks and with greater interdependencies – that is, larger companies, foreign insurers and insurers with several lines of business – but is unaffected by the legal form of the entity (mutual/corporation). Originality/value: This study conducts primary research with surveys of CROs and develops a measure of the quality of ERM implemented by insurance companies.","author":[{"dropping-particle":"","family":"Santomil","given":"Pablo","non-dropping-particle":"","parse-names":false,"suffix":""}],"container-title":"Journal of Risk Finance","id":"ITEM-1","issue":"4","issued":{"date-parts":[["2020"]]},"page":"317-332","title":"Enterprise risk management and solvency II: the system of governance and the own risk and solvency assessment","type":"article-journal","volume":"21"},"uris":["http://www.mendeley.com/documents/?uuid=79aed62a-9583-49f1-a960-afcd8a3e5d20"]}],"mendeley":{"formattedCitation":"(Santomil, 2020)","plainTextFormattedCitation":"(Santomil, 2020)","previouslyFormattedCitation":"(Santomil, 2020)"},"properties":{"noteIndex":0},"schema":"https://github.com/citation-style-language/schema/raw/master/csl-citation.json"}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(Santomil, 2020)</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xml:space="preserve">. Based on the above, the use of debt increases the financial risk of a firm and the likelihood of becoming </w:t>
      </w:r>
      <w:r w:rsidR="00545AA6" w:rsidRPr="0022305D">
        <w:rPr>
          <w:rFonts w:asciiTheme="majorHAnsi" w:hAnsiTheme="majorHAnsi" w:cstheme="majorHAnsi"/>
          <w:sz w:val="24"/>
          <w:szCs w:val="24"/>
        </w:rPr>
        <w:t>insolvent.</w:t>
      </w:r>
    </w:p>
    <w:p w14:paraId="4E94AF17" w14:textId="477C4357" w:rsidR="00F97F38" w:rsidRPr="0022305D" w:rsidRDefault="00B9725A" w:rsidP="00F97F38">
      <w:pPr>
        <w:autoSpaceDE w:val="0"/>
        <w:autoSpaceDN w:val="0"/>
        <w:adjustRightInd w:val="0"/>
        <w:spacing w:after="0" w:line="480" w:lineRule="auto"/>
        <w:rPr>
          <w:rFonts w:asciiTheme="majorHAnsi" w:eastAsia="Times New Roman" w:hAnsiTheme="majorHAnsi" w:cstheme="majorHAnsi"/>
          <w:sz w:val="24"/>
          <w:szCs w:val="24"/>
        </w:rPr>
      </w:pPr>
      <w:r w:rsidRPr="0022305D">
        <w:rPr>
          <w:rFonts w:asciiTheme="majorHAnsi" w:eastAsia="Times New Roman" w:hAnsiTheme="majorHAnsi" w:cstheme="majorHAnsi"/>
          <w:sz w:val="24"/>
          <w:szCs w:val="24"/>
        </w:rPr>
        <w:lastRenderedPageBreak/>
        <w:tab/>
      </w:r>
      <w:r w:rsidR="00020AB0" w:rsidRPr="0022305D">
        <w:rPr>
          <w:rFonts w:asciiTheme="majorHAnsi" w:eastAsia="Times New Roman" w:hAnsiTheme="majorHAnsi" w:cstheme="majorHAnsi"/>
          <w:sz w:val="24"/>
          <w:szCs w:val="24"/>
        </w:rPr>
        <w:t xml:space="preserve"> </w:t>
      </w:r>
      <w:r w:rsidR="004F74FE" w:rsidRPr="0022305D">
        <w:rPr>
          <w:rFonts w:asciiTheme="majorHAnsi" w:eastAsia="Times New Roman" w:hAnsiTheme="majorHAnsi" w:cstheme="majorHAnsi"/>
          <w:sz w:val="24"/>
          <w:szCs w:val="24"/>
        </w:rPr>
        <w:fldChar w:fldCharType="begin" w:fldLock="1"/>
      </w:r>
      <w:r w:rsidR="00053E13" w:rsidRPr="0022305D">
        <w:rPr>
          <w:rFonts w:asciiTheme="majorHAnsi" w:eastAsia="Times New Roman" w:hAnsiTheme="majorHAnsi" w:cstheme="majorHAnsi"/>
          <w:sz w:val="24"/>
          <w:szCs w:val="24"/>
        </w:rPr>
        <w:instrText>ADDIN CSL_CITATION {"citationItems":[{"id":"ITEM-1","itemData":{"DOI":"10.1016/j.ajsl.2016.12.007","ISSN":"20925212","abstract":"This study examines factors affecting the solvency of shipping firms. The paper uses a panel dataset and employs the GLM and FGLS regression analyses. This study explores the financial structure of top 130 shipping firms provided by the Factiva database during the period between 2009 and 2013. The paper finds that liquidity is closely related to the leverage of shipping companies. The negative association between the asset liquidity and the leverage level implies that there exist conflicts of interest between managers and investors. Shipping firms have a comfortable high liquidity position, but they have a high degree of leverage. They need to take steps to reduce debts. There is evidence of heterogeneity in the determinants of leverage level. The paper also finds that the variables such as profitability, FSIZE, FAGE influence differently the leverage level whether the debt is short-term or long-term.","author":[{"dropping-particle":"","family":"Yeo","given":"Heejung","non-dropping-particle":"","parse-names":false,"suffix":""}],"container-title":"Asian Journal of Shipping and Logistics","id":"ITEM-1","issue":"4","issued":{"date-parts":[["2016"]]},"page":"235-241","title":"Solvency and Liquidity in Shipping Companies","type":"article-journal","volume":"32"},"uris":["http://www.mendeley.com/documents/?uuid=63cfd63a-c3f1-4ef2-a780-15165a535c2c"]}],"mendeley":{"formattedCitation":"(Yeo, 2016)","manualFormatting":"Yeo (2016)","plainTextFormattedCitation":"(Yeo, 2016)","previouslyFormattedCitation":"(Yeo, 2016)"},"properties":{"noteIndex":0},"schema":"https://github.com/citation-style-language/schema/raw/master/csl-citation.json"}</w:instrText>
      </w:r>
      <w:r w:rsidR="004F74FE" w:rsidRPr="0022305D">
        <w:rPr>
          <w:rFonts w:asciiTheme="majorHAnsi" w:eastAsia="Times New Roman" w:hAnsiTheme="majorHAnsi" w:cstheme="majorHAnsi"/>
          <w:sz w:val="24"/>
          <w:szCs w:val="24"/>
        </w:rPr>
        <w:fldChar w:fldCharType="separate"/>
      </w:r>
      <w:r w:rsidR="004F74FE" w:rsidRPr="0022305D">
        <w:rPr>
          <w:rFonts w:asciiTheme="majorHAnsi" w:eastAsia="Times New Roman" w:hAnsiTheme="majorHAnsi" w:cstheme="majorHAnsi"/>
          <w:noProof/>
          <w:sz w:val="24"/>
          <w:szCs w:val="24"/>
        </w:rPr>
        <w:t>Yeo (2016)</w:t>
      </w:r>
      <w:r w:rsidR="004F74FE" w:rsidRPr="0022305D">
        <w:rPr>
          <w:rFonts w:asciiTheme="majorHAnsi" w:eastAsia="Times New Roman" w:hAnsiTheme="majorHAnsi" w:cstheme="majorHAnsi"/>
          <w:sz w:val="24"/>
          <w:szCs w:val="24"/>
        </w:rPr>
        <w:fldChar w:fldCharType="end"/>
      </w:r>
      <w:r w:rsidR="00A41B76" w:rsidRPr="0022305D">
        <w:rPr>
          <w:rFonts w:asciiTheme="majorHAnsi" w:eastAsia="Times New Roman" w:hAnsiTheme="majorHAnsi" w:cstheme="majorHAnsi"/>
          <w:sz w:val="24"/>
          <w:szCs w:val="24"/>
        </w:rPr>
        <w:t xml:space="preserve"> </w:t>
      </w:r>
      <w:r w:rsidR="00A7696F" w:rsidRPr="0022305D">
        <w:rPr>
          <w:rFonts w:asciiTheme="majorHAnsi" w:eastAsia="Times New Roman" w:hAnsiTheme="majorHAnsi" w:cstheme="majorHAnsi"/>
          <w:sz w:val="24"/>
          <w:szCs w:val="24"/>
        </w:rPr>
        <w:t xml:space="preserve">argued that </w:t>
      </w:r>
      <w:r w:rsidR="00F97F38" w:rsidRPr="0022305D">
        <w:rPr>
          <w:rFonts w:asciiTheme="majorHAnsi" w:eastAsia="Times New Roman" w:hAnsiTheme="majorHAnsi" w:cstheme="majorHAnsi"/>
          <w:sz w:val="24"/>
          <w:szCs w:val="24"/>
        </w:rPr>
        <w:t xml:space="preserve">solvency shows the capability of a corporation to meet its long-term fixed expenses and to accomplish long-term expansion and growth whereby the basis of accounting ratio, assets is equal to liabilities plus equity holds. This means that a solvent company has a positive net worth. As soon as a businesses’ equity turns out to be negative, it is said to be insolvent. Solvency of greater than 20 percent is considered financially healthy and the institution has the ability to meet its long term financial commitments in the event of termination of operation. Solvency ratios such as </w:t>
      </w:r>
      <w:r w:rsidR="00CB2CDC">
        <w:rPr>
          <w:rFonts w:asciiTheme="majorHAnsi" w:eastAsia="Times New Roman" w:hAnsiTheme="majorHAnsi" w:cstheme="majorHAnsi"/>
          <w:sz w:val="24"/>
          <w:szCs w:val="24"/>
        </w:rPr>
        <w:t xml:space="preserve">total </w:t>
      </w:r>
      <w:r w:rsidR="00F97F38" w:rsidRPr="0022305D">
        <w:rPr>
          <w:rFonts w:asciiTheme="majorHAnsi" w:eastAsia="Times New Roman" w:hAnsiTheme="majorHAnsi" w:cstheme="majorHAnsi"/>
          <w:sz w:val="24"/>
          <w:szCs w:val="24"/>
        </w:rPr>
        <w:t>debt</w:t>
      </w:r>
      <w:r w:rsidR="00CB2CDC">
        <w:rPr>
          <w:rFonts w:asciiTheme="majorHAnsi" w:eastAsia="Times New Roman" w:hAnsiTheme="majorHAnsi" w:cstheme="majorHAnsi"/>
          <w:sz w:val="24"/>
          <w:szCs w:val="24"/>
        </w:rPr>
        <w:t xml:space="preserve"> to total assets</w:t>
      </w:r>
      <w:r w:rsidR="00F97F38" w:rsidRPr="0022305D">
        <w:rPr>
          <w:rFonts w:asciiTheme="majorHAnsi" w:eastAsia="Times New Roman" w:hAnsiTheme="majorHAnsi" w:cstheme="majorHAnsi"/>
          <w:sz w:val="24"/>
          <w:szCs w:val="24"/>
        </w:rPr>
        <w:t xml:space="preserve"> ratio and </w:t>
      </w:r>
      <w:r w:rsidR="00BE06BC">
        <w:rPr>
          <w:rFonts w:asciiTheme="majorHAnsi" w:eastAsia="Times New Roman" w:hAnsiTheme="majorHAnsi" w:cstheme="majorHAnsi"/>
          <w:sz w:val="24"/>
          <w:szCs w:val="24"/>
        </w:rPr>
        <w:t>total debt to equity</w:t>
      </w:r>
      <w:r w:rsidR="00F97F38" w:rsidRPr="0022305D">
        <w:rPr>
          <w:rFonts w:asciiTheme="majorHAnsi" w:eastAsia="Times New Roman" w:hAnsiTheme="majorHAnsi" w:cstheme="majorHAnsi"/>
          <w:sz w:val="24"/>
          <w:szCs w:val="24"/>
        </w:rPr>
        <w:t xml:space="preserve"> ratio show evidence of the company's capacity to meet all of its financial requirements if all assets were sold, as well as a sign of its ability to remain stable during financial hardship </w:t>
      </w:r>
      <w:r w:rsidR="00F97F38" w:rsidRPr="0022305D">
        <w:rPr>
          <w:rFonts w:asciiTheme="majorHAnsi" w:eastAsia="Times New Roman" w:hAnsiTheme="majorHAnsi" w:cstheme="majorHAnsi"/>
          <w:sz w:val="24"/>
          <w:szCs w:val="24"/>
        </w:rPr>
        <w:fldChar w:fldCharType="begin" w:fldLock="1"/>
      </w:r>
      <w:r w:rsidR="00F97F38" w:rsidRPr="0022305D">
        <w:rPr>
          <w:rFonts w:asciiTheme="majorHAnsi" w:eastAsia="Times New Roman" w:hAnsiTheme="majorHAnsi" w:cstheme="majorHAnsi"/>
          <w:sz w:val="24"/>
          <w:szCs w:val="24"/>
        </w:rPr>
        <w:instrText>ADDIN CSL_CITATION {"citationItems":[{"id":"ITEM-1","itemData":{"DOI":"10.1002/ejsp.2570","ISSN":"07470088","abstract":"Abstract Mindfulness is a state of paying conscious and nonjudgmental attention to present‐moment experiences. Previous research relates this state to more effective emotion regulation and less emotion reactivity. We therefore hypothesized an attenuating effect of a mindfulness exercise on moral reactions that usually results from a bad conscience when having caused harm. Across five studies, we experimentally induced mindfulness via a short breathing exercise and then assessed harm‐based moral reactions. As hypothesized, participants in the mindfulness (vs. control) exercise condition showed a) attenuated repair intentions after having read a scenario in which participants caused harm to a friend (Study 3) and b) attenuated intentions to change harm‐causing eating habits (Study 4). Results of Studies 1, 2 and 5 did not provide evidence for our hypothesis. A following meta‐analysis across all five studies yielded an overall significant effect of mindfulness in the harm‐condition, providing preliminary evidence for a potential downside to mindfulness. This article is protected by copyright. All rights reserved.","author":[{"dropping-particle":"","family":"Yusoff","given":"Hanaffie","non-dropping-particle":"","parse-names":false,"suffix":""}],"container-title":"ABA Journal","id":"ITEM-1","issue":"4","issued":{"date-parts":[["2017"]]},"page":"24-25","title":"The effect of liquidity and solvency on profitability: The case of public-listed consumer product companies in Malaysis","type":"article-journal","volume":"102"},"uris":["http://www.mendeley.com/documents/?uuid=a68e60c9-3ece-4a21-ad63-544237c1c9d2"]}],"mendeley":{"formattedCitation":"(Yusoff, 2017)","plainTextFormattedCitation":"(Yusoff, 2017)","previouslyFormattedCitation":"(Yusoff, 2017)"},"properties":{"noteIndex":0},"schema":"https://github.com/citation-style-language/schema/raw/master/csl-citation.json"}</w:instrText>
      </w:r>
      <w:r w:rsidR="00F97F38" w:rsidRPr="0022305D">
        <w:rPr>
          <w:rFonts w:asciiTheme="majorHAnsi" w:eastAsia="Times New Roman" w:hAnsiTheme="majorHAnsi" w:cstheme="majorHAnsi"/>
          <w:sz w:val="24"/>
          <w:szCs w:val="24"/>
        </w:rPr>
        <w:fldChar w:fldCharType="separate"/>
      </w:r>
      <w:r w:rsidR="00F97F38" w:rsidRPr="0022305D">
        <w:rPr>
          <w:rFonts w:asciiTheme="majorHAnsi" w:eastAsia="Times New Roman" w:hAnsiTheme="majorHAnsi" w:cstheme="majorHAnsi"/>
          <w:noProof/>
          <w:sz w:val="24"/>
          <w:szCs w:val="24"/>
        </w:rPr>
        <w:t>(Yusoff, 2017)</w:t>
      </w:r>
      <w:r w:rsidR="00F97F38" w:rsidRPr="0022305D">
        <w:rPr>
          <w:rFonts w:asciiTheme="majorHAnsi" w:eastAsia="Times New Roman" w:hAnsiTheme="majorHAnsi" w:cstheme="majorHAnsi"/>
          <w:sz w:val="24"/>
          <w:szCs w:val="24"/>
        </w:rPr>
        <w:fldChar w:fldCharType="end"/>
      </w:r>
      <w:r w:rsidR="00F97F38" w:rsidRPr="0022305D">
        <w:rPr>
          <w:rFonts w:asciiTheme="majorHAnsi" w:eastAsia="Times New Roman" w:hAnsiTheme="majorHAnsi" w:cstheme="majorHAnsi"/>
          <w:sz w:val="24"/>
          <w:szCs w:val="24"/>
        </w:rPr>
        <w:t xml:space="preserve">. A firm is considered as solvent if the existing resources exceed or equal to total liabilities; and on the other hand, a firm is insolvent if its existing resources are less than total liabilities </w:t>
      </w:r>
      <w:r w:rsidR="00F97F38" w:rsidRPr="0022305D">
        <w:rPr>
          <w:rFonts w:asciiTheme="majorHAnsi" w:eastAsia="Times New Roman" w:hAnsiTheme="majorHAnsi" w:cstheme="majorHAnsi"/>
          <w:sz w:val="24"/>
          <w:szCs w:val="24"/>
        </w:rPr>
        <w:fldChar w:fldCharType="begin" w:fldLock="1"/>
      </w:r>
      <w:r w:rsidR="007B2007">
        <w:rPr>
          <w:rFonts w:asciiTheme="majorHAnsi" w:eastAsia="Times New Roman" w:hAnsiTheme="majorHAnsi" w:cstheme="majorHAnsi"/>
          <w:sz w:val="24"/>
          <w:szCs w:val="24"/>
        </w:rPr>
        <w:instrText>ADDIN CSL_CITATION {"citationItems":[{"id":"ITEM-1","itemData":{"abstract":"The factors affecting debt levels of firms are related to the course of economy as well as the profitability of companies. But it is quite difficult to make a prediction about the course of economy. In this study, it is aimed to reveal how profitability indicators of companies affect debt levels. The purpose of this study is to examine the relation between the debt and profitability ratios of the companies that operate on the BIST (Istanbul Stock Exchange Market) manufacturing industry by using Panel Regression Analysis. The data of the 86 companies within manufacturing industry on the BIST between the years 1994 and 2015 were used. Furthermore, the variables such as asset growth ratio, return on asset, current ratio, leverage ratio, cash rate, new borrowing rates, total financial liability/total liability ratio, return on equity, investment and earnings have been studied. It has been observed in the study that the active growth and the return on equity ratios affect the new borrowing variables positively while investment, current earnings per share ratios affect the new borrowing variablesnegatively. In addition, it has been determined in the study that the return on investment, the return on assets and the current ratios affect the leverage ratio negatively while the active growth, the return on equity, the earnings and the cash ratios per share affect the leverage ratios positively. It has also seen that the active return on assets and the earnings per share ratios affect the total financial liabilities/total liability ratios negatively while the asset growth ratios affect the total financial liabilities/total liabilities ratios positively.","author":[{"dropping-particle":"","family":"Korkmaz","given":"Ozge","non-dropping-particle":"","parse-names":false,"suffix":""}],"container-title":"Journal of Financial Studies","id":"ITEM-1","issue":"2","issued":{"date-parts":[["2016"]]},"page":"35-54","title":"The effect of profitability ratios on debt ratio: The sample of BIST manufacturing industry","type":"article-journal","volume":"20"},"uris":["http://www.mendeley.com/documents/?uuid=a0bc9f59-5686-4ee9-a7e7-9357862f6a17"]}],"mendeley":{"formattedCitation":"(Korkmaz, 2016)","plainTextFormattedCitation":"(Korkmaz, 2016)","previouslyFormattedCitation":"(Korkmaz, 2016)"},"properties":{"noteIndex":0},"schema":"https://github.com/citation-style-language/schema/raw/master/csl-citation.json"}</w:instrText>
      </w:r>
      <w:r w:rsidR="00F97F38" w:rsidRPr="0022305D">
        <w:rPr>
          <w:rFonts w:asciiTheme="majorHAnsi" w:eastAsia="Times New Roman" w:hAnsiTheme="majorHAnsi" w:cstheme="majorHAnsi"/>
          <w:sz w:val="24"/>
          <w:szCs w:val="24"/>
        </w:rPr>
        <w:fldChar w:fldCharType="separate"/>
      </w:r>
      <w:r w:rsidR="00F97F38" w:rsidRPr="0022305D">
        <w:rPr>
          <w:rFonts w:asciiTheme="majorHAnsi" w:eastAsia="Times New Roman" w:hAnsiTheme="majorHAnsi" w:cstheme="majorHAnsi"/>
          <w:noProof/>
          <w:sz w:val="24"/>
          <w:szCs w:val="24"/>
        </w:rPr>
        <w:t>(Korkmaz, 2016)</w:t>
      </w:r>
      <w:r w:rsidR="00F97F38" w:rsidRPr="0022305D">
        <w:rPr>
          <w:rFonts w:asciiTheme="majorHAnsi" w:eastAsia="Times New Roman" w:hAnsiTheme="majorHAnsi" w:cstheme="majorHAnsi"/>
          <w:sz w:val="24"/>
          <w:szCs w:val="24"/>
        </w:rPr>
        <w:fldChar w:fldCharType="end"/>
      </w:r>
      <w:r w:rsidR="00F97F38" w:rsidRPr="0022305D">
        <w:rPr>
          <w:rFonts w:asciiTheme="majorHAnsi" w:eastAsia="Times New Roman" w:hAnsiTheme="majorHAnsi" w:cstheme="majorHAnsi"/>
          <w:sz w:val="24"/>
          <w:szCs w:val="24"/>
        </w:rPr>
        <w:t xml:space="preserve">. </w:t>
      </w:r>
      <w:r w:rsidR="00F97F38" w:rsidRPr="0022305D">
        <w:rPr>
          <w:rFonts w:asciiTheme="majorHAnsi" w:eastAsia="Times New Roman" w:hAnsiTheme="majorHAnsi" w:cstheme="majorHAnsi"/>
          <w:sz w:val="24"/>
          <w:szCs w:val="24"/>
        </w:rPr>
        <w:fldChar w:fldCharType="begin" w:fldLock="1"/>
      </w:r>
      <w:r w:rsidR="00F97F38" w:rsidRPr="0022305D">
        <w:rPr>
          <w:rFonts w:asciiTheme="majorHAnsi" w:eastAsia="Times New Roman" w:hAnsiTheme="majorHAnsi" w:cstheme="majorHAnsi"/>
          <w:sz w:val="24"/>
          <w:szCs w:val="24"/>
        </w:rPr>
        <w:instrText>ADDIN CSL_CITATION {"citationItems":[{"id":"ITEM-1","itemData":{"DOI":"10.2991/icame-18.2019.20","abstract":"This study aims to determine the effect of Debt to Equity Ratio and Total Asset Turnover partially and simultaneously on Return on Equity. The sample withdrawal used was purposive sampling so that a sample of 10 companies from automotive companies and their components were listed on the IDX. Data analysis techniques from this study use multiple linear regressions. The results of the study with statistical tests showed that partially and simultaneously DER had a significant effect on ROE and so did TATO have a significant effect on ROE","author":[{"dropping-particle":"","family":"Efendi","given":"Asrizal","non-dropping-particle":"","parse-names":false,"suffix":""},{"dropping-particle":"","family":"Putri","given":"Linzzy Pratami","non-dropping-particle":"","parse-names":false,"suffix":""},{"dropping-particle":"","family":"Dungga","given":"Shinta","non-dropping-particle":"","parse-names":false,"suffix":""}],"id":"ITEM-1","issue":"September","issued":{"date-parts":[["2019"]]},"title":"The Effect of debt to equity ratio and total asset turnover on return on equity in automotive companies and components in Indonesia","type":"article-journal"},"uris":["http://www.mendeley.com/documents/?uuid=d12088ca-2cff-4b4d-acb1-393bdc6ec3be"]}],"mendeley":{"formattedCitation":"(Efendi et al., 2019)","manualFormatting":"Nasution et al., (2019)","plainTextFormattedCitation":"(Efendi et al., 2019)","previouslyFormattedCitation":"(Efendi et al., 2019)"},"properties":{"noteIndex":0},"schema":"https://github.com/citation-style-language/schema/raw/master/csl-citation.json"}</w:instrText>
      </w:r>
      <w:r w:rsidR="00F97F38" w:rsidRPr="0022305D">
        <w:rPr>
          <w:rFonts w:asciiTheme="majorHAnsi" w:eastAsia="Times New Roman" w:hAnsiTheme="majorHAnsi" w:cstheme="majorHAnsi"/>
          <w:sz w:val="24"/>
          <w:szCs w:val="24"/>
        </w:rPr>
        <w:fldChar w:fldCharType="separate"/>
      </w:r>
      <w:r w:rsidR="00F97F38" w:rsidRPr="0022305D">
        <w:rPr>
          <w:rFonts w:asciiTheme="majorHAnsi" w:eastAsia="Times New Roman" w:hAnsiTheme="majorHAnsi" w:cstheme="majorHAnsi"/>
          <w:noProof/>
          <w:sz w:val="24"/>
          <w:szCs w:val="24"/>
        </w:rPr>
        <w:t>Nasution et al., (2019)</w:t>
      </w:r>
      <w:r w:rsidR="00F97F38" w:rsidRPr="0022305D">
        <w:rPr>
          <w:rFonts w:asciiTheme="majorHAnsi" w:eastAsia="Times New Roman" w:hAnsiTheme="majorHAnsi" w:cstheme="majorHAnsi"/>
          <w:sz w:val="24"/>
          <w:szCs w:val="24"/>
        </w:rPr>
        <w:fldChar w:fldCharType="end"/>
      </w:r>
      <w:r w:rsidR="00F97F38" w:rsidRPr="0022305D">
        <w:rPr>
          <w:rFonts w:asciiTheme="majorHAnsi" w:eastAsia="Times New Roman" w:hAnsiTheme="majorHAnsi" w:cstheme="majorHAnsi"/>
          <w:sz w:val="24"/>
          <w:szCs w:val="24"/>
        </w:rPr>
        <w:t xml:space="preserve"> notes that total value of assets, liabilities and equity of a business at a given point in time are essential when calculating the level of solvency. They further indicated that solvency affects firm’s ability to get funding and capital since the lenders check the level of the solvency before giving loan. This is because solvency is used to measure a company's long-term financial health and stability. For a corporation and its investors, having too much debt can be disastrous, while too few debts can also raise questions since maintaining required debt level of any company is key </w:t>
      </w:r>
      <w:r w:rsidR="00F97F38" w:rsidRPr="0022305D">
        <w:rPr>
          <w:rFonts w:asciiTheme="majorHAnsi" w:eastAsia="Times New Roman" w:hAnsiTheme="majorHAnsi" w:cstheme="majorHAnsi"/>
          <w:sz w:val="24"/>
          <w:szCs w:val="24"/>
        </w:rPr>
        <w:fldChar w:fldCharType="begin" w:fldLock="1"/>
      </w:r>
      <w:r w:rsidR="00F97F38" w:rsidRPr="0022305D">
        <w:rPr>
          <w:rFonts w:asciiTheme="majorHAnsi" w:eastAsia="Times New Roman" w:hAnsiTheme="majorHAnsi" w:cstheme="majorHAnsi"/>
          <w:sz w:val="24"/>
          <w:szCs w:val="24"/>
        </w:rPr>
        <w:instrText>ADDIN CSL_CITATION {"citationItems":[{"id":"ITEM-1","itemData":{"DOI":"10.1108/AFR-09-2012-0047","ISSN":"20416326","abstract":"Purpose – This paper aims to develop and utilize a conceptual framework to examine the impact of liquidity and solvency on cost efficiency for a sample of Kansas farms. Design/methodology/approach – A standard cost-efficiency model is modified to incorporate liquidity and solvency ratios. Tobit regressions are used to determine the impact of farm characteristics on improvements in efficiency. Findings – Results confirm that liquidity and solvency measures have a significant impact on improving cost efficiency. Farms with larger expenditures on purchased inputs relative to capital were less likely to improve efficiency when liquidity and solvency were considered. Originality/value – To the authors’ knowledge, the paper is the first to add liquidity and solvency ratios to the cost-efficiency model developed by Färe et al. for the analysis of farms.","author":[{"dropping-particle":"","family":"Russell","given":"Levi Alan","non-dropping-particle":"","parse-names":false,"suffix":""},{"dropping-particle":"","family":"Langemeier","given":"Michael R.","non-dropping-particle":"","parse-names":false,"suffix":""},{"dropping-particle":"","family":"Briggeman","given":"Brian C.","non-dropping-particle":"","parse-names":false,"suffix":""}],"container-title":"Agricultural Finance Review","id":"ITEM-1","issue":"3","issued":{"date-parts":[["2013"]]},"page":"413-425","title":"The impact of liquidity and solvency on cost efficiency","type":"article-journal","volume":"73"},"uris":["http://www.mendeley.com/documents/?uuid=cbbc1c21-e4e6-4e8b-89fb-e29aab5f582d"]}],"mendeley":{"formattedCitation":"(Russell, Langemeier, &amp; Briggeman, 2013)","plainTextFormattedCitation":"(Russell, Langemeier, &amp; Briggeman, 2013)","previouslyFormattedCitation":"(Russell, Langemeier, &amp; Briggeman, 2013)"},"properties":{"noteIndex":0},"schema":"https://github.com/citation-style-language/schema/raw/master/csl-citation.json"}</w:instrText>
      </w:r>
      <w:r w:rsidR="00F97F38" w:rsidRPr="0022305D">
        <w:rPr>
          <w:rFonts w:asciiTheme="majorHAnsi" w:eastAsia="Times New Roman" w:hAnsiTheme="majorHAnsi" w:cstheme="majorHAnsi"/>
          <w:sz w:val="24"/>
          <w:szCs w:val="24"/>
        </w:rPr>
        <w:fldChar w:fldCharType="separate"/>
      </w:r>
      <w:r w:rsidR="00F97F38" w:rsidRPr="0022305D">
        <w:rPr>
          <w:rFonts w:asciiTheme="majorHAnsi" w:eastAsia="Times New Roman" w:hAnsiTheme="majorHAnsi" w:cstheme="majorHAnsi"/>
          <w:noProof/>
          <w:sz w:val="24"/>
          <w:szCs w:val="24"/>
        </w:rPr>
        <w:t>(Russell, Langemeier, &amp; Briggeman, 2013)</w:t>
      </w:r>
      <w:r w:rsidR="00F97F38" w:rsidRPr="0022305D">
        <w:rPr>
          <w:rFonts w:asciiTheme="majorHAnsi" w:eastAsia="Times New Roman" w:hAnsiTheme="majorHAnsi" w:cstheme="majorHAnsi"/>
          <w:sz w:val="24"/>
          <w:szCs w:val="24"/>
        </w:rPr>
        <w:fldChar w:fldCharType="end"/>
      </w:r>
      <w:r w:rsidR="00F97F38" w:rsidRPr="0022305D">
        <w:rPr>
          <w:rFonts w:asciiTheme="majorHAnsi" w:eastAsia="Times New Roman" w:hAnsiTheme="majorHAnsi" w:cstheme="majorHAnsi"/>
          <w:sz w:val="24"/>
          <w:szCs w:val="24"/>
        </w:rPr>
        <w:t xml:space="preserve">. Bankruptcy is just around the corner for an insolvent business if it does not generate enough cash flow income to meet its debt requirements in a timely manner </w:t>
      </w:r>
      <w:r w:rsidR="00F97F38" w:rsidRPr="0022305D">
        <w:rPr>
          <w:rFonts w:asciiTheme="majorHAnsi" w:eastAsia="Times New Roman" w:hAnsiTheme="majorHAnsi" w:cstheme="majorHAnsi"/>
          <w:sz w:val="24"/>
          <w:szCs w:val="24"/>
        </w:rPr>
        <w:fldChar w:fldCharType="begin" w:fldLock="1"/>
      </w:r>
      <w:r w:rsidR="00F97F38" w:rsidRPr="0022305D">
        <w:rPr>
          <w:rFonts w:asciiTheme="majorHAnsi" w:eastAsia="Times New Roman" w:hAnsiTheme="majorHAnsi" w:cstheme="majorHAnsi"/>
          <w:sz w:val="24"/>
          <w:szCs w:val="24"/>
        </w:rPr>
        <w:instrText>ADDIN CSL_CITATION {"citationItems":[{"id":"ITEM-1","itemData":{"DOI":"10.2991/icame-18.2019.20","abstract":"This study aims to determine the effect of Debt to Equity Ratio and Total Asset Turnover partially and simultaneously on Return on Equity. The sample withdrawal used was purposive sampling so that a sample of 10 companies from automotive companies and their components were listed on the IDX. Data analysis techniques from this study use multiple linear regressions. The results of the study with statistical tests showed that partially and simultaneously DER had a significant effect on ROE and so did TATO have a significant effect on ROE","author":[{"dropping-particle":"","family":"Efendi","given":"Asrizal","non-dropping-particle":"","parse-names":false,"suffix":""},{"dropping-particle":"","family":"Putri","given":"Linzzy Pratami","non-dropping-particle":"","parse-names":false,"suffix":""},{"dropping-particle":"","family":"Dungga","given":"Shinta","non-dropping-particle":"","parse-names":false,"suffix":""}],"id":"ITEM-1","issue":"September","issued":{"date-parts":[["2019"]]},"title":"The Effect of debt to equity ratio and total asset turnover on return on equity in automotive companies and components in Indonesia","type":"article-journal"},"uris":["http://www.mendeley.com/documents/?uuid=d12088ca-2cff-4b4d-acb1-393bdc6ec3be"]}],"mendeley":{"formattedCitation":"(Efendi et al., 2019)","plainTextFormattedCitation":"(Efendi et al., 2019)","previouslyFormattedCitation":"(Efendi et al., 2019)"},"properties":{"noteIndex":0},"schema":"https://github.com/citation-style-language/schema/raw/master/csl-citation.json"}</w:instrText>
      </w:r>
      <w:r w:rsidR="00F97F38" w:rsidRPr="0022305D">
        <w:rPr>
          <w:rFonts w:asciiTheme="majorHAnsi" w:eastAsia="Times New Roman" w:hAnsiTheme="majorHAnsi" w:cstheme="majorHAnsi"/>
          <w:sz w:val="24"/>
          <w:szCs w:val="24"/>
        </w:rPr>
        <w:fldChar w:fldCharType="separate"/>
      </w:r>
      <w:r w:rsidR="00F97F38" w:rsidRPr="0022305D">
        <w:rPr>
          <w:rFonts w:asciiTheme="majorHAnsi" w:eastAsia="Times New Roman" w:hAnsiTheme="majorHAnsi" w:cstheme="majorHAnsi"/>
          <w:noProof/>
          <w:sz w:val="24"/>
          <w:szCs w:val="24"/>
        </w:rPr>
        <w:t>(Efendi et al., 2019)</w:t>
      </w:r>
      <w:r w:rsidR="00F97F38" w:rsidRPr="0022305D">
        <w:rPr>
          <w:rFonts w:asciiTheme="majorHAnsi" w:eastAsia="Times New Roman" w:hAnsiTheme="majorHAnsi" w:cstheme="majorHAnsi"/>
          <w:sz w:val="24"/>
          <w:szCs w:val="24"/>
        </w:rPr>
        <w:fldChar w:fldCharType="end"/>
      </w:r>
      <w:r w:rsidR="00F97F38" w:rsidRPr="0022305D">
        <w:rPr>
          <w:rFonts w:asciiTheme="majorHAnsi" w:eastAsia="Times New Roman" w:hAnsiTheme="majorHAnsi" w:cstheme="majorHAnsi"/>
          <w:sz w:val="24"/>
          <w:szCs w:val="24"/>
        </w:rPr>
        <w:t>.</w:t>
      </w:r>
    </w:p>
    <w:p w14:paraId="74B06E3E" w14:textId="58314E46" w:rsidR="006435B5" w:rsidRPr="00C37718" w:rsidRDefault="00AF58AD" w:rsidP="00C37718">
      <w:pPr>
        <w:spacing w:after="0" w:line="480" w:lineRule="auto"/>
        <w:rPr>
          <w:rFonts w:asciiTheme="majorHAnsi" w:hAnsiTheme="majorHAnsi" w:cstheme="majorHAnsi"/>
          <w:bCs/>
          <w:iCs/>
          <w:sz w:val="24"/>
          <w:szCs w:val="24"/>
        </w:rPr>
      </w:pPr>
      <w:r w:rsidRPr="0022305D">
        <w:rPr>
          <w:rFonts w:asciiTheme="majorHAnsi" w:hAnsiTheme="majorHAnsi" w:cstheme="majorHAnsi"/>
          <w:bCs/>
          <w:iCs/>
          <w:sz w:val="24"/>
          <w:szCs w:val="24"/>
        </w:rPr>
        <w:lastRenderedPageBreak/>
        <w:tab/>
      </w:r>
      <w:r w:rsidR="00F97F38" w:rsidRPr="0022305D">
        <w:rPr>
          <w:rFonts w:asciiTheme="majorHAnsi" w:hAnsiTheme="majorHAnsi" w:cstheme="majorHAnsi"/>
          <w:bCs/>
          <w:iCs/>
          <w:sz w:val="24"/>
          <w:szCs w:val="24"/>
        </w:rPr>
        <w:fldChar w:fldCharType="begin" w:fldLock="1"/>
      </w:r>
      <w:r w:rsidR="00F97F38" w:rsidRPr="0022305D">
        <w:rPr>
          <w:rFonts w:asciiTheme="majorHAnsi" w:hAnsiTheme="majorHAnsi" w:cstheme="majorHAnsi"/>
          <w:bCs/>
          <w:iCs/>
          <w:sz w:val="24"/>
          <w:szCs w:val="24"/>
        </w:rPr>
        <w:instrText>ADDIN CSL_CITATION {"citationItems":[{"id":"ITEM-1","itemData":{"DOI":"10.6007/ijarafms/v6-i1/1954","abstract":"This paper examines the impact of liquidity and solvency on banks profitability. All banks listed in Amman exchange were selected (15 banks) for the period 2012-2014. To measure the liquidity the quick ratio was calculated, Debt ratio was calculated to measure the solvency, whereas return on assets ratio was calculated to measure the profitability. Simple regression was used to examine the relations; the results showed that the liquidity has a negative (inverse) significant impact on profitability, whereas the solvency has a no impact on profitability.","author":[{"dropping-particle":"","family":"Dahiyat","given":"Ahmad","non-dropping-particle":"","parse-names":false,"suffix":""}],"container-title":"International Journal of Academic Research in Accounting, Finance and Management Sciences","id":"ITEM-1","issue":"1","issued":{"date-parts":[["2016"]]},"page":"35-40","title":"Does liquidity and solvency affect banks profitability? Evidence from listed banks in Jordan","type":"article-journal","volume":"6"},"uris":["http://www.mendeley.com/documents/?uuid=92ce5dd0-5523-4493-913f-7aa687b0533b"]}],"mendeley":{"formattedCitation":"(Dahiyat, 2016)","manualFormatting":"Dahiyat (2016)","plainTextFormattedCitation":"(Dahiyat, 2016)","previouslyFormattedCitation":"(Dahiyat, 2016)"},"properties":{"noteIndex":0},"schema":"https://github.com/citation-style-language/schema/raw/master/csl-citation.json"}</w:instrText>
      </w:r>
      <w:r w:rsidR="00F97F38" w:rsidRPr="0022305D">
        <w:rPr>
          <w:rFonts w:asciiTheme="majorHAnsi" w:hAnsiTheme="majorHAnsi" w:cstheme="majorHAnsi"/>
          <w:bCs/>
          <w:iCs/>
          <w:sz w:val="24"/>
          <w:szCs w:val="24"/>
        </w:rPr>
        <w:fldChar w:fldCharType="separate"/>
      </w:r>
      <w:r w:rsidR="00F97F38" w:rsidRPr="0022305D">
        <w:rPr>
          <w:rFonts w:asciiTheme="majorHAnsi" w:hAnsiTheme="majorHAnsi" w:cstheme="majorHAnsi"/>
          <w:bCs/>
          <w:iCs/>
          <w:noProof/>
          <w:sz w:val="24"/>
          <w:szCs w:val="24"/>
        </w:rPr>
        <w:t>Dahiyat (2016)</w:t>
      </w:r>
      <w:r w:rsidR="00F97F38" w:rsidRPr="0022305D">
        <w:rPr>
          <w:rFonts w:asciiTheme="majorHAnsi" w:hAnsiTheme="majorHAnsi" w:cstheme="majorHAnsi"/>
          <w:bCs/>
          <w:iCs/>
          <w:sz w:val="24"/>
          <w:szCs w:val="24"/>
        </w:rPr>
        <w:fldChar w:fldCharType="end"/>
      </w:r>
      <w:r w:rsidR="00F97F38" w:rsidRPr="0022305D">
        <w:rPr>
          <w:rFonts w:asciiTheme="majorHAnsi" w:hAnsiTheme="majorHAnsi" w:cstheme="majorHAnsi"/>
          <w:bCs/>
          <w:iCs/>
          <w:sz w:val="24"/>
          <w:szCs w:val="24"/>
        </w:rPr>
        <w:t xml:space="preserve"> in his study on whether liquidity and solvency affect banks’ profitability among listed banks in Jordan, measured solvency by </w:t>
      </w:r>
      <w:r w:rsidR="00CB2CDC">
        <w:rPr>
          <w:rFonts w:asciiTheme="majorHAnsi" w:hAnsiTheme="majorHAnsi" w:cstheme="majorHAnsi"/>
          <w:bCs/>
          <w:iCs/>
          <w:sz w:val="24"/>
          <w:szCs w:val="24"/>
        </w:rPr>
        <w:t>total debt to total assets ratio</w:t>
      </w:r>
      <w:r w:rsidR="00F97F38" w:rsidRPr="0022305D">
        <w:rPr>
          <w:rFonts w:asciiTheme="majorHAnsi" w:hAnsiTheme="majorHAnsi" w:cstheme="majorHAnsi"/>
          <w:bCs/>
          <w:iCs/>
          <w:sz w:val="24"/>
          <w:szCs w:val="24"/>
        </w:rPr>
        <w:t xml:space="preserve"> and </w:t>
      </w:r>
      <w:r w:rsidR="00BE06BC">
        <w:rPr>
          <w:rFonts w:asciiTheme="majorHAnsi" w:hAnsiTheme="majorHAnsi" w:cstheme="majorHAnsi"/>
          <w:bCs/>
          <w:iCs/>
          <w:sz w:val="24"/>
          <w:szCs w:val="24"/>
        </w:rPr>
        <w:t>total debt to equity</w:t>
      </w:r>
      <w:r w:rsidR="00F97F38" w:rsidRPr="0022305D">
        <w:rPr>
          <w:rFonts w:asciiTheme="majorHAnsi" w:hAnsiTheme="majorHAnsi" w:cstheme="majorHAnsi"/>
          <w:bCs/>
          <w:iCs/>
          <w:sz w:val="24"/>
          <w:szCs w:val="24"/>
        </w:rPr>
        <w:t xml:space="preserve"> ratio. Likewise</w:t>
      </w:r>
      <w:r w:rsidR="00F97F38" w:rsidRPr="0022305D">
        <w:rPr>
          <w:rFonts w:asciiTheme="majorHAnsi" w:hAnsiTheme="majorHAnsi" w:cstheme="majorHAnsi"/>
          <w:b/>
          <w:iCs/>
          <w:sz w:val="24"/>
          <w:szCs w:val="24"/>
        </w:rPr>
        <w:t xml:space="preserve">, </w:t>
      </w:r>
      <w:r w:rsidR="00F97F38" w:rsidRPr="0022305D">
        <w:rPr>
          <w:rFonts w:asciiTheme="majorHAnsi" w:hAnsiTheme="majorHAnsi" w:cstheme="majorHAnsi"/>
          <w:bCs/>
          <w:iCs/>
          <w:sz w:val="24"/>
          <w:szCs w:val="24"/>
        </w:rPr>
        <w:t xml:space="preserve">in the research conducted by </w:t>
      </w:r>
      <w:r w:rsidR="00F97F38" w:rsidRPr="0022305D">
        <w:rPr>
          <w:rFonts w:asciiTheme="majorHAnsi" w:hAnsiTheme="majorHAnsi" w:cstheme="majorHAnsi"/>
          <w:bCs/>
          <w:iCs/>
          <w:sz w:val="24"/>
          <w:szCs w:val="24"/>
        </w:rPr>
        <w:fldChar w:fldCharType="begin" w:fldLock="1"/>
      </w:r>
      <w:r w:rsidR="00F97F38" w:rsidRPr="0022305D">
        <w:rPr>
          <w:rFonts w:asciiTheme="majorHAnsi" w:hAnsiTheme="majorHAnsi" w:cstheme="majorHAnsi"/>
          <w:bCs/>
          <w:iCs/>
          <w:sz w:val="24"/>
          <w:szCs w:val="24"/>
        </w:rPr>
        <w:instrText>ADDIN CSL_CITATION {"citationItems":[{"id":"ITEM-1","itemData":{"DOI":"10.1002/ejsp.2570","ISSN":"07470088","abstract":"Abstract Mindfulness is a state of paying conscious and nonjudgmental attention to present‐moment experiences. Previous research relates this state to more effective emotion regulation and less emotion reactivity. We therefore hypothesized an attenuating effect of a mindfulness exercise on moral reactions that usually results from a bad conscience when having caused harm. Across five studies, we experimentally induced mindfulness via a short breathing exercise and then assessed harm‐based moral reactions. As hypothesized, participants in the mindfulness (vs. control) exercise condition showed a) attenuated repair intentions after having read a scenario in which participants caused harm to a friend (Study 3) and b) attenuated intentions to change harm‐causing eating habits (Study 4). Results of Studies 1, 2 and 5 did not provide evidence for our hypothesis. A following meta‐analysis across all five studies yielded an overall significant effect of mindfulness in the harm‐condition, providing preliminary evidence for a potential downside to mindfulness. This article is protected by copyright. All rights reserved.","author":[{"dropping-particle":"","family":"Yusoff","given":"Hanaffie","non-dropping-particle":"","parse-names":false,"suffix":""}],"container-title":"ABA Journal","id":"ITEM-1","issue":"4","issued":{"date-parts":[["2017"]]},"page":"24-25","title":"The effect of liquidity and solvency on profitability: The case of public-listed consumer product companies in Malaysis","type":"article-journal","volume":"102"},"uris":["http://www.mendeley.com/documents/?uuid=a68e60c9-3ece-4a21-ad63-544237c1c9d2"]}],"mendeley":{"formattedCitation":"(Yusoff, 2017)","manualFormatting":"Yusoff (2017)","plainTextFormattedCitation":"(Yusoff, 2017)","previouslyFormattedCitation":"(Yusoff, 2017)"},"properties":{"noteIndex":0},"schema":"https://github.com/citation-style-language/schema/raw/master/csl-citation.json"}</w:instrText>
      </w:r>
      <w:r w:rsidR="00F97F38" w:rsidRPr="0022305D">
        <w:rPr>
          <w:rFonts w:asciiTheme="majorHAnsi" w:hAnsiTheme="majorHAnsi" w:cstheme="majorHAnsi"/>
          <w:bCs/>
          <w:iCs/>
          <w:sz w:val="24"/>
          <w:szCs w:val="24"/>
        </w:rPr>
        <w:fldChar w:fldCharType="separate"/>
      </w:r>
      <w:r w:rsidR="00F97F38" w:rsidRPr="0022305D">
        <w:rPr>
          <w:rFonts w:asciiTheme="majorHAnsi" w:hAnsiTheme="majorHAnsi" w:cstheme="majorHAnsi"/>
          <w:bCs/>
          <w:iCs/>
          <w:noProof/>
          <w:sz w:val="24"/>
          <w:szCs w:val="24"/>
        </w:rPr>
        <w:t>Yusoff (2017)</w:t>
      </w:r>
      <w:r w:rsidR="00F97F38" w:rsidRPr="0022305D">
        <w:rPr>
          <w:rFonts w:asciiTheme="majorHAnsi" w:hAnsiTheme="majorHAnsi" w:cstheme="majorHAnsi"/>
          <w:bCs/>
          <w:iCs/>
          <w:sz w:val="24"/>
          <w:szCs w:val="24"/>
        </w:rPr>
        <w:fldChar w:fldCharType="end"/>
      </w:r>
      <w:r w:rsidR="00F97F38" w:rsidRPr="0022305D">
        <w:rPr>
          <w:rFonts w:asciiTheme="majorHAnsi" w:hAnsiTheme="majorHAnsi" w:cstheme="majorHAnsi"/>
          <w:bCs/>
          <w:iCs/>
          <w:sz w:val="24"/>
          <w:szCs w:val="24"/>
        </w:rPr>
        <w:t xml:space="preserve"> to determine the effect of liquidity and solvency on profitability of listed consumer companies in Malaysia, solvency was measured by </w:t>
      </w:r>
      <w:r w:rsidR="00CB2CDC">
        <w:rPr>
          <w:rFonts w:asciiTheme="majorHAnsi" w:hAnsiTheme="majorHAnsi" w:cstheme="majorHAnsi"/>
          <w:bCs/>
          <w:iCs/>
          <w:sz w:val="24"/>
          <w:szCs w:val="24"/>
        </w:rPr>
        <w:t>total debt to total assets ratio</w:t>
      </w:r>
      <w:r w:rsidR="00F97F38" w:rsidRPr="0022305D">
        <w:rPr>
          <w:rFonts w:asciiTheme="majorHAnsi" w:hAnsiTheme="majorHAnsi" w:cstheme="majorHAnsi"/>
          <w:bCs/>
          <w:iCs/>
          <w:sz w:val="24"/>
          <w:szCs w:val="24"/>
        </w:rPr>
        <w:t xml:space="preserve"> and </w:t>
      </w:r>
      <w:r w:rsidR="00BE06BC">
        <w:rPr>
          <w:rFonts w:asciiTheme="majorHAnsi" w:hAnsiTheme="majorHAnsi" w:cstheme="majorHAnsi"/>
          <w:bCs/>
          <w:iCs/>
          <w:sz w:val="24"/>
          <w:szCs w:val="24"/>
        </w:rPr>
        <w:t>total debt to equity</w:t>
      </w:r>
      <w:r w:rsidR="00F97F38" w:rsidRPr="0022305D">
        <w:rPr>
          <w:rFonts w:asciiTheme="majorHAnsi" w:hAnsiTheme="majorHAnsi" w:cstheme="majorHAnsi"/>
          <w:bCs/>
          <w:iCs/>
          <w:sz w:val="24"/>
          <w:szCs w:val="24"/>
        </w:rPr>
        <w:t xml:space="preserve"> ratio. Previous research in various places such as Indonesia, Pakistan, Kenya, and United States of America shows that solvency is measured by </w:t>
      </w:r>
      <w:r w:rsidR="00CB2CDC">
        <w:rPr>
          <w:rFonts w:asciiTheme="majorHAnsi" w:hAnsiTheme="majorHAnsi" w:cstheme="majorHAnsi"/>
          <w:bCs/>
          <w:iCs/>
          <w:sz w:val="24"/>
          <w:szCs w:val="24"/>
        </w:rPr>
        <w:t>total debt to total assets ratio</w:t>
      </w:r>
      <w:r w:rsidR="00F97F38" w:rsidRPr="0022305D">
        <w:rPr>
          <w:rFonts w:asciiTheme="majorHAnsi" w:hAnsiTheme="majorHAnsi" w:cstheme="majorHAnsi"/>
          <w:bCs/>
          <w:iCs/>
          <w:sz w:val="24"/>
          <w:szCs w:val="24"/>
        </w:rPr>
        <w:t xml:space="preserve"> and </w:t>
      </w:r>
      <w:r w:rsidR="00BE06BC">
        <w:rPr>
          <w:rFonts w:asciiTheme="majorHAnsi" w:hAnsiTheme="majorHAnsi" w:cstheme="majorHAnsi"/>
          <w:bCs/>
          <w:iCs/>
          <w:sz w:val="24"/>
          <w:szCs w:val="24"/>
        </w:rPr>
        <w:t>total debt to equity</w:t>
      </w:r>
      <w:r w:rsidR="00F97F38" w:rsidRPr="0022305D">
        <w:rPr>
          <w:rFonts w:asciiTheme="majorHAnsi" w:hAnsiTheme="majorHAnsi" w:cstheme="majorHAnsi"/>
          <w:bCs/>
          <w:iCs/>
          <w:sz w:val="24"/>
          <w:szCs w:val="24"/>
        </w:rPr>
        <w:t xml:space="preserve"> ratio (</w:t>
      </w:r>
      <w:r w:rsidR="00F97F38" w:rsidRPr="0022305D">
        <w:rPr>
          <w:rFonts w:asciiTheme="majorHAnsi" w:hAnsiTheme="majorHAnsi" w:cstheme="majorHAnsi"/>
          <w:bCs/>
          <w:iCs/>
          <w:sz w:val="24"/>
          <w:szCs w:val="24"/>
        </w:rPr>
        <w:fldChar w:fldCharType="begin" w:fldLock="1"/>
      </w:r>
      <w:r w:rsidR="00F97F38" w:rsidRPr="0022305D">
        <w:rPr>
          <w:rFonts w:asciiTheme="majorHAnsi" w:hAnsiTheme="majorHAnsi" w:cstheme="majorHAnsi"/>
          <w:bCs/>
          <w:iCs/>
          <w:sz w:val="24"/>
          <w:szCs w:val="24"/>
        </w:rPr>
        <w:instrText>ADDIN CSL_CITATION {"citationItems":[{"id":"ITEM-1","itemData":{"abstract":"This study aims to examine the relationship between solvency ratios and profitability ratios. The study was conducted on the food industrial companies listed in Amman Bursa during the period of 2012-2014. The results revealed no relationship between the following solvency ratios (debt/asset ratio, debt/equity ratio, long-term debt/assets ratio, long-term debt/equity ratio, and interest coverage) and the following profitability ratios (gross profit margin and operating cash flow margin). The results show negative relationship between both ratios of solvency (debt/asset ratio, debt/equity ratio) and the following profitability ratios (operating profit margin [OPM], net profit margin [NPM] and return on assets [ROA]). There are no relationships between the remaining of the solvency ratios (long-term debt ratios/assets, long-term debt ratios/equity, and interest coverage) and the following profitability ratios (OPM, NPM, and ROAs).","author":[{"dropping-particle":"","family":"Aziz","given":"Abdul","non-dropping-particle":"","parse-names":false,"suffix":""},{"dropping-particle":"","family":"Rahman","given":"A Abdul","non-dropping-particle":"","parse-names":false,"suffix":""}],"container-title":"International Journal of Economics and Financial Issues","id":"ITEM-1","issue":"7","issued":{"date-parts":[["2017"]]},"page":"86-93","title":"The relationship between solvency ratios and profitability ratios: Analytical study in food industrial companies listed in Amman Bursa","type":"article-journal","volume":"2"},"uris":["http://www.mendeley.com/documents/?uuid=3833053e-e6ad-44f1-9b82-159486010d11"]}],"mendeley":{"formattedCitation":"(Aziz &amp; Rahman, 2017)","manualFormatting":"Aziz &amp;  Rahman, 2017","plainTextFormattedCitation":"(Aziz &amp; Rahman, 2017)","previouslyFormattedCitation":"(Aziz &amp; Rahman, 2017)"},"properties":{"noteIndex":0},"schema":"https://github.com/citation-style-language/schema/raw/master/csl-citation.json"}</w:instrText>
      </w:r>
      <w:r w:rsidR="00F97F38" w:rsidRPr="0022305D">
        <w:rPr>
          <w:rFonts w:asciiTheme="majorHAnsi" w:hAnsiTheme="majorHAnsi" w:cstheme="majorHAnsi"/>
          <w:bCs/>
          <w:iCs/>
          <w:sz w:val="24"/>
          <w:szCs w:val="24"/>
        </w:rPr>
        <w:fldChar w:fldCharType="separate"/>
      </w:r>
      <w:r w:rsidR="00F97F38" w:rsidRPr="0022305D">
        <w:rPr>
          <w:rFonts w:asciiTheme="majorHAnsi" w:hAnsiTheme="majorHAnsi" w:cstheme="majorHAnsi"/>
          <w:bCs/>
          <w:iCs/>
          <w:noProof/>
          <w:sz w:val="24"/>
          <w:szCs w:val="24"/>
        </w:rPr>
        <w:t>Aziz &amp;  Rahman, 2017</w:t>
      </w:r>
      <w:r w:rsidR="00F97F38" w:rsidRPr="0022305D">
        <w:rPr>
          <w:rFonts w:asciiTheme="majorHAnsi" w:hAnsiTheme="majorHAnsi" w:cstheme="majorHAnsi"/>
          <w:bCs/>
          <w:iCs/>
          <w:sz w:val="24"/>
          <w:szCs w:val="24"/>
        </w:rPr>
        <w:fldChar w:fldCharType="end"/>
      </w:r>
      <w:r w:rsidR="00F97F38" w:rsidRPr="0022305D">
        <w:rPr>
          <w:rFonts w:asciiTheme="majorHAnsi" w:hAnsiTheme="majorHAnsi" w:cstheme="majorHAnsi"/>
          <w:bCs/>
          <w:iCs/>
          <w:sz w:val="24"/>
          <w:szCs w:val="24"/>
        </w:rPr>
        <w:t xml:space="preserve">; </w:t>
      </w:r>
      <w:r w:rsidR="00F97F38" w:rsidRPr="0022305D">
        <w:rPr>
          <w:rFonts w:asciiTheme="majorHAnsi" w:hAnsiTheme="majorHAnsi" w:cstheme="majorHAnsi"/>
          <w:bCs/>
          <w:iCs/>
          <w:sz w:val="24"/>
          <w:szCs w:val="24"/>
        </w:rPr>
        <w:fldChar w:fldCharType="begin" w:fldLock="1"/>
      </w:r>
      <w:r w:rsidR="00F97F38" w:rsidRPr="0022305D">
        <w:rPr>
          <w:rFonts w:asciiTheme="majorHAnsi" w:hAnsiTheme="majorHAnsi" w:cstheme="majorHAnsi"/>
          <w:bCs/>
          <w:iCs/>
          <w:sz w:val="24"/>
          <w:szCs w:val="24"/>
        </w:rPr>
        <w:instrText>ADDIN CSL_CITATION {"citationItems":[{"id":"ITEM-1","itemData":{"abstract":"The second comparison divided farms into two groups based on an initial solvency ratio. The solvency ratio is not one of the 21 recommended FFSC ratios but it is a ratio commonly used with non-agricultural businesses. The solvency ratio is computed from net farm income plus depreciation and then divided by total debt capital. The comparisons based on solvency were computed in a similar fashion to the debt-to-asset ratio comparison.","author":[{"dropping-particle":"","family":"Ibendahl","given":"Gregory","non-dropping-particle":"","parse-names":false,"suffix":""}],"container-title":"The Journal of the ASFMRA","id":"ITEM-1","issued":{"date-parts":[["2016"]]},"page":"195-201","title":"Using solvency ratios to predict future profitability","type":"article-journal"},"uris":["http://www.mendeley.com/documents/?uuid=7048217e-7a49-4148-b2ba-7a600d89449d"]}],"mendeley":{"formattedCitation":"(Ibendahl, 2016)","manualFormatting":"Ibendahl, 2016","plainTextFormattedCitation":"(Ibendahl, 2016)","previouslyFormattedCitation":"(Ibendahl, 2016)"},"properties":{"noteIndex":0},"schema":"https://github.com/citation-style-language/schema/raw/master/csl-citation.json"}</w:instrText>
      </w:r>
      <w:r w:rsidR="00F97F38" w:rsidRPr="0022305D">
        <w:rPr>
          <w:rFonts w:asciiTheme="majorHAnsi" w:hAnsiTheme="majorHAnsi" w:cstheme="majorHAnsi"/>
          <w:bCs/>
          <w:iCs/>
          <w:sz w:val="24"/>
          <w:szCs w:val="24"/>
        </w:rPr>
        <w:fldChar w:fldCharType="separate"/>
      </w:r>
      <w:r w:rsidR="00F97F38" w:rsidRPr="0022305D">
        <w:rPr>
          <w:rFonts w:asciiTheme="majorHAnsi" w:hAnsiTheme="majorHAnsi" w:cstheme="majorHAnsi"/>
          <w:bCs/>
          <w:iCs/>
          <w:noProof/>
          <w:sz w:val="24"/>
          <w:szCs w:val="24"/>
        </w:rPr>
        <w:t>Ibendahl, 2016</w:t>
      </w:r>
      <w:r w:rsidR="00F97F38" w:rsidRPr="0022305D">
        <w:rPr>
          <w:rFonts w:asciiTheme="majorHAnsi" w:hAnsiTheme="majorHAnsi" w:cstheme="majorHAnsi"/>
          <w:bCs/>
          <w:iCs/>
          <w:sz w:val="24"/>
          <w:szCs w:val="24"/>
        </w:rPr>
        <w:fldChar w:fldCharType="end"/>
      </w:r>
      <w:r w:rsidR="00F97F38" w:rsidRPr="0022305D">
        <w:rPr>
          <w:rFonts w:asciiTheme="majorHAnsi" w:hAnsiTheme="majorHAnsi" w:cstheme="majorHAnsi"/>
          <w:bCs/>
          <w:iCs/>
          <w:sz w:val="24"/>
          <w:szCs w:val="24"/>
        </w:rPr>
        <w:t xml:space="preserve">; </w:t>
      </w:r>
      <w:r w:rsidR="00F97F38" w:rsidRPr="0022305D">
        <w:rPr>
          <w:rFonts w:asciiTheme="majorHAnsi" w:hAnsiTheme="majorHAnsi" w:cstheme="majorHAnsi"/>
          <w:bCs/>
          <w:iCs/>
          <w:sz w:val="24"/>
          <w:szCs w:val="24"/>
        </w:rPr>
        <w:fldChar w:fldCharType="begin" w:fldLock="1"/>
      </w:r>
      <w:r w:rsidR="00F97F38" w:rsidRPr="0022305D">
        <w:rPr>
          <w:rFonts w:asciiTheme="majorHAnsi" w:hAnsiTheme="majorHAnsi" w:cstheme="majorHAnsi"/>
          <w:bCs/>
          <w:iCs/>
          <w:sz w:val="24"/>
          <w:szCs w:val="24"/>
        </w:rPr>
        <w:instrText>ADDIN CSL_CITATION {"citationItems":[{"id":"ITEM-1","itemData":{"author":[{"dropping-particle":"","family":"Rehman","given":"Mobeen Ur","non-dropping-particle":"","parse-names":false,"suffix":""},{"dropping-particle":"","family":"Waqas","given":"Bin Khidmat","non-dropping-particle":"","parse-names":false,"suffix":""}],"container-title":"Ekonomika Management Inovace","id":"ITEM-1","issue":"3","issued":{"date-parts":[["2014"]]},"page":"12","title":"Impact of Liquidity &amp; Solvency on Profitability of Chemical sector in Pakistan","type":"article-journal","volume":"6"},"uris":["http://www.mendeley.com/documents/?uuid=11eb3096-ab31-44b6-8ff9-c884812356cf"]}],"mendeley":{"formattedCitation":"(M. U. Rehman &amp; Waqas, 2014)","manualFormatting":"Rehman &amp; Waqas, 2014","plainTextFormattedCitation":"(M. U. Rehman &amp; Waqas, 2014)","previouslyFormattedCitation":"(M. U. Rehman &amp; Waqas, 2014)"},"properties":{"noteIndex":0},"schema":"https://github.com/citation-style-language/schema/raw/master/csl-citation.json"}</w:instrText>
      </w:r>
      <w:r w:rsidR="00F97F38" w:rsidRPr="0022305D">
        <w:rPr>
          <w:rFonts w:asciiTheme="majorHAnsi" w:hAnsiTheme="majorHAnsi" w:cstheme="majorHAnsi"/>
          <w:bCs/>
          <w:iCs/>
          <w:sz w:val="24"/>
          <w:szCs w:val="24"/>
        </w:rPr>
        <w:fldChar w:fldCharType="separate"/>
      </w:r>
      <w:r w:rsidR="00F97F38" w:rsidRPr="0022305D">
        <w:rPr>
          <w:rFonts w:asciiTheme="majorHAnsi" w:hAnsiTheme="majorHAnsi" w:cstheme="majorHAnsi"/>
          <w:bCs/>
          <w:iCs/>
          <w:noProof/>
          <w:sz w:val="24"/>
          <w:szCs w:val="24"/>
        </w:rPr>
        <w:t>Rehman &amp; Waqas, 2014</w:t>
      </w:r>
      <w:r w:rsidR="00F97F38" w:rsidRPr="0022305D">
        <w:rPr>
          <w:rFonts w:asciiTheme="majorHAnsi" w:hAnsiTheme="majorHAnsi" w:cstheme="majorHAnsi"/>
          <w:bCs/>
          <w:iCs/>
          <w:sz w:val="24"/>
          <w:szCs w:val="24"/>
        </w:rPr>
        <w:fldChar w:fldCharType="end"/>
      </w:r>
      <w:r w:rsidR="00F97F38" w:rsidRPr="0022305D">
        <w:rPr>
          <w:rFonts w:asciiTheme="majorHAnsi" w:hAnsiTheme="majorHAnsi" w:cstheme="majorHAnsi"/>
          <w:bCs/>
          <w:iCs/>
          <w:sz w:val="24"/>
          <w:szCs w:val="24"/>
        </w:rPr>
        <w:t xml:space="preserve">; </w:t>
      </w:r>
      <w:r w:rsidR="00F97F38" w:rsidRPr="0022305D">
        <w:rPr>
          <w:rFonts w:asciiTheme="majorHAnsi" w:hAnsiTheme="majorHAnsi" w:cstheme="majorHAnsi"/>
          <w:bCs/>
          <w:iCs/>
          <w:sz w:val="24"/>
          <w:szCs w:val="24"/>
        </w:rPr>
        <w:fldChar w:fldCharType="begin" w:fldLock="1"/>
      </w:r>
      <w:r w:rsidR="0002347B">
        <w:rPr>
          <w:rFonts w:asciiTheme="majorHAnsi" w:hAnsiTheme="majorHAnsi" w:cstheme="majorHAnsi"/>
          <w:bCs/>
          <w:iCs/>
          <w:sz w:val="24"/>
          <w:szCs w:val="24"/>
        </w:rPr>
        <w:instrText>ADDIN CSL_CITATION {"citationItems":[{"id":"ITEM-1","itemData":{"author":[{"dropping-particle":"","family":"Muthoni","given":"Mburu Ruth","non-dropping-particle":"","parse-names":false,"suffix":""}],"container-title":"Journal of Asian Finance, Economics and Business","id":"ITEM-1","issue":"October","issued":{"date-parts":[["2013"]]},"page":"1-62","title":"The effect of liquidity and solvency on the profitability of commercial banks in Kenya","type":"article-journal"},"uris":["http://www.mendeley.com/documents/?uuid=44d5acc2-c2a6-4bc7-9abc-d398a680607e"]}],"mendeley":{"formattedCitation":"(Muthoni, 2013)","manualFormatting":"Muthoni, 2013","plainTextFormattedCitation":"(Muthoni, 2013)","previouslyFormattedCitation":"(Muthoni, 2013)"},"properties":{"noteIndex":0},"schema":"https://github.com/citation-style-language/schema/raw/master/csl-citation.json"}</w:instrText>
      </w:r>
      <w:r w:rsidR="00F97F38" w:rsidRPr="0022305D">
        <w:rPr>
          <w:rFonts w:asciiTheme="majorHAnsi" w:hAnsiTheme="majorHAnsi" w:cstheme="majorHAnsi"/>
          <w:bCs/>
          <w:iCs/>
          <w:sz w:val="24"/>
          <w:szCs w:val="24"/>
        </w:rPr>
        <w:fldChar w:fldCharType="separate"/>
      </w:r>
      <w:r w:rsidR="00F97F38" w:rsidRPr="0022305D">
        <w:rPr>
          <w:rFonts w:asciiTheme="majorHAnsi" w:hAnsiTheme="majorHAnsi" w:cstheme="majorHAnsi"/>
          <w:bCs/>
          <w:iCs/>
          <w:noProof/>
          <w:sz w:val="24"/>
          <w:szCs w:val="24"/>
        </w:rPr>
        <w:t>Muthoni, 2013</w:t>
      </w:r>
      <w:r w:rsidR="00F97F38" w:rsidRPr="0022305D">
        <w:rPr>
          <w:rFonts w:asciiTheme="majorHAnsi" w:hAnsiTheme="majorHAnsi" w:cstheme="majorHAnsi"/>
          <w:bCs/>
          <w:iCs/>
          <w:sz w:val="24"/>
          <w:szCs w:val="24"/>
        </w:rPr>
        <w:fldChar w:fldCharType="end"/>
      </w:r>
      <w:r w:rsidR="00F97F38" w:rsidRPr="0022305D">
        <w:rPr>
          <w:rFonts w:asciiTheme="majorHAnsi" w:hAnsiTheme="majorHAnsi" w:cstheme="majorHAnsi"/>
          <w:bCs/>
          <w:iCs/>
          <w:sz w:val="24"/>
          <w:szCs w:val="24"/>
        </w:rPr>
        <w:t xml:space="preserve">; and </w:t>
      </w:r>
      <w:r w:rsidR="00F97F38" w:rsidRPr="0022305D">
        <w:rPr>
          <w:rFonts w:asciiTheme="majorHAnsi" w:hAnsiTheme="majorHAnsi" w:cstheme="majorHAnsi"/>
          <w:bCs/>
          <w:iCs/>
          <w:sz w:val="24"/>
          <w:szCs w:val="24"/>
        </w:rPr>
        <w:fldChar w:fldCharType="begin" w:fldLock="1"/>
      </w:r>
      <w:r w:rsidR="00F97F38" w:rsidRPr="0022305D">
        <w:rPr>
          <w:rFonts w:asciiTheme="majorHAnsi" w:hAnsiTheme="majorHAnsi" w:cstheme="majorHAnsi"/>
          <w:bCs/>
          <w:iCs/>
          <w:sz w:val="24"/>
          <w:szCs w:val="24"/>
        </w:rPr>
        <w:instrText>ADDIN CSL_CITATION {"citationItems":[{"id":"ITEM-1","itemData":{"DOI":"10.1108/AFR-09-2012-0047","ISSN":"20416326","abstract":"Purpose – This paper aims to develop and utilize a conceptual framework to examine the impact of liquidity and solvency on cost efficiency for a sample of Kansas farms. Design/methodology/approach – A standard cost-efficiency model is modified to incorporate liquidity and solvency ratios. Tobit regressions are used to determine the impact of farm characteristics on improvements in efficiency. Findings – Results confirm that liquidity and solvency measures have a significant impact on improving cost efficiency. Farms with larger expenditures on purchased inputs relative to capital were less likely to improve efficiency when liquidity and solvency were considered. Originality/value – To the authors’ knowledge, the paper is the first to add liquidity and solvency ratios to the cost-efficiency model developed by Färe et al. for the analysis of farms.","author":[{"dropping-particle":"","family":"Russell","given":"Levi Alan","non-dropping-particle":"","parse-names":false,"suffix":""},{"dropping-particle":"","family":"Langemeier","given":"Michael R.","non-dropping-particle":"","parse-names":false,"suffix":""},{"dropping-particle":"","family":"Briggeman","given":"Brian C.","non-dropping-particle":"","parse-names":false,"suffix":""}],"container-title":"Agricultural Finance Review","id":"ITEM-1","issue":"3","issued":{"date-parts":[["2013"]]},"page":"413-425","title":"The impact of liquidity and solvency on cost efficiency","type":"article-journal","volume":"73"},"uris":["http://www.mendeley.com/documents/?uuid=cbbc1c21-e4e6-4e8b-89fb-e29aab5f582d"]}],"mendeley":{"formattedCitation":"(Russell et al., 2013)","manualFormatting":"Russell et al.,2013","plainTextFormattedCitation":"(Russell et al., 2013)","previouslyFormattedCitation":"(Russell et al., 2013)"},"properties":{"noteIndex":0},"schema":"https://github.com/citation-style-language/schema/raw/master/csl-citation.json"}</w:instrText>
      </w:r>
      <w:r w:rsidR="00F97F38" w:rsidRPr="0022305D">
        <w:rPr>
          <w:rFonts w:asciiTheme="majorHAnsi" w:hAnsiTheme="majorHAnsi" w:cstheme="majorHAnsi"/>
          <w:bCs/>
          <w:iCs/>
          <w:sz w:val="24"/>
          <w:szCs w:val="24"/>
        </w:rPr>
        <w:fldChar w:fldCharType="separate"/>
      </w:r>
      <w:r w:rsidR="00F97F38" w:rsidRPr="0022305D">
        <w:rPr>
          <w:rFonts w:asciiTheme="majorHAnsi" w:hAnsiTheme="majorHAnsi" w:cstheme="majorHAnsi"/>
          <w:bCs/>
          <w:iCs/>
          <w:noProof/>
          <w:sz w:val="24"/>
          <w:szCs w:val="24"/>
        </w:rPr>
        <w:t>Russell et al.,2013</w:t>
      </w:r>
      <w:r w:rsidR="00F97F38" w:rsidRPr="0022305D">
        <w:rPr>
          <w:rFonts w:asciiTheme="majorHAnsi" w:hAnsiTheme="majorHAnsi" w:cstheme="majorHAnsi"/>
          <w:bCs/>
          <w:iCs/>
          <w:sz w:val="24"/>
          <w:szCs w:val="24"/>
        </w:rPr>
        <w:fldChar w:fldCharType="end"/>
      </w:r>
      <w:r w:rsidR="00F97F38" w:rsidRPr="0022305D">
        <w:rPr>
          <w:rFonts w:asciiTheme="majorHAnsi" w:hAnsiTheme="majorHAnsi" w:cstheme="majorHAnsi"/>
          <w:bCs/>
          <w:iCs/>
          <w:sz w:val="24"/>
          <w:szCs w:val="24"/>
        </w:rPr>
        <w:t xml:space="preserve">). The above literature suggests that solvency is measured by </w:t>
      </w:r>
      <w:r w:rsidR="00CB2CDC">
        <w:rPr>
          <w:rFonts w:asciiTheme="majorHAnsi" w:hAnsiTheme="majorHAnsi" w:cstheme="majorHAnsi"/>
          <w:bCs/>
          <w:iCs/>
          <w:sz w:val="24"/>
          <w:szCs w:val="24"/>
        </w:rPr>
        <w:t>total debt to total assets ratio</w:t>
      </w:r>
      <w:r w:rsidR="00F97F38" w:rsidRPr="0022305D">
        <w:rPr>
          <w:rFonts w:asciiTheme="majorHAnsi" w:hAnsiTheme="majorHAnsi" w:cstheme="majorHAnsi"/>
          <w:bCs/>
          <w:iCs/>
          <w:sz w:val="24"/>
          <w:szCs w:val="24"/>
        </w:rPr>
        <w:t xml:space="preserve"> and </w:t>
      </w:r>
      <w:r w:rsidR="00BE06BC">
        <w:rPr>
          <w:rFonts w:asciiTheme="majorHAnsi" w:hAnsiTheme="majorHAnsi" w:cstheme="majorHAnsi"/>
          <w:bCs/>
          <w:iCs/>
          <w:sz w:val="24"/>
          <w:szCs w:val="24"/>
        </w:rPr>
        <w:t>total debt to equity</w:t>
      </w:r>
      <w:r w:rsidR="00F97F38" w:rsidRPr="0022305D">
        <w:rPr>
          <w:rFonts w:asciiTheme="majorHAnsi" w:hAnsiTheme="majorHAnsi" w:cstheme="majorHAnsi"/>
          <w:bCs/>
          <w:iCs/>
          <w:sz w:val="24"/>
          <w:szCs w:val="24"/>
        </w:rPr>
        <w:t xml:space="preserve"> ratio. Consequently, this study measured solvency by assessing the level of </w:t>
      </w:r>
      <w:r w:rsidR="00CB2CDC">
        <w:rPr>
          <w:rFonts w:asciiTheme="majorHAnsi" w:hAnsiTheme="majorHAnsi" w:cstheme="majorHAnsi"/>
          <w:bCs/>
          <w:iCs/>
          <w:sz w:val="24"/>
          <w:szCs w:val="24"/>
        </w:rPr>
        <w:t>total debt to total assets ratio</w:t>
      </w:r>
      <w:r w:rsidR="00F97F38" w:rsidRPr="0022305D">
        <w:rPr>
          <w:rFonts w:asciiTheme="majorHAnsi" w:hAnsiTheme="majorHAnsi" w:cstheme="majorHAnsi"/>
          <w:bCs/>
          <w:iCs/>
          <w:sz w:val="24"/>
          <w:szCs w:val="24"/>
        </w:rPr>
        <w:t xml:space="preserve">, which is calculated by dividing total liabilities of commercial banks in Kenya by total assets. Solvency was also measured by assessing the level of </w:t>
      </w:r>
      <w:r w:rsidR="00BE06BC">
        <w:rPr>
          <w:rFonts w:asciiTheme="majorHAnsi" w:hAnsiTheme="majorHAnsi" w:cstheme="majorHAnsi"/>
          <w:bCs/>
          <w:iCs/>
          <w:sz w:val="24"/>
          <w:szCs w:val="24"/>
        </w:rPr>
        <w:t>total debt to equity</w:t>
      </w:r>
      <w:r w:rsidR="00F97F38" w:rsidRPr="0022305D">
        <w:rPr>
          <w:rFonts w:asciiTheme="majorHAnsi" w:hAnsiTheme="majorHAnsi" w:cstheme="majorHAnsi"/>
          <w:bCs/>
          <w:iCs/>
          <w:sz w:val="24"/>
          <w:szCs w:val="24"/>
        </w:rPr>
        <w:t xml:space="preserve"> ratio. </w:t>
      </w:r>
    </w:p>
    <w:p w14:paraId="6FD46F8C" w14:textId="757D8615" w:rsidR="00455AAB" w:rsidRPr="0022305D" w:rsidRDefault="00F97F38" w:rsidP="00C37718">
      <w:pPr>
        <w:pStyle w:val="Default"/>
        <w:spacing w:line="480" w:lineRule="auto"/>
        <w:ind w:firstLine="720"/>
        <w:rPr>
          <w:rFonts w:asciiTheme="majorHAnsi" w:hAnsiTheme="majorHAnsi" w:cstheme="majorHAnsi"/>
          <w:iCs/>
          <w:color w:val="auto"/>
        </w:rPr>
      </w:pPr>
      <w:r w:rsidRPr="0022305D">
        <w:rPr>
          <w:rFonts w:asciiTheme="majorHAnsi" w:hAnsiTheme="majorHAnsi" w:cstheme="majorHAnsi"/>
        </w:rPr>
        <w:t xml:space="preserve">On the other hand, </w:t>
      </w:r>
      <w:r w:rsidRPr="0022305D">
        <w:rPr>
          <w:rFonts w:asciiTheme="majorHAnsi" w:hAnsiTheme="majorHAnsi" w:cstheme="majorHAnsi"/>
        </w:rPr>
        <w:fldChar w:fldCharType="begin" w:fldLock="1"/>
      </w:r>
      <w:r w:rsidRPr="0022305D">
        <w:rPr>
          <w:rFonts w:asciiTheme="majorHAnsi" w:hAnsiTheme="majorHAnsi" w:cstheme="majorHAnsi"/>
        </w:rPr>
        <w:instrText>ADDIN CSL_CITATION {"citationItems":[{"id":"ITEM-1","itemData":{"DOI":"10.6007/ijarafms/v6-i1/1954","abstract":"This paper examines the impact of liquidity and solvency on banks profitability. All banks listed in Amman exchange were selected (15 banks) for the period 2012-2014. To measure the liquidity the quick ratio was calculated, Debt ratio was calculated to measure the solvency, whereas return on assets ratio was calculated to measure the profitability. Simple regression was used to examine the relations; the results showed that the liquidity has a negative (inverse) significant impact on profitability, whereas the solvency has a no impact on profitability.","author":[{"dropping-particle":"","family":"Dahiyat","given":"Ahmad","non-dropping-particle":"","parse-names":false,"suffix":""}],"container-title":"International Journal of Academic Research in Accounting, Finance and Management Sciences","id":"ITEM-1","issue":"1","issued":{"date-parts":[["2016"]]},"page":"35-40","title":"Does liquidity and solvency affect banks profitability? Evidence from listed banks in Jordan","type":"article-journal","volume":"6"},"uris":["http://www.mendeley.com/documents/?uuid=92ce5dd0-5523-4493-913f-7aa687b0533b"]}],"mendeley":{"formattedCitation":"(Dahiyat, 2016)","manualFormatting":"Dahiyat, (2016)","plainTextFormattedCitation":"(Dahiyat, 2016)","previouslyFormattedCitation":"(Dahiyat, 2016)"},"properties":{"noteIndex":0},"schema":"https://github.com/citation-style-language/schema/raw/master/csl-citation.json"}</w:instrText>
      </w:r>
      <w:r w:rsidRPr="0022305D">
        <w:rPr>
          <w:rFonts w:asciiTheme="majorHAnsi" w:hAnsiTheme="majorHAnsi" w:cstheme="majorHAnsi"/>
        </w:rPr>
        <w:fldChar w:fldCharType="separate"/>
      </w:r>
      <w:r w:rsidRPr="0022305D">
        <w:rPr>
          <w:rFonts w:asciiTheme="majorHAnsi" w:hAnsiTheme="majorHAnsi" w:cstheme="majorHAnsi"/>
          <w:noProof/>
        </w:rPr>
        <w:t>Dahiyat, (2016)</w:t>
      </w:r>
      <w:r w:rsidRPr="0022305D">
        <w:rPr>
          <w:rFonts w:asciiTheme="majorHAnsi" w:hAnsiTheme="majorHAnsi" w:cstheme="majorHAnsi"/>
        </w:rPr>
        <w:fldChar w:fldCharType="end"/>
      </w:r>
      <w:r w:rsidRPr="0022305D">
        <w:rPr>
          <w:rFonts w:asciiTheme="majorHAnsi" w:hAnsiTheme="majorHAnsi" w:cstheme="majorHAnsi"/>
          <w:iCs/>
          <w:color w:val="auto"/>
        </w:rPr>
        <w:t xml:space="preserve"> found no relationship between solvency and profitability of  fifteen banks listed in Amman stock exchange for the period of three years (2012- 2014). </w:t>
      </w:r>
      <w:r w:rsidR="00CB2CDC">
        <w:rPr>
          <w:rFonts w:asciiTheme="majorHAnsi" w:hAnsiTheme="majorHAnsi" w:cstheme="majorHAnsi"/>
          <w:iCs/>
          <w:color w:val="auto"/>
        </w:rPr>
        <w:t>Total debt to total assets ratio</w:t>
      </w:r>
      <w:r w:rsidRPr="0022305D">
        <w:rPr>
          <w:rFonts w:asciiTheme="majorHAnsi" w:hAnsiTheme="majorHAnsi" w:cstheme="majorHAnsi"/>
          <w:iCs/>
          <w:color w:val="auto"/>
        </w:rPr>
        <w:t xml:space="preserve"> was used to measure solvency and return on assets ratio was used to measure the profitability. In the current study, the researcher considered target population of all the 43 commercial banks in Kenya. Further, Dahiyat, (2016) used data for a period of three years (2012- 2014) while in the current study, the researcher collected data for the period of ten consecutive years (from 2011 to 2020). </w:t>
      </w:r>
    </w:p>
    <w:p w14:paraId="6410D247" w14:textId="77777777" w:rsidR="006C7791" w:rsidRPr="0022305D" w:rsidRDefault="006C7791" w:rsidP="006C7791">
      <w:pPr>
        <w:pStyle w:val="Default"/>
        <w:spacing w:line="480" w:lineRule="auto"/>
        <w:rPr>
          <w:rFonts w:asciiTheme="majorHAnsi" w:hAnsiTheme="majorHAnsi" w:cstheme="majorHAnsi"/>
          <w:iCs/>
          <w:color w:val="auto"/>
        </w:rPr>
      </w:pPr>
    </w:p>
    <w:p w14:paraId="460662B3" w14:textId="39833575" w:rsidR="00F97F38" w:rsidRPr="00A96563" w:rsidRDefault="00F97F38" w:rsidP="004478B6">
      <w:pPr>
        <w:pStyle w:val="Heading2"/>
        <w:spacing w:line="480" w:lineRule="auto"/>
        <w:jc w:val="left"/>
        <w:rPr>
          <w:rFonts w:asciiTheme="majorHAnsi" w:hAnsiTheme="majorHAnsi" w:cstheme="majorHAnsi"/>
          <w:sz w:val="28"/>
          <w:szCs w:val="28"/>
        </w:rPr>
      </w:pPr>
      <w:bookmarkStart w:id="42" w:name="_Toc76494396"/>
      <w:bookmarkStart w:id="43" w:name="_Toc78205787"/>
      <w:r w:rsidRPr="00A96563">
        <w:rPr>
          <w:rFonts w:asciiTheme="majorHAnsi" w:hAnsiTheme="majorHAnsi" w:cstheme="majorHAnsi"/>
          <w:sz w:val="28"/>
          <w:szCs w:val="28"/>
        </w:rPr>
        <w:lastRenderedPageBreak/>
        <w:t xml:space="preserve">Relationship between </w:t>
      </w:r>
      <w:r w:rsidR="00CB2CDC">
        <w:rPr>
          <w:rFonts w:asciiTheme="majorHAnsi" w:hAnsiTheme="majorHAnsi" w:cstheme="majorHAnsi"/>
          <w:sz w:val="28"/>
          <w:szCs w:val="28"/>
        </w:rPr>
        <w:t>total debt to total assets ratio</w:t>
      </w:r>
      <w:r w:rsidRPr="00A96563">
        <w:rPr>
          <w:rFonts w:asciiTheme="majorHAnsi" w:hAnsiTheme="majorHAnsi" w:cstheme="majorHAnsi"/>
          <w:sz w:val="28"/>
          <w:szCs w:val="28"/>
        </w:rPr>
        <w:t xml:space="preserve"> and return on assets.</w:t>
      </w:r>
      <w:bookmarkEnd w:id="42"/>
      <w:bookmarkEnd w:id="43"/>
    </w:p>
    <w:p w14:paraId="7E0545E4" w14:textId="65FD411A" w:rsidR="00F97F38" w:rsidRPr="0022305D" w:rsidRDefault="00F97F38" w:rsidP="00F97F38">
      <w:pPr>
        <w:pStyle w:val="Default"/>
        <w:spacing w:line="480" w:lineRule="auto"/>
        <w:ind w:firstLine="720"/>
        <w:rPr>
          <w:rFonts w:asciiTheme="majorHAnsi" w:eastAsiaTheme="minorHAnsi" w:hAnsiTheme="majorHAnsi" w:cstheme="majorHAnsi"/>
        </w:rPr>
      </w:pPr>
      <w:r w:rsidRPr="0022305D">
        <w:rPr>
          <w:rFonts w:asciiTheme="majorHAnsi" w:hAnsiTheme="majorHAnsi" w:cstheme="majorHAnsi"/>
          <w:bCs/>
          <w:iCs/>
          <w:color w:val="auto"/>
        </w:rPr>
        <w:t xml:space="preserve">Return on assets measures the extent to which the resources of the company are able to generate profits and net income under a certain level of assets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{"citationItems":[{"id":"ITEM-1","itemData":{"ISSN":"21464138","abstract":"This study aimed to analyze the effect of leverage and the size of a company to its profitability. Data were obtained from the financial statements of 100 qualified manufacturing companies listed in Indonesia Stock Exchange in the period of 2009-2014. Leverage was measured by debt ratio, while firm size was measured by total assets and total sales, and profitability by return on assets. Panel data regression analysis was implemented to analyze the influence of independent variables to the dependent variable. The most suitable panel data regression model in this study was a fixed effect model. The study found that the debt ratio had a significant positive effect on profitability while total assets had a significant negative impact. In contrast, total sales had statistically insignificant effect to the profitability of the companies.","author":[{"dropping-particle":"","family":"Kartikasari","given":"Dwi","non-dropping-particle":"","parse-names":false,"suffix":""},{"dropping-particle":"","family":"Merianti","given":"Marisa","non-dropping-particle":"","parse-names":false,"suffix":""}],"container-title":"International Journal of Economics and Financial Issues","id":"ITEM-1","issue":"2","issued":{"date-parts":[["2016"]]},"page":"409-413","title":"The effect of leverage and firm size to profitability of public manufacturing companies in Indonesia","type":"article-journal","volume":"6"},"uris":["http://www.mendeley.com/documents/?uuid=6525fe3a-5d72-4480-abed-e490e1e4a97b"]}],"mendeley":{"formattedCitation":"(Kartikasari &amp; Merianti, 2016)","plainTextFormattedCitation":"(Kartikasari &amp; Merianti, 2016)","previouslyFormattedCitation":"(Kartikasari &amp; Merianti, 2016)"},"properties":{"noteIndex":0},"schema":"https://github.com/citation-style-language/schema/raw/master/csl-citation.json"}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(Kartikasari &amp; Merianti, 2016)</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{"citationItems":[{"id":"ITEM-1","itemData":{"author":[{"dropping-particle":"","family":"Rehman","given":"Ur Mobeen","non-dropping-particle":"","parse-names":false,"suffix":""},{"dropping-particle":"","family":"Khidmat","given":"Bin Waqas","non-dropping-particle":"","parse-names":false,"suffix":""}],"container-title":"Economics management Innovation","id":"ITEM-1","issue":"3, 2014","issued":{"date-parts":[["2014"]]},"title":"Impact of liquidity and sollvency on profitability chemical sector of Pakistan","type":"article-journal","volume":"6"},"uris":["http://www.mendeley.com/documents/?uuid=9a13e207-7889-458e-9e79-654e00d96aaa"]}],"mendeley":{"formattedCitation":"(U. M. Rehman &amp; Khidmat, 2014)","manualFormatting":"Rehman and Khidmat (2014)","plainTextFormattedCitation":"(U. M. Rehman &amp; Khidmat, 2014)","previouslyFormattedCitation":"(U. M. Rehman &amp; Khidmat, 2014)"},"properties":{"noteIndex":0},"schema":"https://github.com/citation-style-language/schema/raw/master/csl-citation.json"}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Rehman and Khidmat (2014)</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argued that return on assets is measured as the ratio of profits generated to the total assets under the responsibility of </w:t>
      </w:r>
      <w:r w:rsidRPr="0022305D">
        <w:rPr>
          <w:rFonts w:asciiTheme="majorHAnsi" w:hAnsiTheme="majorHAnsi" w:cstheme="majorHAnsi"/>
          <w:bCs/>
          <w:iCs/>
          <w:color w:val="000000" w:themeColor="text1"/>
        </w:rPr>
        <w:t xml:space="preserve">management. </w:t>
      </w:r>
      <w:r w:rsidR="00CB2CDC">
        <w:rPr>
          <w:rFonts w:asciiTheme="majorHAnsi" w:hAnsiTheme="majorHAnsi" w:cstheme="majorHAnsi"/>
          <w:bCs/>
          <w:iCs/>
          <w:color w:val="000000" w:themeColor="text1"/>
        </w:rPr>
        <w:t>Total debt to total assets ratio</w:t>
      </w:r>
      <w:r w:rsidRPr="0022305D">
        <w:rPr>
          <w:rFonts w:asciiTheme="majorHAnsi" w:hAnsiTheme="majorHAnsi" w:cstheme="majorHAnsi"/>
          <w:bCs/>
          <w:iCs/>
          <w:color w:val="000000" w:themeColor="text1"/>
        </w:rPr>
        <w:t>,</w:t>
      </w:r>
      <w:r w:rsidRPr="0022305D">
        <w:rPr>
          <w:rFonts w:asciiTheme="majorHAnsi" w:eastAsiaTheme="minorHAnsi" w:hAnsiTheme="majorHAnsi" w:cstheme="majorHAnsi"/>
          <w:color w:val="auto"/>
        </w:rPr>
        <w:t xml:space="preserve"> which is calculated by dividing total liabilities (long-term and short-term liabilities) by total assets, indicates what proportion of debt a company is using to finance its assets </w:t>
      </w:r>
      <w:r w:rsidRPr="0022305D">
        <w:rPr>
          <w:rFonts w:asciiTheme="majorHAnsi" w:eastAsiaTheme="minorHAnsi" w:hAnsiTheme="majorHAnsi" w:cstheme="majorHAnsi"/>
          <w:color w:val="auto"/>
        </w:rPr>
        <w:fldChar w:fldCharType="begin" w:fldLock="1"/>
      </w:r>
      <w:r w:rsidRPr="0022305D">
        <w:rPr>
          <w:rFonts w:asciiTheme="majorHAnsi" w:eastAsiaTheme="minorHAnsi" w:hAnsiTheme="majorHAnsi" w:cstheme="majorHAnsi"/>
          <w:color w:val="auto"/>
        </w:rPr>
        <w:instrText>ADDIN CSL_CITATION {"citationItems":[{"id":"ITEM-1","itemData":{"DOI":"10.7441/joc.2017.03.07","ISSN":"1804171X","abstract":"The paper aims to provide up-to-date empirical evidence of relationship between the key indicators of business competitiveness: leverage and corporate performance. The study is based on corporate financial data of selected companies from the Czech Republic within 14 major business sectors according to CZ-NACE which companies published for the year 2014. The results of this study show that leverage (debt ratio) has a substantially negative effect on corporate performance when the return on equity (ROE) is used as an indicator of corporate performance in the Czech Republic over the period covered by the study. The results of the regression analysis confirmed negative relationship between the company profitability and the use of debt in majority of business sectors (Agriculture, fishery, and forestry; Construction, Wholesale and retail trade, repair of motor vehicles and motorcycles; Professional, scientific and technical activities; Administrative and support service activities). The opposite relationship was found in one business sector only (Mining and quarrying) where positive relationship between the company profitability and leverage was confirmed. Among other things, the results of this study confirm that corporate leverage varies across industries.","author":[{"dropping-particle":"","family":"Stryckova","given":"Lenka","non-dropping-particle":"","parse-names":false,"suffix":""}],"container-title":"Journal of Competitiveness","id":"ITEM-1","issue":"3","issued":{"date-parts":[["2017"]]},"page":"98-110","title":"The relationship between company returns and leverage depending on the business sector: Empirical evidence from the Czech republic","type":"article-journal","volume":"9"},"uris":["http://www.mendeley.com/documents/?uuid=e7a7c6fc-06b5-43e5-8bf2-3b26115733de"]}],"mendeley":{"formattedCitation":"(Stryckova, 2017)","plainTextFormattedCitation":"(Stryckova, 2017)","previouslyFormattedCitation":"(Stryckova, 2017)"},"properties":{"noteIndex":0},"schema":"https://github.com/citation-style-language/schema/raw/master/csl-citation.json"}</w:instrText>
      </w:r>
      <w:r w:rsidRPr="0022305D">
        <w:rPr>
          <w:rFonts w:asciiTheme="majorHAnsi" w:eastAsiaTheme="minorHAnsi" w:hAnsiTheme="majorHAnsi" w:cstheme="majorHAnsi"/>
          <w:color w:val="auto"/>
        </w:rPr>
        <w:fldChar w:fldCharType="separate"/>
      </w:r>
      <w:r w:rsidRPr="0022305D">
        <w:rPr>
          <w:rFonts w:asciiTheme="majorHAnsi" w:eastAsiaTheme="minorHAnsi" w:hAnsiTheme="majorHAnsi" w:cstheme="majorHAnsi"/>
          <w:noProof/>
          <w:color w:val="auto"/>
        </w:rPr>
        <w:t>(Stryckova, 2017)</w:t>
      </w:r>
      <w:r w:rsidRPr="0022305D">
        <w:rPr>
          <w:rFonts w:asciiTheme="majorHAnsi" w:eastAsiaTheme="minorHAnsi" w:hAnsiTheme="majorHAnsi" w:cstheme="majorHAnsi"/>
          <w:color w:val="auto"/>
        </w:rPr>
        <w:fldChar w:fldCharType="end"/>
      </w:r>
      <w:r w:rsidRPr="0022305D">
        <w:rPr>
          <w:rFonts w:asciiTheme="majorHAnsi" w:eastAsiaTheme="minorHAnsi" w:hAnsiTheme="majorHAnsi" w:cstheme="majorHAnsi"/>
          <w:color w:val="auto"/>
        </w:rPr>
        <w:t>.</w:t>
      </w:r>
    </w:p>
    <w:p w14:paraId="2B572601" w14:textId="16BDA49B" w:rsidR="00F97F38" w:rsidRPr="0022305D" w:rsidRDefault="00F97F38" w:rsidP="00F97F38">
      <w:pPr>
        <w:pStyle w:val="Default"/>
        <w:spacing w:line="480" w:lineRule="auto"/>
        <w:ind w:firstLine="720"/>
        <w:rPr>
          <w:rFonts w:asciiTheme="majorHAnsi" w:hAnsiTheme="majorHAnsi" w:cstheme="majorHAnsi"/>
          <w:bCs/>
          <w:iCs/>
          <w:color w:val="auto"/>
        </w:rPr>
      </w:pPr>
      <w:r w:rsidRPr="0022305D">
        <w:rPr>
          <w:rFonts w:asciiTheme="majorHAnsi" w:hAnsiTheme="majorHAnsi" w:cstheme="majorHAnsi"/>
          <w:bCs/>
          <w:iCs/>
          <w:color w:val="000000" w:themeColor="text1"/>
        </w:rPr>
        <w:fldChar w:fldCharType="begin" w:fldLock="1"/>
      </w:r>
      <w:r w:rsidR="007D6327">
        <w:rPr>
          <w:rFonts w:asciiTheme="majorHAnsi" w:hAnsiTheme="majorHAnsi" w:cstheme="majorHAnsi"/>
          <w:bCs/>
          <w:iCs/>
          <w:color w:val="000000" w:themeColor="text1"/>
        </w:rPr>
        <w:instrText>ADDIN CSL_CITATION {"citationItems":[{"id":"ITEM-1","itemData":{"author":[{"dropping-particle":"","family":"Innocent","given":"Chinedu","non-dropping-particle":"","parse-names":false,"suffix":""},{"dropping-particle":"","family":"Ikechukwu","given":"Charles","non-dropping-particle":"","parse-names":false,"suffix":""},{"dropping-particle":"","family":"Nnagbogu","given":"Eziedo Kenneth","non-dropping-particle":"","parse-names":false,"suffix":""}],"container-title":"Journal of Accountancy and Finance","id":"ITEM-1","issue":"3","issued":{"date-parts":[["2014"]]},"page":"17-25","title":"The Effect of financial leverage on financial performance : Evidence of quoted pharmaceutical companies in Nigeria .","type":"article-journal","volume":"5"},"uris":["http://www.mendeley.com/documents/?uuid=2e07b9f1-7c27-4498-90f5-ad137603457c"]}],"mendeley":{"formattedCitation":"(Innocent, Ikechukwu, &amp; Nnagbogu, 2014)","manualFormatting":"Innocent, Ikechukwu, and Nnagbogu (2014)","plainTextFormattedCitation":"(Innocent, Ikechukwu, &amp; Nnagbogu, 2014)","previouslyFormattedCitation":"(Innocent, Ikechukwu, &amp; Nnagbogu, 2014)"},"properties":{"noteIndex":0},"schema":"https://github.com/citation-style-language/schema/raw/master/csl-citation.json"}</w:instrText>
      </w:r>
      <w:r w:rsidRPr="0022305D">
        <w:rPr>
          <w:rFonts w:asciiTheme="majorHAnsi" w:hAnsiTheme="majorHAnsi" w:cstheme="majorHAnsi"/>
          <w:bCs/>
          <w:iCs/>
          <w:color w:val="000000" w:themeColor="text1"/>
        </w:rPr>
        <w:fldChar w:fldCharType="separate"/>
      </w:r>
      <w:r w:rsidRPr="0022305D">
        <w:rPr>
          <w:rFonts w:asciiTheme="majorHAnsi" w:hAnsiTheme="majorHAnsi" w:cstheme="majorHAnsi"/>
          <w:bCs/>
          <w:iCs/>
          <w:noProof/>
          <w:color w:val="000000" w:themeColor="text1"/>
        </w:rPr>
        <w:t>Innocent, Ikechukwu, and Nnagbogu (2014)</w:t>
      </w:r>
      <w:r w:rsidRPr="0022305D">
        <w:rPr>
          <w:rFonts w:asciiTheme="majorHAnsi" w:hAnsiTheme="majorHAnsi" w:cstheme="majorHAnsi"/>
          <w:bCs/>
          <w:iCs/>
          <w:color w:val="000000" w:themeColor="text1"/>
        </w:rPr>
        <w:fldChar w:fldCharType="end"/>
      </w:r>
      <w:r w:rsidRPr="0022305D">
        <w:rPr>
          <w:rFonts w:asciiTheme="majorHAnsi" w:hAnsiTheme="majorHAnsi" w:cstheme="majorHAnsi"/>
          <w:bCs/>
          <w:iCs/>
          <w:color w:val="000000" w:themeColor="text1"/>
        </w:rPr>
        <w:t xml:space="preserve"> examined the effect of financial leverage on financial performance: evidence of quoted pharmaceutical companies in Nigeria</w:t>
      </w:r>
      <w:r w:rsidRPr="0022305D">
        <w:rPr>
          <w:rFonts w:asciiTheme="majorHAnsi" w:hAnsiTheme="majorHAnsi" w:cstheme="majorHAnsi"/>
          <w:bCs/>
          <w:iCs/>
          <w:color w:val="auto"/>
        </w:rPr>
        <w:t xml:space="preserve">. Leverage and profitability were measured in terms of </w:t>
      </w:r>
      <w:r w:rsidR="00CB2CDC">
        <w:rPr>
          <w:rFonts w:asciiTheme="majorHAnsi" w:hAnsiTheme="majorHAnsi" w:cstheme="majorHAnsi"/>
          <w:bCs/>
          <w:iCs/>
          <w:color w:val="auto"/>
        </w:rPr>
        <w:t>total debt to total assets ratio</w:t>
      </w:r>
      <w:r w:rsidRPr="0022305D">
        <w:rPr>
          <w:rFonts w:asciiTheme="majorHAnsi" w:hAnsiTheme="majorHAnsi" w:cstheme="majorHAnsi"/>
          <w:bCs/>
          <w:iCs/>
          <w:color w:val="auto"/>
        </w:rPr>
        <w:t xml:space="preserve"> and return on assets respectively. The population of the study consisted of three (3) selected Nigeria pharmaceutical companies and the data was collected for the period of twelve years (2001-2012). Descriptive statistics, Pearson correlation and regressions were employed and used for this study. The results of the analysis showed that </w:t>
      </w:r>
      <w:r w:rsidR="00CB2CDC">
        <w:rPr>
          <w:rFonts w:asciiTheme="majorHAnsi" w:hAnsiTheme="majorHAnsi" w:cstheme="majorHAnsi"/>
          <w:bCs/>
          <w:iCs/>
          <w:color w:val="auto"/>
        </w:rPr>
        <w:t>total debt to total assets ratio</w:t>
      </w:r>
      <w:r w:rsidRPr="0022305D">
        <w:rPr>
          <w:rFonts w:asciiTheme="majorHAnsi" w:hAnsiTheme="majorHAnsi" w:cstheme="majorHAnsi"/>
          <w:bCs/>
          <w:iCs/>
          <w:color w:val="auto"/>
        </w:rPr>
        <w:t xml:space="preserve"> has negative relationship with return on assets. The study by </w:t>
      </w:r>
      <w:r w:rsidRPr="0022305D">
        <w:rPr>
          <w:rFonts w:asciiTheme="majorHAnsi" w:hAnsiTheme="majorHAnsi" w:cstheme="majorHAnsi"/>
          <w:bCs/>
          <w:iCs/>
          <w:color w:val="auto"/>
        </w:rPr>
        <w:fldChar w:fldCharType="begin" w:fldLock="1"/>
      </w:r>
      <w:r w:rsidR="007D6327">
        <w:rPr>
          <w:rFonts w:asciiTheme="majorHAnsi" w:hAnsiTheme="majorHAnsi" w:cstheme="majorHAnsi"/>
          <w:bCs/>
          <w:iCs/>
          <w:color w:val="auto"/>
        </w:rPr>
        <w:instrText>ADDIN CSL_CITATION {"citationItems":[{"id":"ITEM-1","itemData":{"author":[{"dropping-particle":"","family":"Innocent","given":"Chinedu","non-dropping-particle":"","parse-names":false,"suffix":""},{"dropping-particle":"","family":"Ikechukwu","given":"Charles","non-dropping-particle":"","parse-names":false,"suffix":""},{"dropping-particle":"","family":"Nnagbogu","given":"Eziedo Kenneth","non-dropping-particle":"","parse-names":false,"suffix":""}],"container-title":"Journal of Accountancy and Finance","id":"ITEM-1","issue":"3","issued":{"date-parts":[["2014"]]},"page":"17-25","title":"The Effect of financial leverage on financial performance : Evidence of quoted pharmaceutical companies in Nigeria .","type":"article-journal","volume":"5"},"uris":["http://www.mendeley.com/documents/?uuid=2e07b9f1-7c27-4498-90f5-ad137603457c"]}],"mendeley":{"formattedCitation":"(Innocent et al., 2014)","manualFormatting":"Innocent et al., (2014)","plainTextFormattedCitation":"(Innocent et al., 2014)","previouslyFormattedCitation":"(Innocent et al., 2014)"},"properties":{"noteIndex":0},"schema":"https://github.com/citation-style-language/schema/raw/master/csl-citation.json"}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Innocent et al., (2014)</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is different from the current study because target population consist of  three pharmaceutical companies in Nigeria while the researcher here focused on 43 commercial banks in Kenya. </w:t>
      </w:r>
    </w:p>
    <w:p w14:paraId="4959B6AD" w14:textId="02700070" w:rsidR="00F97F38" w:rsidRPr="0022305D" w:rsidRDefault="00F97F38" w:rsidP="00F97F38">
      <w:pPr>
        <w:pStyle w:val="Default"/>
        <w:spacing w:line="480" w:lineRule="auto"/>
        <w:ind w:firstLine="720"/>
        <w:rPr>
          <w:rFonts w:asciiTheme="majorHAnsi" w:hAnsiTheme="majorHAnsi" w:cstheme="majorHAnsi"/>
          <w:bCs/>
          <w:iCs/>
          <w:color w:val="auto"/>
        </w:rPr>
      </w:pP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{"citationItems":[{"id":"ITEM-1","itemData":{"DOI":"10.18488/journal.aefr.2018.85.586.598","ISSN":"22226737","abstract":"Purpose of this study was to examine the relationship between capital structure and financial performance of listed licensed commercial banks in Sri Lanka. Panel data were used to conduct the empirical study which were extracted from the annual reports of 10 selected banks for the period from 2007 to 2016. Total debt to total assets ratio, long term debt to total assets ratio, and short term debt to total assets ratio were used to measure the capital structure. Return on assets (ROA), return on equity (ROE) were used as financial performance measures. Size of the banks and growth in banks deposit were considered as control variables. Descriptive statistics, correlations, fixed effect and random effect models were used for the data analysis and then with the results of Hausman Specification Test, fixed effect model was considered as the most suitable model to examine the relationship between capital structure and ROA. According to the model, total debt to total assets ratio was significantly negatively related to ROA, however growth in banks deposit was significantly and positively related to ROA. Size, short term debt to total assets ratio and long term debt to total assets ratio did not show any relationship with ROA. Random effect model was considered as the most suitable model to examine the relationship between capital structure and ROE. As per the model, total debt to total assets ratio was significantly negatively related to ROE, while growth in bank deposit was significantly and positively related to ROE. Short term debt to total assets ratio, long term debt to total assets ratio and size were not significantly related to ROE. Results of the study suggest that financial managers should try to finance from internal sources rather than relying heavily on debt capital in their capital structure. Outcome of the study may useful to the practitioners, investors and decision makers in order to maximize their return from their investments.","author":[{"dropping-particle":"","family":"Sivalingam","given":"Logavathani","non-dropping-particle":"","parse-names":false,"suffix":""},{"dropping-particle":"","family":"Kengatharan","given":"Lingesiya","non-dropping-particle":"","parse-names":false,"suffix":""}],"container-title":"Asian Economic and Financial Review","id":"ITEM-1","issue":"5","issued":{"date-parts":[["2018"]]},"page":"586-598","title":"Capital structure and financial performance: A study on commercial banks in Sri Lanka","type":"article-journal","volume":"8"},"uris":["http://www.mendeley.com/documents/?uuid=fa3e182a-cb48-489f-9eba-3f5eae80c843"]}],"mendeley":{"formattedCitation":"(Sivalingam &amp; Kengatharan, 2018)","manualFormatting":"Sivalingam and Kengatharan, (2018)","plainTextFormattedCitation":"(Sivalingam &amp; Kengatharan, 2018)","previouslyFormattedCitation":"(Sivalingam &amp; Kengatharan, 2018)"},"properties":{"noteIndex":0},"schema":"https://github.com/citation-style-language/schema/raw/master/csl-citation.json"}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Sivalingam and Kengatharan, (2018)</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conducted a study to examine the relationship between capital structure and performance of commercial banks in Sri Lanka. </w:t>
      </w:r>
      <w:r w:rsidR="00CB2CDC">
        <w:rPr>
          <w:rFonts w:asciiTheme="majorHAnsi" w:hAnsiTheme="majorHAnsi" w:cstheme="majorHAnsi"/>
          <w:bCs/>
          <w:iCs/>
          <w:color w:val="auto"/>
        </w:rPr>
        <w:t>Total debt to total assets ratio</w:t>
      </w:r>
      <w:r w:rsidRPr="0022305D">
        <w:rPr>
          <w:rFonts w:asciiTheme="majorHAnsi" w:hAnsiTheme="majorHAnsi" w:cstheme="majorHAnsi"/>
          <w:bCs/>
          <w:iCs/>
          <w:color w:val="auto"/>
        </w:rPr>
        <w:t xml:space="preserve">, long term debt to total assets ratio and short-term </w:t>
      </w:r>
      <w:r w:rsidRPr="0022305D">
        <w:rPr>
          <w:rFonts w:asciiTheme="majorHAnsi" w:hAnsiTheme="majorHAnsi" w:cstheme="majorHAnsi"/>
          <w:bCs/>
          <w:iCs/>
          <w:color w:val="auto"/>
        </w:rPr>
        <w:lastRenderedPageBreak/>
        <w:t xml:space="preserve">debt to total assets ratio were used to measure the capital structure; while return on assets and return on equity were used to measure financial performance; and the size of the banks and growth in banks deposit were considered as control variables. Data was extracted from the annual reports of 10 selected commercial banks for the period of 10 years (from 2007 to 2016). Descriptive statistics, correlations, fixed effect and random effect models were used for the data. The findings of their study showed that </w:t>
      </w:r>
      <w:r w:rsidR="00CB2CDC">
        <w:rPr>
          <w:rFonts w:asciiTheme="majorHAnsi" w:hAnsiTheme="majorHAnsi" w:cstheme="majorHAnsi"/>
          <w:bCs/>
          <w:iCs/>
          <w:color w:val="auto"/>
        </w:rPr>
        <w:t>total debt to total assets ratio</w:t>
      </w:r>
      <w:r w:rsidRPr="0022305D">
        <w:rPr>
          <w:rFonts w:asciiTheme="majorHAnsi" w:hAnsiTheme="majorHAnsi" w:cstheme="majorHAnsi"/>
          <w:bCs/>
          <w:iCs/>
          <w:color w:val="auto"/>
        </w:rPr>
        <w:t xml:space="preserve"> has a significant negative relationship with return on assets.</w:t>
      </w:r>
    </w:p>
    <w:p w14:paraId="11C1DB2D" w14:textId="04889150" w:rsidR="00F97F38" w:rsidRPr="0022305D" w:rsidRDefault="00F97F38" w:rsidP="00F97F38">
      <w:pPr>
        <w:pStyle w:val="Default"/>
        <w:spacing w:line="480" w:lineRule="auto"/>
        <w:ind w:firstLine="720"/>
        <w:rPr>
          <w:rFonts w:asciiTheme="majorHAnsi" w:hAnsiTheme="majorHAnsi" w:cstheme="majorHAnsi"/>
          <w:b/>
          <w:iCs/>
          <w:color w:val="auto"/>
        </w:rPr>
      </w:pPr>
      <w:r w:rsidRPr="0022305D">
        <w:rPr>
          <w:rFonts w:asciiTheme="majorHAnsi" w:hAnsiTheme="majorHAnsi" w:cstheme="majorHAnsi"/>
          <w:b/>
          <w:iCs/>
          <w:color w:val="auto"/>
        </w:rPr>
        <w:fldChar w:fldCharType="begin" w:fldLock="1"/>
      </w:r>
      <w:r w:rsidRPr="0022305D">
        <w:rPr>
          <w:rFonts w:asciiTheme="majorHAnsi" w:hAnsiTheme="majorHAnsi" w:cstheme="majorHAnsi"/>
          <w:b/>
          <w:iCs/>
          <w:color w:val="auto"/>
        </w:rPr>
        <w:instrText>ADDIN CSL_CITATION {"citationItems":[{"id":"ITEM-1","itemData":{"DOI":"10.1177/2278682118823312","ISSN":"2278-6821","abstract":"One of the most perplexing issues faced by finance managers is to know about the effect of capital structure on the profitability of firm. Many studies have been carried out to examine the effect of capital structure on the profitability of firms, but most of them belong to other parts of the world, and only few studies have been conducted in India. Thus, the present study has been undertaken to evaluate the effect of capital structure on the profitability of Nifty 50 companies listed on National Stock Exchange of India from 2008 – 2017. The data has been analyzed by using descriptive statistics, correlation and multiple panel data regression models. Four different regression models have been used to study the relationship between capital structure and profitability. In these models, we study the individual effect of total debt and total equity ratios on profitability, that is, ROA and ROE. All four models have been tested with pooled OLS, fixed effects, and random effects. We conclude that there is significant positive impact of capital structure on firm’s profitability.","author":[{"dropping-particle":"","family":"Singh","given":"Narinder Pal","non-dropping-particle":"","parse-names":false,"suffix":""},{"dropping-particle":"","family":"Bagga","given":"Mahima","non-dropping-particle":"","parse-names":false,"suffix":""}],"container-title":"Jindal Journal of Business Research","id":"ITEM-1","issue":"1","issued":{"date-parts":[["2019"]]},"page":"65-77","title":"The Effect of Capital Structure on Profitability: An Empirical Panel Data Study","type":"article-journal","volume":"8"},"uris":["http://www.mendeley.com/documents/?uuid=cfc3e405-8e9e-4cf4-aad3-ab93f0a8f709"]}],"mendeley":{"formattedCitation":"(Singh &amp; Bagga, 2019)","manualFormatting":"Singh and Bagga (2019)","plainTextFormattedCitation":"(Singh &amp; Bagga, 2019)","previouslyFormattedCitation":"(Singh &amp; Bagga, 2019)"},"properties":{"noteIndex":0},"schema":"https://github.com/citation-style-language/schema/raw/master/csl-citation.json"}</w:instrText>
      </w:r>
      <w:r w:rsidRPr="0022305D">
        <w:rPr>
          <w:rFonts w:asciiTheme="majorHAnsi" w:hAnsiTheme="majorHAnsi" w:cstheme="majorHAnsi"/>
          <w:b/>
          <w:iCs/>
          <w:color w:val="auto"/>
        </w:rPr>
        <w:fldChar w:fldCharType="separate"/>
      </w:r>
      <w:r w:rsidRPr="0022305D">
        <w:rPr>
          <w:rFonts w:asciiTheme="majorHAnsi" w:hAnsiTheme="majorHAnsi" w:cstheme="majorHAnsi"/>
          <w:iCs/>
          <w:noProof/>
          <w:color w:val="auto"/>
        </w:rPr>
        <w:t>Singh and Bagga (2019)</w:t>
      </w:r>
      <w:r w:rsidRPr="0022305D">
        <w:rPr>
          <w:rFonts w:asciiTheme="majorHAnsi" w:hAnsiTheme="majorHAnsi" w:cstheme="majorHAnsi"/>
          <w:b/>
          <w:iCs/>
          <w:color w:val="auto"/>
        </w:rPr>
        <w:fldChar w:fldCharType="end"/>
      </w:r>
      <w:r w:rsidRPr="0022305D">
        <w:rPr>
          <w:rFonts w:asciiTheme="majorHAnsi" w:hAnsiTheme="majorHAnsi" w:cstheme="majorHAnsi"/>
          <w:b/>
          <w:iCs/>
          <w:color w:val="auto"/>
        </w:rPr>
        <w:t xml:space="preserve"> </w:t>
      </w:r>
      <w:r w:rsidRPr="0022305D">
        <w:rPr>
          <w:rFonts w:asciiTheme="majorHAnsi" w:hAnsiTheme="majorHAnsi" w:cstheme="majorHAnsi"/>
          <w:bCs/>
          <w:iCs/>
          <w:color w:val="auto"/>
        </w:rPr>
        <w:t xml:space="preserve">examined the effect of capital structure on the profitability of firms in India. Census of </w:t>
      </w:r>
      <w:bookmarkStart w:id="44" w:name="_Hlk68808456"/>
      <w:r w:rsidRPr="0022305D">
        <w:rPr>
          <w:rFonts w:asciiTheme="majorHAnsi" w:hAnsiTheme="majorHAnsi" w:cstheme="majorHAnsi"/>
          <w:bCs/>
          <w:iCs/>
          <w:color w:val="auto"/>
        </w:rPr>
        <w:t>50 companies listed on National Stock Exchange of India</w:t>
      </w:r>
      <w:bookmarkEnd w:id="44"/>
      <w:r w:rsidRPr="0022305D">
        <w:rPr>
          <w:rFonts w:asciiTheme="majorHAnsi" w:hAnsiTheme="majorHAnsi" w:cstheme="majorHAnsi"/>
          <w:bCs/>
          <w:iCs/>
          <w:color w:val="auto"/>
        </w:rPr>
        <w:t xml:space="preserve"> for a period of ten years (2008 – 2017). Capital structure was measured by </w:t>
      </w:r>
      <w:r w:rsidR="00CB2CDC">
        <w:rPr>
          <w:rFonts w:asciiTheme="majorHAnsi" w:hAnsiTheme="majorHAnsi" w:cstheme="majorHAnsi"/>
          <w:bCs/>
          <w:iCs/>
          <w:color w:val="auto"/>
        </w:rPr>
        <w:t>total debt to total assets ratio</w:t>
      </w:r>
      <w:r w:rsidRPr="0022305D">
        <w:rPr>
          <w:rFonts w:asciiTheme="majorHAnsi" w:hAnsiTheme="majorHAnsi" w:cstheme="majorHAnsi"/>
          <w:bCs/>
          <w:iCs/>
          <w:color w:val="auto"/>
        </w:rPr>
        <w:t xml:space="preserve"> and </w:t>
      </w:r>
      <w:r w:rsidR="00BE06BC">
        <w:rPr>
          <w:rFonts w:asciiTheme="majorHAnsi" w:hAnsiTheme="majorHAnsi" w:cstheme="majorHAnsi"/>
          <w:bCs/>
          <w:iCs/>
          <w:color w:val="auto"/>
        </w:rPr>
        <w:t>total debt to equity</w:t>
      </w:r>
      <w:r w:rsidRPr="0022305D">
        <w:rPr>
          <w:rFonts w:asciiTheme="majorHAnsi" w:hAnsiTheme="majorHAnsi" w:cstheme="majorHAnsi"/>
          <w:bCs/>
          <w:iCs/>
          <w:color w:val="auto"/>
        </w:rPr>
        <w:t xml:space="preserve"> ratio while profitability was assessed in terms of return on assets and return on equity. The data was analyzed by using descriptive statistics, correlation and multiple panel data regression models. The findings of the study showed that </w:t>
      </w:r>
      <w:r w:rsidR="00CB2CDC">
        <w:rPr>
          <w:rFonts w:asciiTheme="majorHAnsi" w:hAnsiTheme="majorHAnsi" w:cstheme="majorHAnsi"/>
          <w:bCs/>
          <w:iCs/>
          <w:color w:val="auto"/>
        </w:rPr>
        <w:t>total debt to total assets ratio</w:t>
      </w:r>
      <w:r w:rsidRPr="0022305D">
        <w:rPr>
          <w:rFonts w:asciiTheme="majorHAnsi" w:hAnsiTheme="majorHAnsi" w:cstheme="majorHAnsi"/>
          <w:bCs/>
          <w:iCs/>
          <w:color w:val="auto"/>
        </w:rPr>
        <w:t xml:space="preserve"> has a significant and strong positive relationship with return on assets.</w:t>
      </w:r>
    </w:p>
    <w:p w14:paraId="5501F608" w14:textId="46E04950" w:rsidR="00F97F38" w:rsidRPr="0022305D" w:rsidRDefault="00F97F38" w:rsidP="00F97F38">
      <w:pPr>
        <w:pStyle w:val="Default"/>
        <w:spacing w:line="480" w:lineRule="auto"/>
        <w:ind w:firstLine="720"/>
        <w:rPr>
          <w:rFonts w:asciiTheme="majorHAnsi" w:hAnsiTheme="majorHAnsi" w:cstheme="majorHAnsi"/>
          <w:b/>
          <w:iCs/>
          <w:color w:val="auto"/>
        </w:rPr>
      </w:pPr>
      <w:r w:rsidRPr="0022305D">
        <w:rPr>
          <w:rFonts w:asciiTheme="majorHAnsi" w:hAnsiTheme="majorHAnsi" w:cstheme="majorHAnsi"/>
          <w:bCs/>
          <w:iCs/>
          <w:color w:val="auto"/>
        </w:rPr>
        <w:t>Unlike the studies shown which were conducted in different parts of the world including Nigeria</w:t>
      </w:r>
      <w:r w:rsidRPr="0022305D">
        <w:rPr>
          <w:rFonts w:asciiTheme="majorHAnsi" w:hAnsiTheme="majorHAnsi" w:cstheme="majorHAnsi"/>
          <w:b/>
          <w:iCs/>
          <w:color w:val="auto"/>
        </w:rPr>
        <w:t xml:space="preserve">, </w:t>
      </w:r>
      <w:r w:rsidRPr="0022305D">
        <w:rPr>
          <w:rFonts w:asciiTheme="majorHAnsi" w:hAnsiTheme="majorHAnsi" w:cstheme="majorHAnsi"/>
          <w:bCs/>
          <w:iCs/>
          <w:color w:val="auto"/>
        </w:rPr>
        <w:t xml:space="preserve">Sri Lanka and India; the current study was conducted in Kenya. The population of the study in the research by </w:t>
      </w:r>
      <w:r w:rsidRPr="0022305D">
        <w:rPr>
          <w:rFonts w:asciiTheme="majorHAnsi" w:hAnsiTheme="majorHAnsi" w:cstheme="majorHAnsi"/>
          <w:bCs/>
          <w:iCs/>
          <w:color w:val="000000" w:themeColor="text1"/>
        </w:rPr>
        <w:fldChar w:fldCharType="begin" w:fldLock="1"/>
      </w:r>
      <w:r w:rsidR="007D6327">
        <w:rPr>
          <w:rFonts w:asciiTheme="majorHAnsi" w:hAnsiTheme="majorHAnsi" w:cstheme="majorHAnsi"/>
          <w:bCs/>
          <w:iCs/>
          <w:color w:val="000000" w:themeColor="text1"/>
        </w:rPr>
        <w:instrText>ADDIN CSL_CITATION {"citationItems":[{"id":"ITEM-1","itemData":{"author":[{"dropping-particle":"","family":"Innocent","given":"Chinedu","non-dropping-particle":"","parse-names":false,"suffix":""},{"dropping-particle":"","family":"Ikechukwu","given":"Charles","non-dropping-particle":"","parse-names":false,"suffix":""},{"dropping-particle":"","family":"Nnagbogu","given":"Eziedo Kenneth","non-dropping-particle":"","parse-names":false,"suffix":""}],"container-title":"Journal of Accountancy and Finance","id":"ITEM-1","issue":"3","issued":{"date-parts":[["2014"]]},"page":"17-25","title":"The Effect of financial leverage on financial performance : Evidence of quoted pharmaceutical companies in Nigeria .","type":"article-journal","volume":"5"},"uris":["http://www.mendeley.com/documents/?uuid=2e07b9f1-7c27-4498-90f5-ad137603457c"]}],"mendeley":{"formattedCitation":"(Innocent et al., 2014)","manualFormatting":"Innocent, Ikechukwu, and Nnagbogu (2014)","plainTextFormattedCitation":"(Innocent et al., 2014)","previouslyFormattedCitation":"(Innocent et al., 2014)"},"properties":{"noteIndex":0},"schema":"https://github.com/citation-style-language/schema/raw/master/csl-citation.json"}</w:instrText>
      </w:r>
      <w:r w:rsidRPr="0022305D">
        <w:rPr>
          <w:rFonts w:asciiTheme="majorHAnsi" w:hAnsiTheme="majorHAnsi" w:cstheme="majorHAnsi"/>
          <w:bCs/>
          <w:iCs/>
          <w:color w:val="000000" w:themeColor="text1"/>
        </w:rPr>
        <w:fldChar w:fldCharType="separate"/>
      </w:r>
      <w:r w:rsidRPr="0022305D">
        <w:rPr>
          <w:rFonts w:asciiTheme="majorHAnsi" w:hAnsiTheme="majorHAnsi" w:cstheme="majorHAnsi"/>
          <w:bCs/>
          <w:iCs/>
          <w:noProof/>
          <w:color w:val="000000" w:themeColor="text1"/>
        </w:rPr>
        <w:t>Innocent, Ikechukwu, and Nnagbogu (2014)</w:t>
      </w:r>
      <w:r w:rsidRPr="0022305D">
        <w:rPr>
          <w:rFonts w:asciiTheme="majorHAnsi" w:hAnsiTheme="majorHAnsi" w:cstheme="majorHAnsi"/>
          <w:bCs/>
          <w:iCs/>
          <w:color w:val="000000" w:themeColor="text1"/>
        </w:rPr>
        <w:fldChar w:fldCharType="end"/>
      </w:r>
      <w:r w:rsidRPr="0022305D">
        <w:rPr>
          <w:rFonts w:asciiTheme="majorHAnsi" w:hAnsiTheme="majorHAnsi" w:cstheme="majorHAnsi"/>
          <w:bCs/>
          <w:iCs/>
          <w:color w:val="000000" w:themeColor="text1"/>
        </w:rPr>
        <w:t>;</w:t>
      </w:r>
      <w:r w:rsidRPr="0022305D">
        <w:rPr>
          <w:rFonts w:asciiTheme="majorHAnsi" w:hAnsiTheme="majorHAnsi" w:cstheme="majorHAnsi"/>
          <w:bCs/>
          <w:iCs/>
          <w:color w:val="auto"/>
        </w:rPr>
        <w:t xml:space="preserve">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{"citationItems":[{"id":"ITEM-1","itemData":{"DOI":"10.18488/journal.aefr.2018.85.586.598","ISSN":"22226737","abstract":"Purpose of this study was to examine the relationship between capital structure and financial performance of listed licensed commercial banks in Sri Lanka. Panel data were used to conduct the empirical study which were extracted from the annual reports of 10 selected banks for the period from 2007 to 2016. Total debt to total assets ratio, long term debt to total assets ratio, and short term debt to total assets ratio were used to measure the capital structure. Return on assets (ROA), return on equity (ROE) were used as financial performance measures. Size of the banks and growth in banks deposit were considered as control variables. Descriptive statistics, correlations, fixed effect and random effect models were used for the data analysis and then with the results of Hausman Specification Test, fixed effect model was considered as the most suitable model to examine the relationship between capital structure and ROA. According to the model, total debt to total assets ratio was significantly negatively related to ROA, however growth in banks deposit was significantly and positively related to ROA. Size, short term debt to total assets ratio and long term debt to total assets ratio did not show any relationship with ROA. Random effect model was considered as the most suitable model to examine the relationship between capital structure and ROE. As per the model, total debt to total assets ratio was significantly negatively related to ROE, while growth in bank deposit was significantly and positively related to ROE. Short term debt to total assets ratio, long term debt to total assets ratio and size were not significantly related to ROE. Results of the study suggest that financial managers should try to finance from internal sources rather than relying heavily on debt capital in their capital structure. Outcome of the study may useful to the practitioners, investors and decision makers in order to maximize their return from their investments.","author":[{"dropping-particle":"","family":"Sivalingam","given":"Logavathani","non-dropping-particle":"","parse-names":false,"suffix":""},{"dropping-particle":"","family":"Kengatharan","given":"Lingesiya","non-dropping-particle":"","parse-names":false,"suffix":""}],"container-title":"Asian Economic and Financial Review","id":"ITEM-1","issue":"5","issued":{"date-parts":[["2018"]]},"page":"586-598","title":"Capital structure and financial performance: A study on commercial banks in Sri Lanka","type":"article-journal","volume":"8"},"uris":["http://www.mendeley.com/documents/?uuid=fa3e182a-cb48-489f-9eba-3f5eae80c843"]}],"mendeley":{"formattedCitation":"(Sivalingam &amp; Kengatharan, 2018)","manualFormatting":"Sivalingam and Kengatharan (2018)","plainTextFormattedCitation":"(Sivalingam &amp; Kengatharan, 2018)","previouslyFormattedCitation":"(Sivalingam &amp; Kengatharan, 2018)"},"properties":{"noteIndex":0},"schema":"https://github.com/citation-style-language/schema/raw/master/csl-citation.json"}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Sivalingam and Kengatharan (2018)</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w:t>
      </w:r>
      <w:r w:rsidRPr="0022305D">
        <w:rPr>
          <w:rFonts w:asciiTheme="majorHAnsi" w:hAnsiTheme="majorHAnsi" w:cstheme="majorHAnsi"/>
          <w:b/>
          <w:iCs/>
          <w:color w:val="auto"/>
        </w:rPr>
        <w:fldChar w:fldCharType="begin" w:fldLock="1"/>
      </w:r>
      <w:r w:rsidRPr="0022305D">
        <w:rPr>
          <w:rFonts w:asciiTheme="majorHAnsi" w:hAnsiTheme="majorHAnsi" w:cstheme="majorHAnsi"/>
          <w:b/>
          <w:iCs/>
          <w:color w:val="auto"/>
        </w:rPr>
        <w:instrText>ADDIN CSL_CITATION {"citationItems":[{"id":"ITEM-1","itemData":{"DOI":"10.1177/2278682118823312","ISSN":"2278-6821","abstract":"One of the most perplexing issues faced by finance managers is to know about the effect of capital structure on the profitability of firm. Many studies have been carried out to examine the effect of capital structure on the profitability of firms, but most of them belong to other parts of the world, and only few studies have been conducted in India. Thus, the present study has been undertaken to evaluate the effect of capital structure on the profitability of Nifty 50 companies listed on National Stock Exchange of India from 2008 – 2017. The data has been analyzed by using descriptive statistics, correlation and multiple panel data regression models. Four different regression models have been used to study the relationship between capital structure and profitability. In these models, we study the individual effect of total debt and total equity ratios on profitability, that is, ROA and ROE. All four models have been tested with pooled OLS, fixed effects, and random effects. We conclude that there is significant positive impact of capital structure on firm’s profitability.","author":[{"dropping-particle":"","family":"Singh","given":"Narinder Pal","non-dropping-particle":"","parse-names":false,"suffix":""},{"dropping-particle":"","family":"Bagga","given":"Mahima","non-dropping-particle":"","parse-names":false,"suffix":""}],"container-title":"Jindal Journal of Business Research","id":"ITEM-1","issue":"1","issued":{"date-parts":[["2019"]]},"page":"65-77","title":"The Effect of Capital Structure on Profitability: An Empirical Panel Data Study","type":"article-journal","volume":"8"},"uris":["http://www.mendeley.com/documents/?uuid=cfc3e405-8e9e-4cf4-aad3-ab93f0a8f709"]}],"mendeley":{"formattedCitation":"(Singh &amp; Bagga, 2019)","manualFormatting":"Singh and Bagga (2019)","plainTextFormattedCitation":"(Singh &amp; Bagga, 2019)","previouslyFormattedCitation":"(Singh &amp; Bagga, 2019)"},"properties":{"noteIndex":0},"schema":"https://github.com/citation-style-language/schema/raw/master/csl-citation.json"}</w:instrText>
      </w:r>
      <w:r w:rsidRPr="0022305D">
        <w:rPr>
          <w:rFonts w:asciiTheme="majorHAnsi" w:hAnsiTheme="majorHAnsi" w:cstheme="majorHAnsi"/>
          <w:b/>
          <w:iCs/>
          <w:color w:val="auto"/>
        </w:rPr>
        <w:fldChar w:fldCharType="separate"/>
      </w:r>
      <w:r w:rsidRPr="0022305D">
        <w:rPr>
          <w:rFonts w:asciiTheme="majorHAnsi" w:hAnsiTheme="majorHAnsi" w:cstheme="majorHAnsi"/>
          <w:iCs/>
          <w:noProof/>
          <w:color w:val="auto"/>
        </w:rPr>
        <w:t>Singh and Bagga (2019)</w:t>
      </w:r>
      <w:r w:rsidRPr="0022305D">
        <w:rPr>
          <w:rFonts w:asciiTheme="majorHAnsi" w:hAnsiTheme="majorHAnsi" w:cstheme="majorHAnsi"/>
          <w:b/>
          <w:iCs/>
          <w:color w:val="auto"/>
        </w:rPr>
        <w:fldChar w:fldCharType="end"/>
      </w:r>
      <w:r w:rsidRPr="0022305D">
        <w:rPr>
          <w:rFonts w:asciiTheme="majorHAnsi" w:hAnsiTheme="majorHAnsi" w:cstheme="majorHAnsi"/>
          <w:b/>
          <w:iCs/>
          <w:color w:val="auto"/>
        </w:rPr>
        <w:t xml:space="preserve"> </w:t>
      </w:r>
      <w:r w:rsidRPr="0022305D">
        <w:rPr>
          <w:rFonts w:asciiTheme="majorHAnsi" w:hAnsiTheme="majorHAnsi" w:cstheme="majorHAnsi"/>
          <w:bCs/>
          <w:iCs/>
          <w:color w:val="auto"/>
        </w:rPr>
        <w:t>consisted of</w:t>
      </w:r>
      <w:r w:rsidRPr="0022305D">
        <w:rPr>
          <w:rFonts w:asciiTheme="majorHAnsi" w:hAnsiTheme="majorHAnsi" w:cstheme="majorHAnsi"/>
          <w:b/>
          <w:iCs/>
          <w:color w:val="auto"/>
        </w:rPr>
        <w:t xml:space="preserve"> </w:t>
      </w:r>
      <w:r w:rsidRPr="0022305D">
        <w:rPr>
          <w:rFonts w:asciiTheme="majorHAnsi" w:hAnsiTheme="majorHAnsi" w:cstheme="majorHAnsi"/>
          <w:bCs/>
          <w:iCs/>
          <w:color w:val="auto"/>
        </w:rPr>
        <w:t>three selected Nigeria pharmaceutical companies, ten selected commercial banks and fifty companies listed on National Stock Exchange of India respectively. On the contrary, the population of the current study was 43 commercial banks in Kenya</w:t>
      </w:r>
      <w:r w:rsidR="00DC5082">
        <w:rPr>
          <w:rFonts w:asciiTheme="majorHAnsi" w:hAnsiTheme="majorHAnsi" w:cstheme="majorHAnsi"/>
          <w:bCs/>
          <w:iCs/>
          <w:color w:val="auto"/>
        </w:rPr>
        <w:t>.</w:t>
      </w:r>
    </w:p>
    <w:p w14:paraId="73D5C27F" w14:textId="77777777" w:rsidR="002345E4" w:rsidRPr="00A96563" w:rsidRDefault="002345E4" w:rsidP="00193DC8">
      <w:pPr>
        <w:pStyle w:val="Default"/>
        <w:spacing w:line="480" w:lineRule="auto"/>
        <w:ind w:firstLine="720"/>
        <w:rPr>
          <w:rFonts w:asciiTheme="majorHAnsi" w:hAnsiTheme="majorHAnsi" w:cstheme="majorHAnsi"/>
          <w:b/>
          <w:iCs/>
          <w:color w:val="auto"/>
          <w:sz w:val="28"/>
          <w:szCs w:val="28"/>
        </w:rPr>
      </w:pPr>
    </w:p>
    <w:p w14:paraId="7F064EAE" w14:textId="1A00B3C7" w:rsidR="00F97F38" w:rsidRPr="00A96563" w:rsidRDefault="00F97F38" w:rsidP="004478B6">
      <w:pPr>
        <w:pStyle w:val="Heading2"/>
        <w:spacing w:line="480" w:lineRule="auto"/>
        <w:jc w:val="left"/>
        <w:rPr>
          <w:rFonts w:asciiTheme="majorHAnsi" w:hAnsiTheme="majorHAnsi" w:cstheme="majorHAnsi"/>
          <w:sz w:val="28"/>
          <w:szCs w:val="28"/>
        </w:rPr>
      </w:pPr>
      <w:bookmarkStart w:id="45" w:name="_Toc76494397"/>
      <w:bookmarkStart w:id="46" w:name="_Toc78205788"/>
      <w:r w:rsidRPr="00A96563">
        <w:rPr>
          <w:rFonts w:asciiTheme="majorHAnsi" w:hAnsiTheme="majorHAnsi" w:cstheme="majorHAnsi"/>
          <w:sz w:val="28"/>
          <w:szCs w:val="28"/>
        </w:rPr>
        <w:lastRenderedPageBreak/>
        <w:t xml:space="preserve">Relationship between </w:t>
      </w:r>
      <w:r w:rsidR="00CB2CDC">
        <w:rPr>
          <w:rFonts w:asciiTheme="majorHAnsi" w:hAnsiTheme="majorHAnsi" w:cstheme="majorHAnsi"/>
          <w:sz w:val="28"/>
          <w:szCs w:val="28"/>
        </w:rPr>
        <w:t>total debt to total assets ratio</w:t>
      </w:r>
      <w:r w:rsidRPr="00A96563">
        <w:rPr>
          <w:rFonts w:asciiTheme="majorHAnsi" w:hAnsiTheme="majorHAnsi" w:cstheme="majorHAnsi"/>
          <w:sz w:val="28"/>
          <w:szCs w:val="28"/>
        </w:rPr>
        <w:t xml:space="preserve"> and return on equity.</w:t>
      </w:r>
      <w:bookmarkEnd w:id="45"/>
      <w:bookmarkEnd w:id="46"/>
    </w:p>
    <w:p w14:paraId="30055B54" w14:textId="47829D26" w:rsidR="00F97F38" w:rsidRPr="0022305D" w:rsidRDefault="00F97F38" w:rsidP="00F97F38">
      <w:pPr>
        <w:pStyle w:val="Default"/>
        <w:spacing w:line="480" w:lineRule="auto"/>
        <w:rPr>
          <w:rFonts w:asciiTheme="majorHAnsi" w:hAnsiTheme="majorHAnsi" w:cstheme="majorHAnsi"/>
          <w:bCs/>
          <w:iCs/>
          <w:color w:val="auto"/>
        </w:rPr>
      </w:pPr>
      <w:r w:rsidRPr="0022305D">
        <w:rPr>
          <w:rFonts w:asciiTheme="majorHAnsi" w:hAnsiTheme="majorHAnsi" w:cstheme="majorHAnsi"/>
          <w:bCs/>
          <w:iCs/>
          <w:color w:val="auto"/>
        </w:rPr>
        <w:tab/>
      </w:r>
      <w:r w:rsidRPr="0022305D">
        <w:rPr>
          <w:rFonts w:asciiTheme="majorHAnsi" w:eastAsiaTheme="minorHAnsi" w:hAnsiTheme="majorHAnsi" w:cstheme="majorHAnsi"/>
          <w:color w:val="auto"/>
        </w:rPr>
        <w:t xml:space="preserve">Return on equity indicates how much profit the company generates for the owners based on their ownership claim and is calculated by dividing net income by total owner’s equity </w:t>
      </w:r>
      <w:r w:rsidRPr="0022305D">
        <w:rPr>
          <w:rFonts w:asciiTheme="majorHAnsi" w:eastAsiaTheme="minorHAnsi" w:hAnsiTheme="majorHAnsi" w:cstheme="majorHAnsi"/>
          <w:color w:val="auto"/>
        </w:rPr>
        <w:fldChar w:fldCharType="begin" w:fldLock="1"/>
      </w:r>
      <w:r w:rsidRPr="0022305D">
        <w:rPr>
          <w:rFonts w:asciiTheme="majorHAnsi" w:eastAsiaTheme="minorHAnsi" w:hAnsiTheme="majorHAnsi" w:cstheme="majorHAnsi"/>
          <w:color w:val="auto"/>
        </w:rPr>
        <w:instrText>ADDIN CSL_CITATION {"citationItems":[{"id":"ITEM-1","itemData":{"DOI":"10.7441/joc.2017.03.07","ISSN":"1804171X","abstract":"The paper aims to provide up-to-date empirical evidence of relationship between the key indicators of business competitiveness: leverage and corporate performance. The study is based on corporate financial data of selected companies from the Czech Republic within 14 major business sectors according to CZ-NACE which companies published for the year 2014. The results of this study show that leverage (debt ratio) has a substantially negative effect on corporate performance when the return on equity (ROE) is used as an indicator of corporate performance in the Czech Republic over the period covered by the study. The results of the regression analysis confirmed negative relationship between the company profitability and the use of debt in majority of business sectors (Agriculture, fishery, and forestry; Construction, Wholesale and retail trade, repair of motor vehicles and motorcycles; Professional, scientific and technical activities; Administrative and support service activities). The opposite relationship was found in one business sector only (Mining and quarrying) where positive relationship between the company profitability and leverage was confirmed. Among other things, the results of this study confirm that corporate leverage varies across industries.","author":[{"dropping-particle":"","family":"Stryckova","given":"Lenka","non-dropping-particle":"","parse-names":false,"suffix":""}],"container-title":"Journal of Competitiveness","id":"ITEM-1","issue":"3","issued":{"date-parts":[["2017"]]},"page":"98-110","title":"The relationship between company returns and leverage depending on the business sector: Empirical evidence from the Czech republic","type":"article-journal","volume":"9"},"uris":["http://www.mendeley.com/documents/?uuid=e7a7c6fc-06b5-43e5-8bf2-3b26115733de"]}],"mendeley":{"formattedCitation":"(Stryckova, 2017)","plainTextFormattedCitation":"(Stryckova, 2017)","previouslyFormattedCitation":"(Stryckova, 2017)"},"properties":{"noteIndex":0},"schema":"https://github.com/citation-style-language/schema/raw/master/csl-citation.json"}</w:instrText>
      </w:r>
      <w:r w:rsidRPr="0022305D">
        <w:rPr>
          <w:rFonts w:asciiTheme="majorHAnsi" w:eastAsiaTheme="minorHAnsi" w:hAnsiTheme="majorHAnsi" w:cstheme="majorHAnsi"/>
          <w:color w:val="auto"/>
        </w:rPr>
        <w:fldChar w:fldCharType="separate"/>
      </w:r>
      <w:r w:rsidRPr="0022305D">
        <w:rPr>
          <w:rFonts w:asciiTheme="majorHAnsi" w:eastAsiaTheme="minorHAnsi" w:hAnsiTheme="majorHAnsi" w:cstheme="majorHAnsi"/>
          <w:noProof/>
          <w:color w:val="auto"/>
        </w:rPr>
        <w:t>(Stryckova, 2017)</w:t>
      </w:r>
      <w:r w:rsidRPr="0022305D">
        <w:rPr>
          <w:rFonts w:asciiTheme="majorHAnsi" w:eastAsiaTheme="minorHAnsi" w:hAnsiTheme="majorHAnsi" w:cstheme="majorHAnsi"/>
          <w:color w:val="auto"/>
        </w:rPr>
        <w:fldChar w:fldCharType="end"/>
      </w:r>
      <w:r w:rsidRPr="0022305D">
        <w:rPr>
          <w:rFonts w:asciiTheme="majorHAnsi" w:eastAsiaTheme="minorHAnsi" w:hAnsiTheme="majorHAnsi" w:cstheme="majorHAnsi"/>
          <w:color w:val="auto"/>
        </w:rPr>
        <w:t>.</w:t>
      </w:r>
      <w:r w:rsidRPr="0022305D">
        <w:rPr>
          <w:rFonts w:asciiTheme="majorHAnsi" w:eastAsiaTheme="minorHAnsi" w:hAnsiTheme="majorHAnsi" w:cstheme="majorHAnsi"/>
          <w:color w:val="auto"/>
          <w:sz w:val="18"/>
          <w:szCs w:val="18"/>
        </w:rPr>
        <w:t xml:space="preserve">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{"citationItems":[{"id":"ITEM-1","itemData":{"DOI":"10.7441/joc.2017.03.07","ISSN":"1804171X","abstract":"The paper aims to provide up-to-date empirical evidence of relationship between the key indicators of business competitiveness: leverage and corporate performance. The study is based on corporate financial data of selected companies from the Czech Republic within 14 major business sectors according to CZ-NACE which companies published for the year 2014. The results of this study show that leverage (debt ratio) has a substantially negative effect on corporate performance when the return on equity (ROE) is used as an indicator of corporate performance in the Czech Republic over the period covered by the study. The results of the regression analysis confirmed negative relationship between the company profitability and the use of debt in majority of business sectors (Agriculture, fishery, and forestry; Construction, Wholesale and retail trade, repair of motor vehicles and motorcycles; Professional, scientific and technical activities; Administrative and support service activities). The opposite relationship was found in one business sector only (Mining and quarrying) where positive relationship between the company profitability and leverage was confirmed. Among other things, the results of this study confirm that corporate leverage varies across industries.","author":[{"dropping-particle":"","family":"Stryckova","given":"Lenka","non-dropping-particle":"","parse-names":false,"suffix":""}],"container-title":"Journal of Competitiveness","id":"ITEM-1","issue":"3","issued":{"date-parts":[["2017"]]},"page":"98-110","title":"The relationship between company returns and leverage depending on the business sector: Empirical evidence from the Czech republic","type":"article-journal","volume":"9"},"uris":["http://www.mendeley.com/documents/?uuid=e7a7c6fc-06b5-43e5-8bf2-3b26115733de"]}],"mendeley":{"formattedCitation":"(Stryckova, 2017)","manualFormatting":"Stryckova (2017)","plainTextFormattedCitation":"(Stryckova, 2017)","previouslyFormattedCitation":"(Stryckova, 2017)"},"properties":{"noteIndex":0},"schema":"https://github.com/citation-style-language/schema/raw/master/csl-citation.json"}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Stryckova (2017)</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studied the relationship between company returns and leverage of all business sectors in Czech Republic during 2014. </w:t>
      </w:r>
      <w:r w:rsidRPr="0022305D">
        <w:rPr>
          <w:rFonts w:asciiTheme="majorHAnsi" w:eastAsiaTheme="minorHAnsi" w:hAnsiTheme="majorHAnsi" w:cstheme="majorHAnsi"/>
          <w:color w:val="auto"/>
        </w:rPr>
        <w:t xml:space="preserve">The population of this study was all business companies in the Czech Republic while the sample consisted of 7,330 companies from 14 business sectors. The scope of this study was one year (2014). </w:t>
      </w:r>
      <w:r w:rsidRPr="0022305D">
        <w:rPr>
          <w:rFonts w:asciiTheme="majorHAnsi" w:hAnsiTheme="majorHAnsi" w:cstheme="majorHAnsi"/>
          <w:bCs/>
          <w:iCs/>
          <w:color w:val="auto"/>
        </w:rPr>
        <w:t xml:space="preserve">Secondary data was obtained from a sample of 14 business sectors. </w:t>
      </w:r>
      <w:r w:rsidR="00CB2CDC">
        <w:rPr>
          <w:rFonts w:asciiTheme="majorHAnsi" w:hAnsiTheme="majorHAnsi" w:cstheme="majorHAnsi"/>
          <w:bCs/>
          <w:iCs/>
          <w:color w:val="auto"/>
        </w:rPr>
        <w:t>Total debt to total assets ratio</w:t>
      </w:r>
      <w:r w:rsidRPr="0022305D">
        <w:rPr>
          <w:rFonts w:asciiTheme="majorHAnsi" w:hAnsiTheme="majorHAnsi" w:cstheme="majorHAnsi"/>
          <w:bCs/>
          <w:iCs/>
          <w:color w:val="auto"/>
        </w:rPr>
        <w:t xml:space="preserve"> and return on equity were used to measure leverage and company returns respectively. The results of this study showed that leverage (</w:t>
      </w:r>
      <w:r w:rsidR="00CB2CDC">
        <w:rPr>
          <w:rFonts w:asciiTheme="majorHAnsi" w:hAnsiTheme="majorHAnsi" w:cstheme="majorHAnsi"/>
          <w:bCs/>
          <w:iCs/>
          <w:color w:val="auto"/>
        </w:rPr>
        <w:t>total debt to total assets ratio</w:t>
      </w:r>
      <w:r w:rsidRPr="0022305D">
        <w:rPr>
          <w:rFonts w:asciiTheme="majorHAnsi" w:hAnsiTheme="majorHAnsi" w:cstheme="majorHAnsi"/>
          <w:bCs/>
          <w:iCs/>
          <w:color w:val="auto"/>
        </w:rPr>
        <w:t xml:space="preserve">) has a substantially positive relationship with return on equity (ROE) which is used as an indicator of company returns of the business sectors in the Czech Republic over the period covered by the study. This results is in agreement with the study by </w:t>
      </w:r>
      <w:r w:rsidRPr="0022305D">
        <w:rPr>
          <w:rFonts w:asciiTheme="majorHAnsi" w:hAnsiTheme="majorHAnsi" w:cstheme="majorHAnsi"/>
          <w:bCs/>
          <w:iCs/>
          <w:color w:val="auto"/>
        </w:rPr>
        <w:fldChar w:fldCharType="begin" w:fldLock="1"/>
      </w:r>
      <w:r w:rsidR="0002347B">
        <w:rPr>
          <w:rFonts w:asciiTheme="majorHAnsi" w:hAnsiTheme="majorHAnsi" w:cstheme="majorHAnsi"/>
          <w:bCs/>
          <w:iCs/>
          <w:color w:val="auto"/>
        </w:rPr>
        <w:instrText>ADDIN CSL_CITATION {"citationItems":[{"id":"ITEM-1","itemData":{"author":[{"dropping-particle":"","family":"Muthoni","given":"Mburu Ruth","non-dropping-particle":"","parse-names":false,"suffix":""}],"container-title":"Journal of Asian Finance, Economics and Business","id":"ITEM-1","issue":"October","issued":{"date-parts":[["2013"]]},"page":"1-62","title":"The effect of liquidity and solvency on the profitability of commercial banks in Kenya","type":"article-journal"},"uris":["http://www.mendeley.com/documents/?uuid=44d5acc2-c2a6-4bc7-9abc-d398a680607e"]}],"mendeley":{"formattedCitation":"(Muthoni, 2013)","manualFormatting":"Muthoni, (2015)","plainTextFormattedCitation":"(Muthoni, 2013)","previouslyFormattedCitation":"(Muthoni, 2013)"},"properties":{"noteIndex":0},"schema":"https://github.com/citation-style-language/schema/raw/master/csl-citation.json"}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Muthoni, (2015)</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on the effect of liquidity and solvency on the profitability of commercial banks in Kenya.</w:t>
      </w:r>
    </w:p>
    <w:p w14:paraId="588D7191" w14:textId="071A39A3" w:rsidR="00F97F38" w:rsidRPr="0022305D" w:rsidRDefault="00F97F38" w:rsidP="00F97F38">
      <w:pPr>
        <w:pStyle w:val="Default"/>
        <w:spacing w:line="480" w:lineRule="auto"/>
        <w:rPr>
          <w:rFonts w:asciiTheme="majorHAnsi" w:hAnsiTheme="majorHAnsi" w:cstheme="majorHAnsi"/>
          <w:bCs/>
          <w:iCs/>
          <w:color w:val="auto"/>
        </w:rPr>
      </w:pPr>
      <w:r w:rsidRPr="0022305D">
        <w:rPr>
          <w:rFonts w:asciiTheme="majorHAnsi" w:hAnsiTheme="majorHAnsi" w:cstheme="majorHAnsi"/>
          <w:bCs/>
          <w:iCs/>
          <w:color w:val="FF0000"/>
        </w:rPr>
        <w:tab/>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{"citationItems":[{"id":"ITEM-1","itemData":{"DOI":"10.4236/jmf.2020.104037","ISSN":"2162-2434","abstract":"This paper empirically aims to analyze the effect of capital structure on financial performance. Two main sets of variables were used: For profitability, return on assets (ROA) as the ratio of net income to total assets, and return on equity (ROE) as the ratio of net income to total shareholders’ equity were adopted as a proxy for financial performance; and to indicate capital structure, short-term debt, long-term debt, total debt, debt to equity ratio, and firm’s size were used. A sample of 30 Energy American firms for a period of nine years from 2005 – 2013 was considered. Secondary data were collected from financial statements which were taken from Mergent online. The data were analyzed by using Smart PLS (Partial Least Square) version 3. Multiple regressions indicated that 10% of ROE and 34% of ROA were predicted by the independent variables. Findings also presented that the total debt has a significant negative impact on ROE and ROA, while size in terms of sales has significantly negative effect only on ROE of the American firms. However, a short debt significantly has a positive influence on ROE. An insignificant either negative or positive relationship was observed between long term debt, debt to equity and size in terms of total assets and profitability. A generalization of the results is limited because of the small sample size. For future research, the author suggests addressing a longer period of time with a large sample size of firms. It would be more accurate if future studies included more independent variables such as taxation and concentration. KEYWORDS:","author":[{"dropping-particle":"","family":"Hajisaaid","given":"Alwalid Mohammad Saleh","non-dropping-particle":"","parse-names":false,"suffix":""}],"container-title":"Journal of Mathematical Finance","id":"ITEM-1","issue":"04","issued":{"date-parts":[["2020"]]},"page":"631-647","title":"The effect of capital structure on profitability of basic materials Saudi Arabia firms","type":"article-journal","volume":"10"},"uris":["http://www.mendeley.com/documents/?uuid=2701727c-c395-4d07-8a84-ef29aaaa348d"]}],"mendeley":{"formattedCitation":"(Hajisaaid, 2020)","manualFormatting":"Hajisaaid (2020)","plainTextFormattedCitation":"(Hajisaaid, 2020)","previouslyFormattedCitation":"(Hajisaaid, 2020)"},"properties":{"noteIndex":0},"schema":"https://github.com/citation-style-language/schema/raw/master/csl-citation.json"}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Hajisaaid (2020)</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conducted a research to investigate the relationship between capital structure and profitability of eight companies in the basic material sector in Saudi Arabia. He used secondary data extracted from bloomberg website for a period of ten years (2009-2018). Return on equity was used as dependent variable, while independent variables used include short-term debt to total assets ratio (SDA), long-term debt to total assets ratio (LDA), and total debt to total assets ratio (DA). The statistical technique used is regression analysis. The results illustrated a negative relationship between short term </w:t>
      </w:r>
      <w:r w:rsidRPr="0022305D">
        <w:rPr>
          <w:rFonts w:asciiTheme="majorHAnsi" w:hAnsiTheme="majorHAnsi" w:cstheme="majorHAnsi"/>
          <w:bCs/>
          <w:iCs/>
          <w:color w:val="auto"/>
        </w:rPr>
        <w:lastRenderedPageBreak/>
        <w:t xml:space="preserve">debt to total assets ratio and profitability a negative relationship between long term debt and profitability and positive relationship between </w:t>
      </w:r>
      <w:r w:rsidR="00CB2CDC">
        <w:rPr>
          <w:rFonts w:asciiTheme="majorHAnsi" w:hAnsiTheme="majorHAnsi" w:cstheme="majorHAnsi"/>
          <w:bCs/>
          <w:iCs/>
          <w:color w:val="auto"/>
        </w:rPr>
        <w:t>total debt to total assets ratio</w:t>
      </w:r>
      <w:r w:rsidRPr="0022305D">
        <w:rPr>
          <w:rFonts w:asciiTheme="majorHAnsi" w:hAnsiTheme="majorHAnsi" w:cstheme="majorHAnsi"/>
          <w:bCs/>
          <w:iCs/>
          <w:color w:val="auto"/>
        </w:rPr>
        <w:t xml:space="preserve"> and return on equity.</w:t>
      </w:r>
    </w:p>
    <w:p w14:paraId="454AAF87" w14:textId="6507C45A" w:rsidR="00F97F38" w:rsidRPr="0022305D" w:rsidRDefault="00F97F38" w:rsidP="00F97F38">
      <w:pPr>
        <w:pStyle w:val="Default"/>
        <w:spacing w:line="480" w:lineRule="auto"/>
        <w:ind w:firstLine="720"/>
        <w:rPr>
          <w:rFonts w:asciiTheme="majorHAnsi" w:hAnsiTheme="majorHAnsi" w:cstheme="majorHAnsi"/>
          <w:bCs/>
          <w:iCs/>
          <w:color w:val="auto"/>
        </w:rPr>
      </w:pP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{"citationItems":[{"id":"ITEM-1","itemData":{"DOI":"10.18488/journal.8.2018.61.21.36","ISSN":"23132884","abstract":"The purpose of this paper is to examine the impact of capital structure or leverage on profitability of listed banks stock exchange Ghana from 2007 to 2013. The concept of capital structure in finance explains the way a firm finances its assets/operations by the use of a blend of debt and equity. The blend of debt and equity would make banks more profitable bearing in mind the adverse effect of the extreme of each form of financing. Data was collected from Ghana stock exchange and the annual reports of the17 listed banks. Descriptive statistics and multiple regression models were used to analyze the data. The result revealed that the banks listed on the Ghana Stock Exchange are highly geared. This can be attributed to their over dependency on short term debt which is due to the relatively high Bank of Ghana Lending rate and low level of bond market activities. The study showed that financial leverage measured by short term debt to total assets (STDTA) had significant positive relationship with profitability measured by return on assets (ROA), return on equity (ROE) and earnings per share (EPS). Long Term Debt to Total Asset (LTDTA) also had a significant positive relationship with ROA and ROE but however, had a negative and insignificant relationship with EPS. Asset growth rate had a negative and insignificant relationship with profitability measured by ROA, ROE and EPS. Firm size also showed positive and significant relation with all the profitability measures such as ROA, ROE and EPS.","author":[{"dropping-particle":"","family":"Musah","given":"Alhassan","non-dropping-particle":"","parse-names":false,"suffix":""}],"container-title":"Asian Journal of Economic Modelling","id":"ITEM-1","issue":"1","issued":{"date-parts":[["2018"]]},"page":"21-36","title":"The Impact of Capital Structure on Profitability of Commercial Banks in Ghana","type":"article-journal","volume":"6"},"uris":["http://www.mendeley.com/documents/?uuid=bfc22985-a563-4f87-91ca-a5ad9f8b529e"]}],"mendeley":{"formattedCitation":"(Musah, 2018)","manualFormatting":"Musah (2018)","plainTextFormattedCitation":"(Musah, 2018)","previouslyFormattedCitation":"(Musah, 2018)"},"properties":{"noteIndex":0},"schema":"https://github.com/citation-style-language/schema/raw/master/csl-citation.json"}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Musah (2018)</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examined the effect of capital structure, measured in terms of </w:t>
      </w:r>
      <w:r w:rsidR="00CB2CDC">
        <w:rPr>
          <w:rFonts w:asciiTheme="majorHAnsi" w:hAnsiTheme="majorHAnsi" w:cstheme="majorHAnsi"/>
          <w:bCs/>
          <w:iCs/>
          <w:color w:val="auto"/>
        </w:rPr>
        <w:t>total debt to total assets ratio</w:t>
      </w:r>
      <w:r w:rsidRPr="0022305D">
        <w:rPr>
          <w:rFonts w:asciiTheme="majorHAnsi" w:hAnsiTheme="majorHAnsi" w:cstheme="majorHAnsi"/>
          <w:bCs/>
          <w:iCs/>
          <w:color w:val="auto"/>
        </w:rPr>
        <w:t xml:space="preserve">, on profitability, measured in terms of return on assets and return on equity, of commercial banks in Ghana. The study sampled 23 commercial banks for a period of six years period from 2010 to 2015 and secondary data was extracted from their annual reports. Data was analyzed using descriptive statistics, correlation analysis as well as panel regression analysis. The findings showed that </w:t>
      </w:r>
      <w:r w:rsidR="00CB2CDC">
        <w:rPr>
          <w:rFonts w:asciiTheme="majorHAnsi" w:hAnsiTheme="majorHAnsi" w:cstheme="majorHAnsi"/>
          <w:bCs/>
          <w:iCs/>
          <w:color w:val="auto"/>
        </w:rPr>
        <w:t>total debt to total assets ratio</w:t>
      </w:r>
      <w:r w:rsidRPr="0022305D">
        <w:rPr>
          <w:rFonts w:asciiTheme="majorHAnsi" w:hAnsiTheme="majorHAnsi" w:cstheme="majorHAnsi"/>
          <w:bCs/>
          <w:iCs/>
          <w:color w:val="auto"/>
        </w:rPr>
        <w:t xml:space="preserve"> is significant and positively related with profitability of banks in Ghana. </w:t>
      </w:r>
    </w:p>
    <w:p w14:paraId="0788DD31" w14:textId="1D15B9E0" w:rsidR="00F97F38" w:rsidRPr="0022305D" w:rsidRDefault="00F8055A" w:rsidP="00F97F38">
      <w:pPr>
        <w:pStyle w:val="Default"/>
        <w:spacing w:line="480" w:lineRule="auto"/>
        <w:ind w:firstLine="720"/>
        <w:rPr>
          <w:rFonts w:asciiTheme="majorHAnsi" w:eastAsiaTheme="minorHAnsi" w:hAnsiTheme="majorHAnsi" w:cstheme="majorHAnsi"/>
        </w:rPr>
      </w:pPr>
      <w:r w:rsidRPr="0022305D">
        <w:rPr>
          <w:rFonts w:asciiTheme="majorHAnsi" w:hAnsiTheme="majorHAnsi" w:cstheme="majorHAnsi"/>
          <w:bCs/>
          <w:iCs/>
          <w:color w:val="auto"/>
        </w:rPr>
        <w:t xml:space="preserve"> </w:t>
      </w:r>
      <w:r w:rsidR="00F97F38" w:rsidRPr="0022305D">
        <w:rPr>
          <w:rFonts w:asciiTheme="majorHAnsi" w:hAnsiTheme="majorHAnsi" w:cstheme="majorHAnsi"/>
          <w:bCs/>
          <w:iCs/>
          <w:color w:val="auto"/>
        </w:rPr>
        <w:t xml:space="preserve"> </w:t>
      </w:r>
      <w:r w:rsidR="00F97F38" w:rsidRPr="0022305D">
        <w:rPr>
          <w:rFonts w:asciiTheme="majorHAnsi" w:hAnsiTheme="majorHAnsi" w:cstheme="majorHAnsi"/>
          <w:bCs/>
          <w:iCs/>
          <w:color w:val="auto"/>
        </w:rPr>
        <w:fldChar w:fldCharType="begin" w:fldLock="1"/>
      </w:r>
      <w:r w:rsidR="0002347B">
        <w:rPr>
          <w:rFonts w:asciiTheme="majorHAnsi" w:hAnsiTheme="majorHAnsi" w:cstheme="majorHAnsi"/>
          <w:bCs/>
          <w:iCs/>
          <w:color w:val="auto"/>
        </w:rPr>
        <w:instrText>ADDIN CSL_CITATION {"citationItems":[{"id":"ITEM-1","itemData":{"author":[{"dropping-particle":"","family":"Muthoni","given":"Mburu Ruth","non-dropping-particle":"","parse-names":false,"suffix":""}],"container-title":"Journal of Asian Finance, Economics and Business","id":"ITEM-1","issue":"October","issued":{"date-parts":[["2013"]]},"page":"1-62","title":"The effect of liquidity and solvency on the profitability of commercial banks in Kenya","type":"article-journal"},"uris":["http://www.mendeley.com/documents/?uuid=44d5acc2-c2a6-4bc7-9abc-d398a680607e"]}],"mendeley":{"formattedCitation":"(Muthoni, 2013)","manualFormatting":"Muthoni, (2015)","plainTextFormattedCitation":"(Muthoni, 2013)","previouslyFormattedCitation":"(Muthoni, 2013)"},"properties":{"noteIndex":0},"schema":"https://github.com/citation-style-language/schema/raw/master/csl-citation.json"}</w:instrText>
      </w:r>
      <w:r w:rsidR="00F97F38" w:rsidRPr="0022305D">
        <w:rPr>
          <w:rFonts w:asciiTheme="majorHAnsi" w:hAnsiTheme="majorHAnsi" w:cstheme="majorHAnsi"/>
          <w:bCs/>
          <w:iCs/>
          <w:color w:val="auto"/>
        </w:rPr>
        <w:fldChar w:fldCharType="separate"/>
      </w:r>
      <w:r w:rsidR="00F97F38" w:rsidRPr="0022305D">
        <w:rPr>
          <w:rFonts w:asciiTheme="majorHAnsi" w:hAnsiTheme="majorHAnsi" w:cstheme="majorHAnsi"/>
          <w:bCs/>
          <w:iCs/>
          <w:noProof/>
          <w:color w:val="auto"/>
        </w:rPr>
        <w:t>Muthoni, (2015)</w:t>
      </w:r>
      <w:r w:rsidR="00F97F38" w:rsidRPr="0022305D">
        <w:rPr>
          <w:rFonts w:asciiTheme="majorHAnsi" w:hAnsiTheme="majorHAnsi" w:cstheme="majorHAnsi"/>
          <w:bCs/>
          <w:iCs/>
          <w:color w:val="auto"/>
        </w:rPr>
        <w:fldChar w:fldCharType="end"/>
      </w:r>
      <w:r w:rsidR="00F97F38" w:rsidRPr="0022305D">
        <w:rPr>
          <w:rFonts w:asciiTheme="majorHAnsi" w:hAnsiTheme="majorHAnsi" w:cstheme="majorHAnsi"/>
          <w:bCs/>
          <w:iCs/>
          <w:color w:val="auto"/>
        </w:rPr>
        <w:t xml:space="preserve"> used </w:t>
      </w:r>
      <w:r w:rsidR="00C16B18">
        <w:rPr>
          <w:rFonts w:asciiTheme="majorHAnsi" w:hAnsiTheme="majorHAnsi" w:cstheme="majorHAnsi"/>
          <w:bCs/>
          <w:iCs/>
          <w:color w:val="auto"/>
        </w:rPr>
        <w:t>purposive sampling</w:t>
      </w:r>
      <w:r w:rsidR="00F97F38" w:rsidRPr="0022305D">
        <w:rPr>
          <w:rFonts w:asciiTheme="majorHAnsi" w:hAnsiTheme="majorHAnsi" w:cstheme="majorHAnsi"/>
          <w:bCs/>
          <w:iCs/>
          <w:color w:val="auto"/>
        </w:rPr>
        <w:t xml:space="preserve"> for five years (2010-2014) and a population of 43 commercial banks in Kenya while the current study used </w:t>
      </w:r>
      <w:r w:rsidR="00C16B18">
        <w:rPr>
          <w:rFonts w:asciiTheme="majorHAnsi" w:hAnsiTheme="majorHAnsi" w:cstheme="majorHAnsi"/>
          <w:bCs/>
          <w:iCs/>
          <w:color w:val="auto"/>
        </w:rPr>
        <w:t>census</w:t>
      </w:r>
      <w:r w:rsidR="00F97F38" w:rsidRPr="0022305D">
        <w:rPr>
          <w:rFonts w:asciiTheme="majorHAnsi" w:hAnsiTheme="majorHAnsi" w:cstheme="majorHAnsi"/>
          <w:bCs/>
          <w:iCs/>
          <w:color w:val="auto"/>
        </w:rPr>
        <w:t xml:space="preserve"> for </w:t>
      </w:r>
      <w:r w:rsidR="00C16B18">
        <w:rPr>
          <w:rFonts w:asciiTheme="majorHAnsi" w:hAnsiTheme="majorHAnsi" w:cstheme="majorHAnsi"/>
          <w:bCs/>
          <w:iCs/>
          <w:color w:val="auto"/>
        </w:rPr>
        <w:t>period of ten years</w:t>
      </w:r>
      <w:r w:rsidR="00F97F38" w:rsidRPr="0022305D">
        <w:rPr>
          <w:rFonts w:asciiTheme="majorHAnsi" w:hAnsiTheme="majorHAnsi" w:cstheme="majorHAnsi"/>
          <w:bCs/>
          <w:iCs/>
          <w:color w:val="auto"/>
        </w:rPr>
        <w:t xml:space="preserve">. </w:t>
      </w:r>
      <w:r w:rsidR="00E81CA3" w:rsidRPr="0022305D">
        <w:rPr>
          <w:rFonts w:asciiTheme="majorHAnsi" w:hAnsiTheme="majorHAnsi" w:cstheme="majorHAnsi"/>
          <w:bCs/>
          <w:iCs/>
          <w:color w:val="auto"/>
        </w:rPr>
        <w:t xml:space="preserve">The research by </w:t>
      </w:r>
      <w:r w:rsidR="00C53D40" w:rsidRPr="0022305D">
        <w:rPr>
          <w:rFonts w:asciiTheme="majorHAnsi" w:hAnsiTheme="majorHAnsi" w:cstheme="majorHAnsi"/>
          <w:bCs/>
          <w:iCs/>
          <w:color w:val="auto"/>
        </w:rPr>
        <w:t xml:space="preserve">Stryckova </w:t>
      </w:r>
      <w:r w:rsidR="00E81CA3" w:rsidRPr="0022305D">
        <w:rPr>
          <w:rFonts w:asciiTheme="majorHAnsi" w:hAnsiTheme="majorHAnsi" w:cstheme="majorHAnsi"/>
          <w:bCs/>
          <w:iCs/>
          <w:color w:val="auto"/>
        </w:rPr>
        <w:t xml:space="preserve">(2017) and Musah (2018) </w:t>
      </w:r>
      <w:r w:rsidR="00C53D40" w:rsidRPr="0022305D">
        <w:rPr>
          <w:rFonts w:asciiTheme="majorHAnsi" w:hAnsiTheme="majorHAnsi" w:cstheme="majorHAnsi"/>
          <w:bCs/>
          <w:iCs/>
          <w:color w:val="auto"/>
        </w:rPr>
        <w:t>w</w:t>
      </w:r>
      <w:r w:rsidR="00E81CA3" w:rsidRPr="0022305D">
        <w:rPr>
          <w:rFonts w:asciiTheme="majorHAnsi" w:hAnsiTheme="majorHAnsi" w:cstheme="majorHAnsi"/>
          <w:bCs/>
          <w:iCs/>
          <w:color w:val="auto"/>
        </w:rPr>
        <w:t>ere</w:t>
      </w:r>
      <w:r w:rsidR="00C53D40" w:rsidRPr="0022305D">
        <w:rPr>
          <w:rFonts w:asciiTheme="majorHAnsi" w:hAnsiTheme="majorHAnsi" w:cstheme="majorHAnsi"/>
          <w:bCs/>
          <w:iCs/>
          <w:color w:val="auto"/>
        </w:rPr>
        <w:t xml:space="preserve"> carried out </w:t>
      </w:r>
      <w:r w:rsidR="00B9725A" w:rsidRPr="0022305D">
        <w:rPr>
          <w:rFonts w:asciiTheme="majorHAnsi" w:hAnsiTheme="majorHAnsi" w:cstheme="majorHAnsi"/>
          <w:bCs/>
          <w:iCs/>
          <w:color w:val="auto"/>
        </w:rPr>
        <w:t xml:space="preserve">in </w:t>
      </w:r>
      <w:r w:rsidR="00C53D40" w:rsidRPr="0022305D">
        <w:rPr>
          <w:rFonts w:asciiTheme="majorHAnsi" w:hAnsiTheme="majorHAnsi" w:cstheme="majorHAnsi"/>
          <w:bCs/>
          <w:iCs/>
          <w:color w:val="auto"/>
        </w:rPr>
        <w:t xml:space="preserve">Czech Republic </w:t>
      </w:r>
      <w:r w:rsidR="00E81CA3" w:rsidRPr="0022305D">
        <w:rPr>
          <w:rFonts w:asciiTheme="majorHAnsi" w:hAnsiTheme="majorHAnsi" w:cstheme="majorHAnsi"/>
          <w:bCs/>
          <w:iCs/>
          <w:color w:val="auto"/>
        </w:rPr>
        <w:t xml:space="preserve">and Ghana respectively </w:t>
      </w:r>
      <w:r w:rsidR="00C53D40" w:rsidRPr="0022305D">
        <w:rPr>
          <w:rFonts w:asciiTheme="majorHAnsi" w:hAnsiTheme="majorHAnsi" w:cstheme="majorHAnsi"/>
          <w:bCs/>
          <w:iCs/>
          <w:color w:val="auto"/>
        </w:rPr>
        <w:t xml:space="preserve">while the current study </w:t>
      </w:r>
      <w:r w:rsidR="00F97F38" w:rsidRPr="0022305D">
        <w:rPr>
          <w:rFonts w:asciiTheme="majorHAnsi" w:hAnsiTheme="majorHAnsi" w:cstheme="majorHAnsi"/>
          <w:bCs/>
          <w:iCs/>
          <w:color w:val="auto"/>
        </w:rPr>
        <w:t>was conducted</w:t>
      </w:r>
      <w:r w:rsidR="00C53D40" w:rsidRPr="0022305D">
        <w:rPr>
          <w:rFonts w:asciiTheme="majorHAnsi" w:hAnsiTheme="majorHAnsi" w:cstheme="majorHAnsi"/>
          <w:bCs/>
          <w:iCs/>
          <w:color w:val="auto"/>
        </w:rPr>
        <w:t xml:space="preserve"> on the commercial banks in Kenya.</w:t>
      </w:r>
      <w:r w:rsidR="00E81CA3" w:rsidRPr="0022305D">
        <w:rPr>
          <w:rFonts w:asciiTheme="majorHAnsi" w:hAnsiTheme="majorHAnsi" w:cstheme="majorHAnsi"/>
          <w:bCs/>
          <w:iCs/>
          <w:color w:val="auto"/>
        </w:rPr>
        <w:t xml:space="preserve"> </w:t>
      </w:r>
      <w:r w:rsidR="00F97F38" w:rsidRPr="0022305D">
        <w:rPr>
          <w:rFonts w:asciiTheme="majorHAnsi" w:hAnsiTheme="majorHAnsi" w:cstheme="majorHAnsi"/>
          <w:bCs/>
          <w:iCs/>
          <w:noProof/>
          <w:color w:val="auto"/>
        </w:rPr>
        <w:t xml:space="preserve">Muthoni (2015), Musah (2018)  and  </w:t>
      </w:r>
      <w:r w:rsidR="00F97F38" w:rsidRPr="0022305D">
        <w:rPr>
          <w:rFonts w:asciiTheme="majorHAnsi" w:hAnsiTheme="majorHAnsi" w:cstheme="majorHAnsi"/>
          <w:bCs/>
          <w:iCs/>
          <w:color w:val="auto"/>
        </w:rPr>
        <w:fldChar w:fldCharType="begin" w:fldLock="1"/>
      </w:r>
      <w:r w:rsidR="00F97F38" w:rsidRPr="0022305D">
        <w:rPr>
          <w:rFonts w:asciiTheme="majorHAnsi" w:hAnsiTheme="majorHAnsi" w:cstheme="majorHAnsi"/>
          <w:bCs/>
          <w:iCs/>
          <w:color w:val="auto"/>
        </w:rPr>
        <w:instrText>ADDIN CSL_CITATION {"citationItems":[{"id":"ITEM-1","itemData":{"DOI":"10.4236/jmf.2020.104037","ISSN":"2162-2434","abstract":"This paper empirically aims to analyze the effect of capital structure on financial performance. Two main sets of variables were used: For profitability, return on assets (ROA) as the ratio of net income to total assets, and return on equity (ROE) as the ratio of net income to total shareholders’ equity were adopted as a proxy for financial performance; and to indicate capital structure, short-term debt, long-term debt, total debt, debt to equity ratio, and firm’s size were used. A sample of 30 Energy American firms for a period of nine years from 2005 – 2013 was considered. Secondary data were collected from financial statements which were taken from Mergent online. The data were analyzed by using Smart PLS (Partial Least Square) version 3. Multiple regressions indicated that 10% of ROE and 34% of ROA were predicted by the independent variables. Findings also presented that the total debt has a significant negative impact on ROE and ROA, while size in terms of sales has significantly negative effect only on ROE of the American firms. However, a short debt significantly has a positive influence on ROE. An insignificant either negative or positive relationship was observed between long term debt, debt to equity and size in terms of total assets and profitability. A generalization of the results is limited because of the small sample size. For future research, the author suggests addressing a longer period of time with a large sample size of firms. It would be more accurate if future studies included more independent variables such as taxation and concentration. KEYWORDS:","author":[{"dropping-particle":"","family":"Hajisaaid","given":"Alwalid Mohammad Saleh","non-dropping-particle":"","parse-names":false,"suffix":""}],"container-title":"Journal of Mathematical Finance","id":"ITEM-1","issue":"04","issued":{"date-parts":[["2020"]]},"page":"631-647","title":"The effect of capital structure on profitability of basic materials Saudi Arabia firms","type":"article-journal","volume":"10"},"uris":["http://www.mendeley.com/documents/?uuid=2701727c-c395-4d07-8a84-ef29aaaa348d"]}],"mendeley":{"formattedCitation":"(Hajisaaid, 2020)","manualFormatting":"Hajisaaid (2020)","plainTextFormattedCitation":"(Hajisaaid, 2020)","previouslyFormattedCitation":"(Hajisaaid, 2020)"},"properties":{"noteIndex":0},"schema":"https://github.com/citation-style-language/schema/raw/master/csl-citation.json"}</w:instrText>
      </w:r>
      <w:r w:rsidR="00F97F38" w:rsidRPr="0022305D">
        <w:rPr>
          <w:rFonts w:asciiTheme="majorHAnsi" w:hAnsiTheme="majorHAnsi" w:cstheme="majorHAnsi"/>
          <w:bCs/>
          <w:iCs/>
          <w:color w:val="auto"/>
        </w:rPr>
        <w:fldChar w:fldCharType="separate"/>
      </w:r>
      <w:r w:rsidR="00F97F38" w:rsidRPr="0022305D">
        <w:rPr>
          <w:rFonts w:asciiTheme="majorHAnsi" w:hAnsiTheme="majorHAnsi" w:cstheme="majorHAnsi"/>
          <w:bCs/>
          <w:iCs/>
          <w:noProof/>
          <w:color w:val="auto"/>
        </w:rPr>
        <w:t>Hajisaaid (2020)</w:t>
      </w:r>
      <w:r w:rsidR="00F97F38" w:rsidRPr="0022305D">
        <w:rPr>
          <w:rFonts w:asciiTheme="majorHAnsi" w:hAnsiTheme="majorHAnsi" w:cstheme="majorHAnsi"/>
          <w:bCs/>
          <w:iCs/>
          <w:color w:val="auto"/>
        </w:rPr>
        <w:fldChar w:fldCharType="end"/>
      </w:r>
      <w:r w:rsidR="00F97F38" w:rsidRPr="0022305D">
        <w:rPr>
          <w:rFonts w:asciiTheme="majorHAnsi" w:hAnsiTheme="majorHAnsi" w:cstheme="majorHAnsi"/>
          <w:bCs/>
          <w:iCs/>
          <w:color w:val="auto"/>
        </w:rPr>
        <w:t xml:space="preserve"> </w:t>
      </w:r>
      <w:r w:rsidR="00F97F38" w:rsidRPr="0022305D">
        <w:rPr>
          <w:rFonts w:asciiTheme="majorHAnsi" w:hAnsiTheme="majorHAnsi" w:cstheme="majorHAnsi"/>
          <w:bCs/>
          <w:iCs/>
          <w:noProof/>
          <w:color w:val="auto"/>
        </w:rPr>
        <w:t xml:space="preserve">used five years, six years and ten years data respectively while the current study used ten years data.  </w:t>
      </w:r>
    </w:p>
    <w:p w14:paraId="690C4250" w14:textId="474A6950" w:rsidR="00193DC8" w:rsidRPr="00113952" w:rsidRDefault="000B326E" w:rsidP="00113952">
      <w:pPr>
        <w:pStyle w:val="Default"/>
        <w:spacing w:line="480" w:lineRule="auto"/>
        <w:ind w:firstLine="720"/>
        <w:rPr>
          <w:rFonts w:asciiTheme="majorHAnsi" w:eastAsiaTheme="minorHAnsi" w:hAnsiTheme="majorHAnsi" w:cstheme="majorHAnsi"/>
        </w:rPr>
      </w:pPr>
      <w:r w:rsidRPr="0022305D">
        <w:rPr>
          <w:rFonts w:asciiTheme="majorHAnsi" w:hAnsiTheme="majorHAnsi" w:cstheme="majorHAnsi"/>
          <w:bCs/>
          <w:iCs/>
          <w:noProof/>
          <w:color w:val="auto"/>
        </w:rPr>
        <w:t>.</w:t>
      </w:r>
      <w:r w:rsidR="00C53D40" w:rsidRPr="0022305D">
        <w:rPr>
          <w:rFonts w:asciiTheme="majorHAnsi" w:hAnsiTheme="majorHAnsi" w:cstheme="majorHAnsi"/>
          <w:bCs/>
          <w:iCs/>
          <w:noProof/>
          <w:color w:val="auto"/>
        </w:rPr>
        <w:t xml:space="preserve">  </w:t>
      </w:r>
    </w:p>
    <w:p w14:paraId="27CA6634" w14:textId="2BC0087E" w:rsidR="005B783B" w:rsidRPr="00A96563" w:rsidRDefault="005B783B" w:rsidP="004478B6">
      <w:pPr>
        <w:pStyle w:val="Heading2"/>
        <w:spacing w:line="480" w:lineRule="auto"/>
        <w:jc w:val="left"/>
        <w:rPr>
          <w:rFonts w:asciiTheme="majorHAnsi" w:hAnsiTheme="majorHAnsi" w:cstheme="majorHAnsi"/>
          <w:sz w:val="28"/>
          <w:szCs w:val="28"/>
        </w:rPr>
      </w:pPr>
      <w:bookmarkStart w:id="47" w:name="_Toc76494398"/>
      <w:bookmarkStart w:id="48" w:name="_Toc78205789"/>
      <w:r w:rsidRPr="00A96563">
        <w:rPr>
          <w:rFonts w:asciiTheme="majorHAnsi" w:hAnsiTheme="majorHAnsi" w:cstheme="majorHAnsi"/>
          <w:sz w:val="28"/>
          <w:szCs w:val="28"/>
        </w:rPr>
        <w:t xml:space="preserve">Relationship between </w:t>
      </w:r>
      <w:r w:rsidR="00BE06BC">
        <w:rPr>
          <w:rFonts w:asciiTheme="majorHAnsi" w:hAnsiTheme="majorHAnsi" w:cstheme="majorHAnsi"/>
          <w:sz w:val="28"/>
          <w:szCs w:val="28"/>
        </w:rPr>
        <w:t>total debt to equity</w:t>
      </w:r>
      <w:r w:rsidRPr="00A96563">
        <w:rPr>
          <w:rFonts w:asciiTheme="majorHAnsi" w:hAnsiTheme="majorHAnsi" w:cstheme="majorHAnsi"/>
          <w:sz w:val="28"/>
          <w:szCs w:val="28"/>
        </w:rPr>
        <w:t xml:space="preserve"> ratio and return on equity</w:t>
      </w:r>
      <w:bookmarkEnd w:id="47"/>
      <w:bookmarkEnd w:id="48"/>
    </w:p>
    <w:p w14:paraId="1ABFA64B" w14:textId="7886237A" w:rsidR="005B783B" w:rsidRPr="0022305D" w:rsidRDefault="00BE06BC" w:rsidP="005B783B">
      <w:pPr>
        <w:spacing w:line="480" w:lineRule="auto"/>
        <w:ind w:firstLine="720"/>
        <w:rPr>
          <w:rFonts w:asciiTheme="majorHAnsi" w:hAnsiTheme="majorHAnsi" w:cstheme="majorHAnsi"/>
          <w:sz w:val="24"/>
          <w:szCs w:val="24"/>
        </w:rPr>
      </w:pPr>
      <w:r>
        <w:rPr>
          <w:rFonts w:asciiTheme="majorHAnsi" w:hAnsiTheme="majorHAnsi" w:cstheme="majorHAnsi"/>
          <w:sz w:val="24"/>
          <w:szCs w:val="24"/>
        </w:rPr>
        <w:t>Total debt to equity</w:t>
      </w:r>
      <w:r w:rsidR="005B783B" w:rsidRPr="0022305D">
        <w:rPr>
          <w:rFonts w:asciiTheme="majorHAnsi" w:hAnsiTheme="majorHAnsi" w:cstheme="majorHAnsi"/>
          <w:sz w:val="24"/>
          <w:szCs w:val="24"/>
        </w:rPr>
        <w:t xml:space="preserve"> ratio compares total liabilities to shareholder’s equity and it express how much suppliers, lenders, and other creditors have committed to the company versus what the shareholders have committed </w:t>
      </w:r>
      <w:r w:rsidR="005B783B" w:rsidRPr="0022305D">
        <w:rPr>
          <w:rFonts w:asciiTheme="majorHAnsi" w:hAnsiTheme="majorHAnsi" w:cstheme="majorHAnsi"/>
          <w:sz w:val="24"/>
          <w:szCs w:val="24"/>
        </w:rPr>
        <w:fldChar w:fldCharType="begin" w:fldLock="1"/>
      </w:r>
      <w:r w:rsidR="005B783B" w:rsidRPr="0022305D">
        <w:rPr>
          <w:rFonts w:asciiTheme="majorHAnsi" w:hAnsiTheme="majorHAnsi" w:cstheme="majorHAnsi"/>
          <w:sz w:val="24"/>
          <w:szCs w:val="24"/>
        </w:rPr>
        <w:instrText>ADDIN CSL_CITATION {"citationItems":[{"id":"ITEM-1","itemData":{"author":[{"dropping-particle":"","family":"Sari","given":"Lusia","non-dropping-particle":"","parse-names":false,"suffix":""}],"container-title":"Journal of Applied Finance and Accounting","id":"ITEM-1","issue":"2","issued":{"date-parts":[["2016"]]},"page":"1-13","title":"Debt to equity ratio, degree of operating leverage stock beta and stock returns of food and bevarage companies in Indonession stock exchangee","type":"article-journal","volume":"2"},"uris":["http://www.mendeley.com/documents/?uuid=1473f260-8819-488b-9cea-d385a9c484e0"]}],"mendeley":{"formattedCitation":"(Sari, 2016)","plainTextFormattedCitation":"(Sari, 2016)","previouslyFormattedCitation":"(Sari, 2016)"},"properties":{"noteIndex":0},"schema":"https://github.com/citation-style-language/schema/raw/master/csl-citation.json"}</w:instrText>
      </w:r>
      <w:r w:rsidR="005B783B" w:rsidRPr="0022305D">
        <w:rPr>
          <w:rFonts w:asciiTheme="majorHAnsi" w:hAnsiTheme="majorHAnsi" w:cstheme="majorHAnsi"/>
          <w:sz w:val="24"/>
          <w:szCs w:val="24"/>
        </w:rPr>
        <w:fldChar w:fldCharType="separate"/>
      </w:r>
      <w:r w:rsidR="005B783B" w:rsidRPr="0022305D">
        <w:rPr>
          <w:rFonts w:asciiTheme="majorHAnsi" w:hAnsiTheme="majorHAnsi" w:cstheme="majorHAnsi"/>
          <w:noProof/>
          <w:sz w:val="24"/>
          <w:szCs w:val="24"/>
        </w:rPr>
        <w:t>(Sari, 2016)</w:t>
      </w:r>
      <w:r w:rsidR="005B783B" w:rsidRPr="0022305D">
        <w:rPr>
          <w:rFonts w:asciiTheme="majorHAnsi" w:hAnsiTheme="majorHAnsi" w:cstheme="majorHAnsi"/>
          <w:sz w:val="24"/>
          <w:szCs w:val="24"/>
        </w:rPr>
        <w:fldChar w:fldCharType="end"/>
      </w:r>
      <w:r w:rsidR="005B783B" w:rsidRPr="0022305D">
        <w:rPr>
          <w:rFonts w:asciiTheme="majorHAnsi" w:hAnsiTheme="majorHAnsi" w:cstheme="majorHAnsi"/>
          <w:sz w:val="24"/>
          <w:szCs w:val="24"/>
        </w:rPr>
        <w:t xml:space="preserve">. </w:t>
      </w:r>
      <w:r>
        <w:rPr>
          <w:rFonts w:asciiTheme="majorHAnsi" w:hAnsiTheme="majorHAnsi" w:cstheme="majorHAnsi"/>
          <w:sz w:val="24"/>
          <w:szCs w:val="24"/>
        </w:rPr>
        <w:t>Total debt to equity</w:t>
      </w:r>
      <w:r w:rsidR="005B783B" w:rsidRPr="0022305D">
        <w:rPr>
          <w:rFonts w:asciiTheme="majorHAnsi" w:hAnsiTheme="majorHAnsi" w:cstheme="majorHAnsi"/>
          <w:sz w:val="24"/>
          <w:szCs w:val="24"/>
        </w:rPr>
        <w:t xml:space="preserve"> ratio can be used to assess a company's ability to repay debts incurred with its own funds. </w:t>
      </w:r>
      <w:r w:rsidR="005B783B" w:rsidRPr="0022305D">
        <w:rPr>
          <w:rFonts w:asciiTheme="majorHAnsi" w:hAnsiTheme="majorHAnsi" w:cstheme="majorHAnsi"/>
          <w:sz w:val="24"/>
          <w:szCs w:val="24"/>
        </w:rPr>
        <w:lastRenderedPageBreak/>
        <w:t xml:space="preserve">According to </w:t>
      </w:r>
      <w:r w:rsidR="005B783B" w:rsidRPr="0022305D">
        <w:rPr>
          <w:rFonts w:asciiTheme="majorHAnsi" w:hAnsiTheme="majorHAnsi" w:cstheme="majorHAnsi"/>
          <w:sz w:val="24"/>
          <w:szCs w:val="24"/>
        </w:rPr>
        <w:fldChar w:fldCharType="begin" w:fldLock="1"/>
      </w:r>
      <w:r w:rsidR="005B783B" w:rsidRPr="0022305D">
        <w:rPr>
          <w:rFonts w:asciiTheme="majorHAnsi" w:hAnsiTheme="majorHAnsi" w:cstheme="majorHAnsi"/>
          <w:sz w:val="24"/>
          <w:szCs w:val="24"/>
        </w:rPr>
        <w:instrText>ADDIN CSL_CITATION {"citationItems":[{"id":"ITEM-1","itemData":{"abstract":"This research is an attempt to establish a stochastic relationship between Financial leverage and Profitability of cement sector operating in Pakistan. For this purpose 18 cement manufacturers out of 21 are incorporated in the study and six years annual data from 2005 to 2010 regarding financial leverage and profitability of the said firms were taken into consideration. The sample size for eighteen firms for six years consists of 108 observations. An Ordinary Least Square model is applied on the data to establish a causal relationship between the variables. The study finds that financial leverage has a statistically significant inverse impact on profitability at 99% confidence interval.","author":[{"dropping-particle":"","family":"Ahmad","given":"Nawaz","non-dropping-particle":"","parse-names":false,"suffix":""},{"dropping-particle":"","family":"Salman","given":"Atif","non-dropping-particle":"","parse-names":false,"suffix":""},{"dropping-particle":"","family":"Shamsi","given":"Aamir Firoz","non-dropping-particle":"","parse-names":false,"suffix":""}],"container-title":"Research Journal Of Finance And Accounting","id":"ITEM-1","issue":"7","issued":{"date-parts":[["2015"]]},"page":"75-81","title":"Impact of financial leverage on firms ’ profitability : An investigation from cement sector of Pakistan","type":"article-journal","volume":"6"},"uris":["http://www.mendeley.com/documents/?uuid=63bf130c-0b6c-42e4-8983-915876374276"]}],"mendeley":{"formattedCitation":"(Ahmad et al., 2015)","manualFormatting":"Ahmad et al., (2015)","plainTextFormattedCitation":"(Ahmad et al., 2015)","previouslyFormattedCitation":"(Ahmad et al., 2015)"},"properties":{"noteIndex":0},"schema":"https://github.com/citation-style-language/schema/raw/master/csl-citation.json"}</w:instrText>
      </w:r>
      <w:r w:rsidR="005B783B" w:rsidRPr="0022305D">
        <w:rPr>
          <w:rFonts w:asciiTheme="majorHAnsi" w:hAnsiTheme="majorHAnsi" w:cstheme="majorHAnsi"/>
          <w:sz w:val="24"/>
          <w:szCs w:val="24"/>
        </w:rPr>
        <w:fldChar w:fldCharType="separate"/>
      </w:r>
      <w:r w:rsidR="005B783B" w:rsidRPr="0022305D">
        <w:rPr>
          <w:rFonts w:asciiTheme="majorHAnsi" w:hAnsiTheme="majorHAnsi" w:cstheme="majorHAnsi"/>
          <w:noProof/>
          <w:sz w:val="24"/>
          <w:szCs w:val="24"/>
        </w:rPr>
        <w:t>Ahmad et al., (2015)</w:t>
      </w:r>
      <w:r w:rsidR="005B783B" w:rsidRPr="0022305D">
        <w:rPr>
          <w:rFonts w:asciiTheme="majorHAnsi" w:hAnsiTheme="majorHAnsi" w:cstheme="majorHAnsi"/>
          <w:sz w:val="24"/>
          <w:szCs w:val="24"/>
        </w:rPr>
        <w:fldChar w:fldCharType="end"/>
      </w:r>
      <w:r w:rsidR="005B783B" w:rsidRPr="0022305D">
        <w:rPr>
          <w:rFonts w:asciiTheme="majorHAnsi" w:hAnsiTheme="majorHAnsi" w:cstheme="majorHAnsi"/>
          <w:sz w:val="24"/>
          <w:szCs w:val="24"/>
        </w:rPr>
        <w:t xml:space="preserve">, </w:t>
      </w:r>
      <w:r>
        <w:rPr>
          <w:rFonts w:asciiTheme="majorHAnsi" w:hAnsiTheme="majorHAnsi" w:cstheme="majorHAnsi"/>
          <w:bCs/>
          <w:iCs/>
          <w:sz w:val="24"/>
          <w:szCs w:val="24"/>
        </w:rPr>
        <w:t>total debt to equity</w:t>
      </w:r>
      <w:r w:rsidR="005B783B" w:rsidRPr="0022305D">
        <w:rPr>
          <w:rFonts w:asciiTheme="majorHAnsi" w:hAnsiTheme="majorHAnsi" w:cstheme="majorHAnsi"/>
          <w:bCs/>
          <w:iCs/>
          <w:sz w:val="24"/>
          <w:szCs w:val="24"/>
        </w:rPr>
        <w:t xml:space="preserve"> ratio describes the ability of the company's own capital to meet its obligations and shows the relationship between total capital and the total amount of debt. </w:t>
      </w:r>
      <w:r w:rsidR="005B783B" w:rsidRPr="0022305D">
        <w:rPr>
          <w:rFonts w:asciiTheme="majorHAnsi" w:hAnsiTheme="majorHAnsi" w:cstheme="majorHAnsi"/>
          <w:sz w:val="24"/>
          <w:szCs w:val="24"/>
        </w:rPr>
        <w:t xml:space="preserve">A company with a low </w:t>
      </w:r>
      <w:r>
        <w:rPr>
          <w:rFonts w:asciiTheme="majorHAnsi" w:hAnsiTheme="majorHAnsi" w:cstheme="majorHAnsi"/>
          <w:sz w:val="24"/>
          <w:szCs w:val="24"/>
        </w:rPr>
        <w:t>total debt to equity</w:t>
      </w:r>
      <w:r w:rsidR="005B783B" w:rsidRPr="0022305D">
        <w:rPr>
          <w:rFonts w:asciiTheme="majorHAnsi" w:hAnsiTheme="majorHAnsi" w:cstheme="majorHAnsi"/>
          <w:sz w:val="24"/>
          <w:szCs w:val="24"/>
        </w:rPr>
        <w:t xml:space="preserve"> ratio will have a lower risk of loss when economic conditions decline, but when economic conditions improve, the opportunity to earn a profit is low </w:t>
      </w:r>
      <w:r w:rsidR="005B783B" w:rsidRPr="0022305D">
        <w:rPr>
          <w:rFonts w:asciiTheme="majorHAnsi" w:hAnsiTheme="majorHAnsi" w:cstheme="majorHAnsi"/>
          <w:sz w:val="24"/>
          <w:szCs w:val="24"/>
        </w:rPr>
        <w:fldChar w:fldCharType="begin" w:fldLock="1"/>
      </w:r>
      <w:r w:rsidR="005B783B" w:rsidRPr="0022305D">
        <w:rPr>
          <w:rFonts w:asciiTheme="majorHAnsi" w:hAnsiTheme="majorHAnsi" w:cstheme="majorHAnsi"/>
          <w:sz w:val="24"/>
          <w:szCs w:val="24"/>
        </w:rPr>
        <w:instrText>ADDIN CSL_CITATION {"citationItems":[{"id":"ITEM-1","itemData":{"DOI":"10.32479/ijeep.10608","ISSN":"21464553","abstract":"This research aims to analyze the determinants of stock return disclosure of mining sector companies listed on the Indonesia Stock Exchange in 2014-2018. The research adopted the Eviews program in data processing and Random effect regression model was chosen to test the relationship between internal and external indicators as independent variables include return on asset (ROA), debt to equity ratio (DER), total asset turnover (TATO), oil price and exchange rate. The result shows that return on assets and debt to equity ratio have no effect on stock return. Total asset turnover and exchange rate have negative and significant effect on stock return, while Oil price have positif and significant effect on stock return.","author":[{"dropping-particle":"","family":"Endri","given":"Endri","non-dropping-particle":"","parse-names":false,"suffix":""}],"container-title":"International Journal of Energy Economics and Policy","id":"ITEM-1","issue":"2","issued":{"date-parts":[["2021"]]},"page":"110-114","title":"Oil price and stock return: Evidence of mining companies in Indonesia","type":"article-journal","volume":"11"},"uris":["http://www.mendeley.com/documents/?uuid=9fc45afe-c309-4c99-8cdb-5e685a307771"]}],"mendeley":{"formattedCitation":"(Endri, 2021)","plainTextFormattedCitation":"(Endri, 2021)","previouslyFormattedCitation":"(Endri, 2021)"},"properties":{"noteIndex":0},"schema":"https://github.com/citation-style-language/schema/raw/master/csl-citation.json"}</w:instrText>
      </w:r>
      <w:r w:rsidR="005B783B" w:rsidRPr="0022305D">
        <w:rPr>
          <w:rFonts w:asciiTheme="majorHAnsi" w:hAnsiTheme="majorHAnsi" w:cstheme="majorHAnsi"/>
          <w:sz w:val="24"/>
          <w:szCs w:val="24"/>
        </w:rPr>
        <w:fldChar w:fldCharType="separate"/>
      </w:r>
      <w:r w:rsidR="005B783B" w:rsidRPr="0022305D">
        <w:rPr>
          <w:rFonts w:asciiTheme="majorHAnsi" w:hAnsiTheme="majorHAnsi" w:cstheme="majorHAnsi"/>
          <w:noProof/>
          <w:sz w:val="24"/>
          <w:szCs w:val="24"/>
        </w:rPr>
        <w:t>(Endri, 2021)</w:t>
      </w:r>
      <w:r w:rsidR="005B783B" w:rsidRPr="0022305D">
        <w:rPr>
          <w:rFonts w:asciiTheme="majorHAnsi" w:hAnsiTheme="majorHAnsi" w:cstheme="majorHAnsi"/>
          <w:sz w:val="24"/>
          <w:szCs w:val="24"/>
        </w:rPr>
        <w:fldChar w:fldCharType="end"/>
      </w:r>
      <w:r w:rsidR="005B783B" w:rsidRPr="0022305D">
        <w:rPr>
          <w:rFonts w:asciiTheme="majorHAnsi" w:hAnsiTheme="majorHAnsi" w:cstheme="majorHAnsi"/>
          <w:sz w:val="24"/>
          <w:szCs w:val="24"/>
        </w:rPr>
        <w:t xml:space="preserve">. </w:t>
      </w:r>
    </w:p>
    <w:p w14:paraId="5C2846D9" w14:textId="4CC31CDA" w:rsidR="005B783B" w:rsidRPr="0022305D" w:rsidRDefault="005B783B" w:rsidP="00C37718">
      <w:pPr>
        <w:spacing w:line="480" w:lineRule="auto"/>
        <w:ind w:firstLine="720"/>
        <w:rPr>
          <w:rFonts w:asciiTheme="majorHAnsi" w:hAnsiTheme="majorHAnsi" w:cstheme="majorHAnsi"/>
        </w:rPr>
      </w:pPr>
      <w:r w:rsidRPr="0022305D">
        <w:rPr>
          <w:rFonts w:asciiTheme="majorHAnsi" w:hAnsiTheme="majorHAnsi" w:cstheme="majorHAnsi"/>
          <w:bCs/>
          <w:iCs/>
          <w:sz w:val="24"/>
          <w:szCs w:val="24"/>
        </w:rPr>
        <w:t>On the other hand, return on equity measures how well the management of a firm creates value for its shareholders and is a closely watched financial ratio among equity investors</w:t>
      </w:r>
      <w:r w:rsidRPr="0022305D">
        <w:rPr>
          <w:rFonts w:asciiTheme="majorHAnsi" w:hAnsiTheme="majorHAnsi" w:cstheme="majorHAnsi"/>
          <w:bCs/>
          <w:iCs/>
          <w:sz w:val="24"/>
          <w:szCs w:val="24"/>
        </w:rPr>
        <w:fldChar w:fldCharType="begin" w:fldLock="1"/>
      </w:r>
      <w:r w:rsidRPr="0022305D">
        <w:rPr>
          <w:rFonts w:asciiTheme="majorHAnsi" w:hAnsiTheme="majorHAnsi" w:cstheme="majorHAnsi"/>
          <w:bCs/>
          <w:iCs/>
          <w:sz w:val="24"/>
          <w:szCs w:val="24"/>
        </w:rPr>
        <w:instrText>ADDIN CSL_CITATION {"citationItems":[{"id":"ITEM-1","itemData":{"abstract":"Return on equity (ROE) is a closely watched financial ratio among equity investors. It is a strong measure of how well the management of a firm creates value for its shareholders. Different financial ratios, for instance, Price-to-Book, Price-to-Earnings, Price-to-Sales, Debt-to-Equity, have been used to predict security performance. This study, using ROE to predict portfolio performance, found that investors can create portfolios based on a simple historical financial ratio, i.e., ROE, which will produce positive abnormal return without extensive cumbersome fundamental research. However, portfolios based on higher ROE do not guarantee higher positive abnormal return. This particular strategy could be very cost-effective in the emerging markets where financial data is not readily accessible. JEL Classification: G11","author":[{"dropping-particle":"","family":"Ahsan","given":"Afm Mainul","non-dropping-particle":"","parse-names":false,"suffix":""}],"container-title":"Management, and Financial Markets","id":"ITEM-1","issue":"2","issued":{"date-parts":[["2012"]]},"page":"132-148","title":"Can return on equity be used to predict portfolio performance?","type":"article-journal","volume":"7"},"uris":["http://www.mendeley.com/documents/?uuid=1eefc235-5900-410a-8f52-e881644e942e"]}],"mendeley":{"formattedCitation":"(Ahsan, 2012)","plainTextFormattedCitation":"(Ahsan, 2012)","previouslyFormattedCitation":"(Ahsan, 2012)"},"properties":{"noteIndex":0},"schema":"https://github.com/citation-style-language/schema/raw/master/csl-citation.json"}</w:instrText>
      </w:r>
      <w:r w:rsidRPr="0022305D">
        <w:rPr>
          <w:rFonts w:asciiTheme="majorHAnsi" w:hAnsiTheme="majorHAnsi" w:cstheme="majorHAnsi"/>
          <w:bCs/>
          <w:iCs/>
          <w:sz w:val="24"/>
          <w:szCs w:val="24"/>
        </w:rPr>
        <w:fldChar w:fldCharType="separate"/>
      </w:r>
      <w:r w:rsidRPr="0022305D">
        <w:rPr>
          <w:rFonts w:asciiTheme="majorHAnsi" w:hAnsiTheme="majorHAnsi" w:cstheme="majorHAnsi"/>
          <w:bCs/>
          <w:iCs/>
          <w:noProof/>
          <w:sz w:val="24"/>
          <w:szCs w:val="24"/>
        </w:rPr>
        <w:t>(Ahsan, 2012)</w:t>
      </w:r>
      <w:r w:rsidRPr="0022305D">
        <w:rPr>
          <w:rFonts w:asciiTheme="majorHAnsi" w:hAnsiTheme="majorHAnsi" w:cstheme="majorHAnsi"/>
          <w:bCs/>
          <w:iCs/>
          <w:sz w:val="24"/>
          <w:szCs w:val="24"/>
        </w:rPr>
        <w:fldChar w:fldCharType="end"/>
      </w:r>
      <w:r w:rsidRPr="0022305D">
        <w:rPr>
          <w:rFonts w:asciiTheme="majorHAnsi" w:hAnsiTheme="majorHAnsi" w:cstheme="majorHAnsi"/>
          <w:bCs/>
          <w:iCs/>
          <w:sz w:val="24"/>
          <w:szCs w:val="24"/>
        </w:rPr>
        <w:t>. This implies that a</w:t>
      </w:r>
      <w:r w:rsidRPr="0022305D">
        <w:rPr>
          <w:rFonts w:asciiTheme="majorHAnsi" w:hAnsiTheme="majorHAnsi" w:cstheme="majorHAnsi"/>
          <w:sz w:val="24"/>
          <w:szCs w:val="24"/>
        </w:rPr>
        <w:t xml:space="preserve"> company with a high return on equity have sufficient profit to pay dividends to their shareholders. Therefore, the higher the values</w:t>
      </w:r>
      <w:r w:rsidRPr="0022305D">
        <w:rPr>
          <w:rFonts w:asciiTheme="majorHAnsi" w:hAnsiTheme="majorHAnsi" w:cstheme="majorHAnsi"/>
        </w:rPr>
        <w:t xml:space="preserve"> of return on equity, the higher the value of dividends distributed to shareholders.</w:t>
      </w:r>
    </w:p>
    <w:p w14:paraId="1032CF99" w14:textId="5F0ED82B" w:rsidR="005B783B" w:rsidRPr="0022305D" w:rsidRDefault="005B783B" w:rsidP="005B783B">
      <w:pPr>
        <w:pStyle w:val="Default"/>
        <w:spacing w:line="480" w:lineRule="auto"/>
        <w:ind w:firstLine="720"/>
        <w:rPr>
          <w:rFonts w:asciiTheme="majorHAnsi" w:hAnsiTheme="majorHAnsi" w:cstheme="majorHAnsi"/>
          <w:bCs/>
          <w:iCs/>
          <w:noProof/>
          <w:color w:val="auto"/>
        </w:rPr>
      </w:pPr>
      <w:r w:rsidRPr="0022305D">
        <w:rPr>
          <w:rFonts w:asciiTheme="majorHAnsi" w:hAnsiTheme="majorHAnsi" w:cstheme="majorHAnsi"/>
          <w:bCs/>
          <w:iCs/>
          <w:noProof/>
          <w:color w:val="auto"/>
        </w:rPr>
        <w:fldChar w:fldCharType="begin" w:fldLock="1"/>
      </w:r>
      <w:r w:rsidR="007B2007">
        <w:rPr>
          <w:rFonts w:asciiTheme="majorHAnsi" w:hAnsiTheme="majorHAnsi" w:cstheme="majorHAnsi"/>
          <w:bCs/>
          <w:iCs/>
          <w:noProof/>
          <w:color w:val="auto"/>
        </w:rPr>
        <w:instrText>ADDIN CSL_CITATION {"citationItems":[{"id":"ITEM-1","itemData":{"author":[{"dropping-particle":"","family":"Arimi","given":"Jesse Kaumbuthu","non-dropping-particle":"","parse-names":false,"suffix":""}],"container-title":"Journal of Accountancy and Finance","id":"ITEM-1","issue":"November","issued":{"date-parts":[["2010"]]},"title":"The relationship between capital structure and financial performance: A study of firms listed under industrial and allied sector at the Nairobi stock exchange","type":"article-journal"},"uris":["http://www.mendeley.com/documents/?uuid=21441988-efcd-4cc3-8bc2-50b0c9f0a8f5"]}],"mendeley":{"formattedCitation":"(Arimi, 2010)","manualFormatting":"Arimi (2010)","plainTextFormattedCitation":"(Arimi, 2010)","previouslyFormattedCitation":"(Arimi, 2010)"},"properties":{"noteIndex":0},"schema":"https://github.com/citation-style-language/schema/raw/master/csl-citation.json"}</w:instrText>
      </w:r>
      <w:r w:rsidRPr="0022305D">
        <w:rPr>
          <w:rFonts w:asciiTheme="majorHAnsi" w:hAnsiTheme="majorHAnsi" w:cstheme="majorHAnsi"/>
          <w:bCs/>
          <w:iCs/>
          <w:noProof/>
          <w:color w:val="auto"/>
        </w:rPr>
        <w:fldChar w:fldCharType="separate"/>
      </w:r>
      <w:r w:rsidRPr="0022305D">
        <w:rPr>
          <w:rFonts w:asciiTheme="majorHAnsi" w:hAnsiTheme="majorHAnsi" w:cstheme="majorHAnsi"/>
          <w:bCs/>
          <w:iCs/>
          <w:noProof/>
          <w:color w:val="auto"/>
        </w:rPr>
        <w:t>Arimi (2010)</w:t>
      </w:r>
      <w:r w:rsidRPr="0022305D">
        <w:rPr>
          <w:rFonts w:asciiTheme="majorHAnsi" w:hAnsiTheme="majorHAnsi" w:cstheme="majorHAnsi"/>
          <w:bCs/>
          <w:iCs/>
          <w:noProof/>
          <w:color w:val="auto"/>
        </w:rPr>
        <w:fldChar w:fldCharType="end"/>
      </w:r>
      <w:r w:rsidRPr="0022305D">
        <w:rPr>
          <w:rFonts w:asciiTheme="majorHAnsi" w:hAnsiTheme="majorHAnsi" w:cstheme="majorHAnsi"/>
          <w:bCs/>
          <w:iCs/>
          <w:noProof/>
          <w:color w:val="auto"/>
        </w:rPr>
        <w:t xml:space="preserve"> examined the relationship between capital structure and financial performance of industrial sector firms listed at the nairobi stock exchange for the period 2004 – 2008. His main objective was to establish the relationship between debt equity ratio (DER) and return on equity (ROE) for Industrial and Allied Sector (IAS) companies listed at the NSE. The research design was a descriptive survey. The population of the study consisted of all the companies quoted on the NSE under the Industrial and Allied Sector. Secondary data was used for the study and regression analysis to analysed the data. The study found that there is a signifigant strong negative relationship between </w:t>
      </w:r>
      <w:r w:rsidR="00BE06BC">
        <w:rPr>
          <w:rFonts w:asciiTheme="majorHAnsi" w:hAnsiTheme="majorHAnsi" w:cstheme="majorHAnsi"/>
          <w:bCs/>
          <w:iCs/>
          <w:noProof/>
          <w:color w:val="auto"/>
        </w:rPr>
        <w:t>total debt to equity</w:t>
      </w:r>
      <w:r w:rsidRPr="0022305D">
        <w:rPr>
          <w:rFonts w:asciiTheme="majorHAnsi" w:hAnsiTheme="majorHAnsi" w:cstheme="majorHAnsi"/>
          <w:bCs/>
          <w:iCs/>
          <w:noProof/>
          <w:color w:val="auto"/>
        </w:rPr>
        <w:t xml:space="preserve"> ratio and return on equity. </w:t>
      </w:r>
    </w:p>
    <w:p w14:paraId="0852CF1E" w14:textId="7D48F817" w:rsidR="005B783B" w:rsidRPr="0022305D" w:rsidRDefault="005B783B" w:rsidP="005B783B">
      <w:pPr>
        <w:pStyle w:val="Default"/>
        <w:spacing w:line="480" w:lineRule="auto"/>
        <w:ind w:firstLine="720"/>
        <w:rPr>
          <w:rFonts w:asciiTheme="majorHAnsi" w:hAnsiTheme="majorHAnsi" w:cstheme="majorHAnsi"/>
          <w:bCs/>
          <w:iCs/>
          <w:color w:val="auto"/>
        </w:rPr>
      </w:pP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{"citationItems":[{"id":"ITEM-1","itemData":{"DOI":"10.25255/jss.2016.5.3.408.424","ISSN":"23059494","abstract":"This study examines the relationship between several financial indicators (profitability&amp; leverage measures) and stock return, to assist the management in the Jordanian manufacturing companies in decision making. The study sample consists of 65 manufacturing companies that have been listed in Amman Stock Exchange over the 10-year period (2001-2011). Five financial ratios are used to examine the relationship between profitability measures (Net Profit margin (NPM), Gross Profit Margin (GPM), Return on Assets (ROA), Return on Equity (ROE), Earnings per Share (EPS)) and stock returns.Three financial ratios are used to examine the relationship between leverage measures (Debt Ratio (DR), Debt to Equity Ratio (DER), Interest Coverage Ratio (CR)) and stock returns. Statistical analysis undertaken to examine the relationship between stock return and the financial indicators (Profitability and Leverage measures) are: correlation analysis, multiple regression and descriptive statistics. Data are obtained from the published annual reports and the monthly statistical bulletins issued by (ASE) over the study period. The results show that (GPM), (ROA), (ROE), and (EPS) have a significant relationship with stock return. And the others (NPM) and leverage measures ((DR), (DER), and (CR)) don't have a significant relationship with stock return. This study recommends managers of manufacturing companies to focus more on financial ratios that have significant relationship with stock return for more profits and less debts, future research is also recommended to examine this relation in other sectors and to use other financial ratios.","author":[{"dropping-particle":"","family":"Allozi","given":"Nurah Musa","non-dropping-particle":"","parse-names":false,"suffix":""},{"dropping-particle":"","family":"Obeidat","given":"Ghassan","non-dropping-particle":"","parse-names":false,"suffix":""}],"container-title":"Journal of Social Sciences","id":"ITEM-1","issue":"3","issued":{"date-parts":[["2016"]]},"page":"408-424","title":"The relationship between the stock return and financial indicators (Profitability, Leverage): An empirical study on manufacturing companies listed in Amman stock exchange","type":"article-journal","volume":"5"},"uris":["http://www.mendeley.com/documents/?uuid=d4cc606d-9fb2-45e0-be5a-f28f48ff3214"]}],"mendeley":{"formattedCitation":"(Allozi &amp; Obeidat, 2016)","manualFormatting":"Allozi and Obeidat (2016)","plainTextFormattedCitation":"(Allozi &amp; Obeidat, 2016)","previouslyFormattedCitation":"(Allozi &amp; Obeidat, 2016)"},"properties":{"noteIndex":0},"schema":"https://github.com/citation-style-language/schema/raw/master/csl-citation.json"}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Allozi and Obeidat (2016)</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examined the relationship between profitability, leverage and stock return of manufacturing companies listed </w:t>
      </w:r>
      <w:r w:rsidRPr="0022305D">
        <w:rPr>
          <w:rFonts w:asciiTheme="majorHAnsi" w:hAnsiTheme="majorHAnsi" w:cstheme="majorHAnsi"/>
          <w:bCs/>
          <w:iCs/>
          <w:color w:val="000000" w:themeColor="text1"/>
        </w:rPr>
        <w:t xml:space="preserve">in Amman stock exchange in Jordan. The study sample consisted of 65 manufacturing companies listed in Amman Stock Exchange over the 10- year period (2001-2011). Data were obtained from the </w:t>
      </w:r>
      <w:r w:rsidRPr="0022305D">
        <w:rPr>
          <w:rFonts w:asciiTheme="majorHAnsi" w:hAnsiTheme="majorHAnsi" w:cstheme="majorHAnsi"/>
          <w:bCs/>
          <w:iCs/>
          <w:color w:val="000000" w:themeColor="text1"/>
        </w:rPr>
        <w:lastRenderedPageBreak/>
        <w:t xml:space="preserve">published annual reports and </w:t>
      </w:r>
      <w:r w:rsidRPr="0022305D">
        <w:rPr>
          <w:rFonts w:asciiTheme="majorHAnsi" w:hAnsiTheme="majorHAnsi" w:cstheme="majorHAnsi"/>
          <w:bCs/>
          <w:iCs/>
          <w:color w:val="auto"/>
        </w:rPr>
        <w:t xml:space="preserve">the monthly statistical bulletins over the study period of eleven years (2001-2011). Net profit margin, return on assets and return on equity were used to examine profitability while </w:t>
      </w:r>
      <w:r w:rsidR="00CB2CDC">
        <w:rPr>
          <w:rFonts w:asciiTheme="majorHAnsi" w:hAnsiTheme="majorHAnsi" w:cstheme="majorHAnsi"/>
          <w:bCs/>
          <w:iCs/>
          <w:color w:val="auto"/>
        </w:rPr>
        <w:t>total debt to total assets ratio</w:t>
      </w:r>
      <w:r w:rsidRPr="0022305D">
        <w:rPr>
          <w:rFonts w:asciiTheme="majorHAnsi" w:hAnsiTheme="majorHAnsi" w:cstheme="majorHAnsi"/>
          <w:bCs/>
          <w:iCs/>
          <w:color w:val="auto"/>
        </w:rPr>
        <w:t xml:space="preserve">, </w:t>
      </w:r>
      <w:r w:rsidR="00BE06BC">
        <w:rPr>
          <w:rFonts w:asciiTheme="majorHAnsi" w:hAnsiTheme="majorHAnsi" w:cstheme="majorHAnsi"/>
          <w:bCs/>
          <w:iCs/>
          <w:color w:val="auto"/>
        </w:rPr>
        <w:t>total debt to equity</w:t>
      </w:r>
      <w:r w:rsidRPr="0022305D">
        <w:rPr>
          <w:rFonts w:asciiTheme="majorHAnsi" w:hAnsiTheme="majorHAnsi" w:cstheme="majorHAnsi"/>
          <w:bCs/>
          <w:iCs/>
          <w:color w:val="auto"/>
        </w:rPr>
        <w:t xml:space="preserve"> ratio and interest coverage ratio were used to measure leverage. Statistical analysis undertaken include correlation analysis, multiple regression analysis and descriptive statistics. The results show that </w:t>
      </w:r>
      <w:r w:rsidR="00BE06BC">
        <w:rPr>
          <w:rFonts w:asciiTheme="majorHAnsi" w:hAnsiTheme="majorHAnsi" w:cstheme="majorHAnsi"/>
          <w:bCs/>
          <w:iCs/>
          <w:color w:val="auto"/>
        </w:rPr>
        <w:t>total debt to equity</w:t>
      </w:r>
      <w:r w:rsidRPr="0022305D">
        <w:rPr>
          <w:rFonts w:asciiTheme="majorHAnsi" w:hAnsiTheme="majorHAnsi" w:cstheme="majorHAnsi"/>
          <w:bCs/>
          <w:iCs/>
          <w:color w:val="auto"/>
        </w:rPr>
        <w:t xml:space="preserve"> ratio do not have a significant relationship with stock return. </w:t>
      </w:r>
    </w:p>
    <w:p w14:paraId="6BE05DA7" w14:textId="26E03C52" w:rsidR="005B783B" w:rsidRPr="0022305D" w:rsidRDefault="005B783B" w:rsidP="005B783B">
      <w:pPr>
        <w:pStyle w:val="Default"/>
        <w:spacing w:line="480" w:lineRule="auto"/>
        <w:ind w:firstLine="720"/>
        <w:rPr>
          <w:rFonts w:asciiTheme="majorHAnsi" w:hAnsiTheme="majorHAnsi" w:cstheme="majorHAnsi"/>
          <w:bCs/>
          <w:iCs/>
          <w:color w:val="auto"/>
        </w:rPr>
      </w:pPr>
      <w:r w:rsidRPr="0022305D">
        <w:rPr>
          <w:rFonts w:asciiTheme="majorHAnsi" w:hAnsiTheme="majorHAnsi" w:cstheme="majorHAnsi"/>
          <w:bCs/>
          <w:iCs/>
          <w:color w:val="auto"/>
        </w:rPr>
        <w:t xml:space="preserve">On the contrary,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DOI":"10.1515/sbe-2017-0036","author":[{"dropping-particle":"","family":"Mihaela","given":"Herciu","non-dropping-particle":"","parse-names":false,"suffix":""},{"dropping-particle":"","family":"Claudia","given":"Ogrean","non-dropping-particle":"","parse-names":false,"suffix":""}],"container-title":"Journal of Business and Economics","id":"ITEM-1","issue":"12","issued":{"date-parts":[["2017"]]},"page":"50-62","title":"Does capital struscture influence company profitability ?","type":"article-journal","volume":"12"},"uris":["http://www.mendeley.com/documents/?uuid=91653f8f-339e-4dbf-a312-3da2e454304d"]}],"mendeley":{"formattedCitation":"(Mihaela &amp; Claudia, 2017)","manualFormatting":"Mihaela and Claudia (2017)","plainTextFormattedCitation":"(Mihaela &amp; Claudia, 2017)","previouslyFormattedCitation":"(Mihaela &amp; Claudia, 2017)"},"properties":{"noteIndex":0},"schema":"https://github.com/citation-style-language/schema/raw/master/csl-citation.json"}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Mihaela and Claudia (2017)</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found a  strong and positive relationship between </w:t>
      </w:r>
      <w:r w:rsidR="00BE06BC">
        <w:rPr>
          <w:rFonts w:asciiTheme="majorHAnsi" w:hAnsiTheme="majorHAnsi" w:cstheme="majorHAnsi"/>
          <w:bCs/>
          <w:iCs/>
          <w:color w:val="auto"/>
        </w:rPr>
        <w:t>total debt to equity</w:t>
      </w:r>
      <w:r w:rsidRPr="0022305D">
        <w:rPr>
          <w:rFonts w:asciiTheme="majorHAnsi" w:hAnsiTheme="majorHAnsi" w:cstheme="majorHAnsi"/>
          <w:bCs/>
          <w:iCs/>
          <w:color w:val="auto"/>
        </w:rPr>
        <w:t xml:space="preserve"> ratio and return on equity of technology, health care and telecommunication sectors in the world. The population of the study consisted of the top 100 most profitable companies in the world out of which 59 non-financial ones were selected. Descriptive statistics, regressions and correlations were used to analyze the data. </w:t>
      </w:r>
    </w:p>
    <w:p w14:paraId="1975D2DF" w14:textId="77777777" w:rsidR="005B783B" w:rsidRPr="0022305D" w:rsidRDefault="005B783B" w:rsidP="005B783B">
      <w:pPr>
        <w:pStyle w:val="Default"/>
        <w:spacing w:line="480" w:lineRule="auto"/>
        <w:ind w:firstLine="720"/>
        <w:rPr>
          <w:rFonts w:asciiTheme="majorHAnsi" w:hAnsiTheme="majorHAnsi" w:cstheme="majorHAnsi"/>
          <w:bCs/>
          <w:iCs/>
          <w:color w:val="auto"/>
        </w:rPr>
      </w:pPr>
      <w:r w:rsidRPr="0022305D">
        <w:rPr>
          <w:rFonts w:asciiTheme="majorHAnsi" w:hAnsiTheme="majorHAnsi" w:cstheme="majorHAnsi"/>
          <w:bCs/>
          <w:iCs/>
          <w:color w:val="auto"/>
        </w:rPr>
        <w:t xml:space="preserve">The population of the study by Arimi (2010),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{"citationItems":[{"id":"ITEM-1","itemData":{"DOI":"10.25255/jss.2016.5.3.408.424","ISSN":"23059494","abstract":"This study examines the relationship between several financial indicators (profitability&amp; leverage measures) and stock return, to assist the management in the Jordanian manufacturing companies in decision making. The study sample consists of 65 manufacturing companies that have been listed in Amman Stock Exchange over the 10-year period (2001-2011). Five financial ratios are used to examine the relationship between profitability measures (Net Profit margin (NPM), Gross Profit Margin (GPM), Return on Assets (ROA), Return on Equity (ROE), Earnings per Share (EPS)) and stock returns.Three financial ratios are used to examine the relationship between leverage measures (Debt Ratio (DR), Debt to Equity Ratio (DER), Interest Coverage Ratio (CR)) and stock returns. Statistical analysis undertaken to examine the relationship between stock return and the financial indicators (Profitability and Leverage measures) are: correlation analysis, multiple regression and descriptive statistics. Data are obtained from the published annual reports and the monthly statistical bulletins issued by (ASE) over the study period. The results show that (GPM), (ROA), (ROE), and (EPS) have a significant relationship with stock return. And the others (NPM) and leverage measures ((DR), (DER), and (CR)) don't have a significant relationship with stock return. This study recommends managers of manufacturing companies to focus more on financial ratios that have significant relationship with stock return for more profits and less debts, future research is also recommended to examine this relation in other sectors and to use other financial ratios.","author":[{"dropping-particle":"","family":"Allozi","given":"Nurah Musa","non-dropping-particle":"","parse-names":false,"suffix":""},{"dropping-particle":"","family":"Obeidat","given":"Ghassan","non-dropping-particle":"","parse-names":false,"suffix":""}],"container-title":"Journal of Social Sciences","id":"ITEM-1","issue":"3","issued":{"date-parts":[["2016"]]},"page":"408-424","title":"The relationship between the stock return and financial indicators (Profitability, Leverage): An empirical study on manufacturing companies listed in Amman stock exchange","type":"article-journal","volume":"5"},"uris":["http://www.mendeley.com/documents/?uuid=d4cc606d-9fb2-45e0-be5a-f28f48ff3214"]}],"mendeley":{"formattedCitation":"(Allozi &amp; Obeidat, 2016)","manualFormatting":"Allozi and Obeidat (2016)","plainTextFormattedCitation":"(Allozi &amp; Obeidat, 2016)","previouslyFormattedCitation":"(Allozi &amp; Obeidat, 2016)"},"properties":{"noteIndex":0},"schema":"https://github.com/citation-style-language/schema/raw/master/csl-citation.json"}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Allozi and Obeidat (2016)</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and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DOI":"10.1515/sbe-2017-0036","author":[{"dropping-particle":"","family":"Mihaela","given":"Herciu","non-dropping-particle":"","parse-names":false,"suffix":""},{"dropping-particle":"","family":"Claudia","given":"Ogrean","non-dropping-particle":"","parse-names":false,"suffix":""}],"container-title":"Journal of Business and Economics","id":"ITEM-1","issue":"12","issued":{"date-parts":[["2017"]]},"page":"50-62","title":"Does capital struscture influence company profitability ?","type":"article-journal","volume":"12"},"uris":["http://www.mendeley.com/documents/?uuid=91653f8f-339e-4dbf-a312-3da2e454304d"]}],"mendeley":{"formattedCitation":"(Mihaela &amp; Claudia, 2017)","manualFormatting":"Mihaela and Claudia (2017)","plainTextFormattedCitation":"(Mihaela &amp; Claudia, 2017)","previouslyFormattedCitation":"(Mihaela &amp; Claudia, 2017)"},"properties":{"noteIndex":0},"schema":"https://github.com/citation-style-language/schema/raw/master/csl-citation.json"}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Mihaela and Claudia (2017)</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consisted of 11 banks, 65 manufacturing companies and 100 profitable companies respectively. Also, the time scope for the studies by the above scholars are five years (</w:t>
      </w:r>
      <w:r w:rsidRPr="0022305D">
        <w:rPr>
          <w:rFonts w:asciiTheme="majorHAnsi" w:hAnsiTheme="majorHAnsi" w:cstheme="majorHAnsi"/>
          <w:bCs/>
          <w:iCs/>
          <w:noProof/>
          <w:color w:val="auto"/>
        </w:rPr>
        <w:t xml:space="preserve">2004 – 2008), eleven years </w:t>
      </w:r>
      <w:r w:rsidRPr="0022305D">
        <w:rPr>
          <w:rFonts w:asciiTheme="majorHAnsi" w:hAnsiTheme="majorHAnsi" w:cstheme="majorHAnsi"/>
          <w:bCs/>
          <w:iCs/>
          <w:color w:val="000000" w:themeColor="text1"/>
        </w:rPr>
        <w:t>(2001-2011) and one year (2017) respectively. Contrary to the above literature, the current study used a population of 43 commercial banks in Kenya for a period of ten years (2011-2020).</w:t>
      </w:r>
    </w:p>
    <w:p w14:paraId="58276A96" w14:textId="77777777" w:rsidR="005B783B" w:rsidRPr="0022305D" w:rsidRDefault="005B783B" w:rsidP="005B783B">
      <w:pPr>
        <w:pStyle w:val="Heading2"/>
        <w:spacing w:line="480" w:lineRule="auto"/>
        <w:rPr>
          <w:rFonts w:asciiTheme="majorHAnsi" w:hAnsiTheme="majorHAnsi" w:cstheme="majorHAnsi"/>
        </w:rPr>
      </w:pPr>
    </w:p>
    <w:p w14:paraId="7B30D175" w14:textId="02726095" w:rsidR="005B783B" w:rsidRPr="00A96563" w:rsidRDefault="005B783B" w:rsidP="004478B6">
      <w:pPr>
        <w:pStyle w:val="Heading2"/>
        <w:spacing w:line="480" w:lineRule="auto"/>
        <w:jc w:val="left"/>
        <w:rPr>
          <w:rFonts w:asciiTheme="majorHAnsi" w:hAnsiTheme="majorHAnsi" w:cstheme="majorHAnsi"/>
          <w:bCs/>
          <w:sz w:val="28"/>
          <w:szCs w:val="28"/>
        </w:rPr>
      </w:pPr>
      <w:bookmarkStart w:id="49" w:name="_Toc76494399"/>
      <w:bookmarkStart w:id="50" w:name="_Toc78205790"/>
      <w:r w:rsidRPr="00A96563">
        <w:rPr>
          <w:rFonts w:asciiTheme="majorHAnsi" w:hAnsiTheme="majorHAnsi" w:cstheme="majorHAnsi"/>
          <w:sz w:val="28"/>
          <w:szCs w:val="28"/>
        </w:rPr>
        <w:t>Relatio</w:t>
      </w:r>
      <w:r w:rsidR="00113952" w:rsidRPr="00A96563">
        <w:rPr>
          <w:rFonts w:asciiTheme="majorHAnsi" w:hAnsiTheme="majorHAnsi" w:cstheme="majorHAnsi"/>
          <w:sz w:val="28"/>
          <w:szCs w:val="28"/>
        </w:rPr>
        <w:t>n</w:t>
      </w:r>
      <w:r w:rsidRPr="00A96563">
        <w:rPr>
          <w:rFonts w:asciiTheme="majorHAnsi" w:hAnsiTheme="majorHAnsi" w:cstheme="majorHAnsi"/>
          <w:sz w:val="28"/>
          <w:szCs w:val="28"/>
        </w:rPr>
        <w:t xml:space="preserve">ship between </w:t>
      </w:r>
      <w:r w:rsidR="00BE06BC">
        <w:rPr>
          <w:rFonts w:asciiTheme="majorHAnsi" w:hAnsiTheme="majorHAnsi" w:cstheme="majorHAnsi"/>
          <w:sz w:val="28"/>
          <w:szCs w:val="28"/>
        </w:rPr>
        <w:t>total debt to equity</w:t>
      </w:r>
      <w:r w:rsidRPr="00A96563">
        <w:rPr>
          <w:rFonts w:asciiTheme="majorHAnsi" w:hAnsiTheme="majorHAnsi" w:cstheme="majorHAnsi"/>
          <w:sz w:val="28"/>
          <w:szCs w:val="28"/>
        </w:rPr>
        <w:t xml:space="preserve"> ratio and return on assets.</w:t>
      </w:r>
      <w:bookmarkEnd w:id="49"/>
      <w:bookmarkEnd w:id="50"/>
    </w:p>
    <w:p w14:paraId="1AE074F6" w14:textId="729DA8D8" w:rsidR="005B783B" w:rsidRPr="0022305D" w:rsidRDefault="005B783B" w:rsidP="005B783B">
      <w:pPr>
        <w:pStyle w:val="Default"/>
        <w:spacing w:line="480" w:lineRule="auto"/>
        <w:ind w:firstLine="720"/>
        <w:rPr>
          <w:rFonts w:asciiTheme="majorHAnsi" w:hAnsiTheme="majorHAnsi" w:cstheme="majorHAnsi"/>
          <w:bCs/>
          <w:iCs/>
          <w:color w:val="auto"/>
        </w:rPr>
      </w:pPr>
      <w:r w:rsidRPr="0022305D">
        <w:rPr>
          <w:rFonts w:asciiTheme="majorHAnsi" w:hAnsiTheme="majorHAnsi" w:cstheme="majorHAnsi"/>
          <w:bCs/>
          <w:iCs/>
          <w:color w:val="auto"/>
        </w:rPr>
        <w:t>According to</w:t>
      </w:r>
      <w:r w:rsidRPr="0022305D">
        <w:rPr>
          <w:rFonts w:asciiTheme="majorHAnsi" w:hAnsiTheme="majorHAnsi" w:cstheme="majorHAnsi"/>
          <w:bCs/>
          <w:iCs/>
          <w:color w:val="auto"/>
        </w:rPr>
        <w:fldChar w:fldCharType="begin" w:fldLock="1"/>
      </w:r>
      <w:r w:rsidR="0002347B">
        <w:rPr>
          <w:rFonts w:asciiTheme="majorHAnsi" w:hAnsiTheme="majorHAnsi" w:cstheme="majorHAnsi"/>
          <w:bCs/>
          <w:iCs/>
          <w:color w:val="auto"/>
        </w:rPr>
        <w:instrText>ADDIN CSL_CITATION {"citationItems":[{"id":"ITEM-1","itemData":{"DOI":"10.1007/1-4020-0612-8_202","abstract":"Abstrak: Investasi dilakukan dengan tujuan untuk memperoleh keuntungan sesuai dengan yang diharapkan. Oleh karena itu, untuk mencapai tujuan tersebut perusahaan harus meningkatkan nilai perusahaan. Penelitian ini bertujuan untuk mengetahui pengaruh rasio keuangan yang di wakili oleh Current Ratio (CR), Debt to Equity Ratio (DER), Return On Asset (ROA) dan Return On Equity (ROE) terhadap harga saham.Teknik pengambilan sampel menggunakan teknik NonProbability Sampling dengan metode Purposive Sampling dan diperoleh 6 perusahaan sebagai sampel penelitian. Metode analisis data mengunakan uji Regresi. Hasil penelitian menunjukan bahwa Current Ratio (CR),Debt to Equity Ratio(DER), Return on Asset (ROA) dan Return on Equity (ROE) secara simultan berpengaruh signifikan terhadap Harga Saham. Bagi para investor diharapkan memperhatikan Current Ratio, Debt to Equity Ratio, Return on Asset, Return on Equity sebelum berinvestasi. Kata kunci: current ratio, debt to equity ratio, return on asset, return on equity,harga saham Abstract: Investments made for the purpose of obtaining a profit as expected. Therefore, to achieve these objectives the company must increase the value of the company. This study aims to determine the effect of financial ratios represented by the Current Ratio (CR), Debt to Equity Ratio (DER), Return on Assets (ROA) and Return on Equity (ROE) on stock price.Sampling technique using sampling nonprobability with purposive sampling method and acquired 6 companies as research samples. Methods of data analysis using regression test. These results indicate that the Current Ratio (CR), Debt to Equity Ratio (DER), Return on Assets (ROA) and Return on Equity (ROE) simultaneously have significant effect on stock price. For the investors are expected to pay attention to Current Ratio, Debt To Equity Ratio, Return on Assets, Return on Equity before investing. Keywords: current ratio, debt to equity ratio, return on asset, return on equity, stock price","author":[{"dropping-particle":"","family":"Sondakh","given":"Frendy","non-dropping-particle":"","parse-names":false,"suffix":""}],"container-title":"Journal of Production and Manufacturing Management","id":"ITEM-1","issue":"2","issued":{"date-parts":[["2016"]]},"page":"138-138","title":"Current Ratio","type":"article-journal","volume":"3"},"uris":["http://www.mendeley.com/documents/?uuid=834e2b23-aa0a-4a18-aef3-c4d1ad8202ec"]}],"mendeley":{"formattedCitation":"(Sondakh, 2016)","manualFormatting":" Sondakh (2016)","plainTextFormattedCitation":"(Sondakh, 2016)","previouslyFormattedCitation":"(Sondakh, 2016)"},"properties":{"noteIndex":0},"schema":"https://github.com/citation-style-language/schema/raw/master/csl-citation.json"}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 xml:space="preserve"> Sondakh (2016)</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w:t>
      </w:r>
      <w:r w:rsidR="00BE06BC">
        <w:rPr>
          <w:rFonts w:asciiTheme="majorHAnsi" w:hAnsiTheme="majorHAnsi" w:cstheme="majorHAnsi"/>
          <w:bCs/>
          <w:iCs/>
          <w:color w:val="auto"/>
        </w:rPr>
        <w:t>total debt to equity</w:t>
      </w:r>
      <w:r w:rsidRPr="0022305D">
        <w:rPr>
          <w:rFonts w:asciiTheme="majorHAnsi" w:hAnsiTheme="majorHAnsi" w:cstheme="majorHAnsi"/>
          <w:bCs/>
          <w:iCs/>
          <w:color w:val="auto"/>
        </w:rPr>
        <w:t xml:space="preserve"> ratio shows a proportional relationship between debt and equity.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{"citationItems":[{"id":"ITEM-1","itemData":{"author":[{"dropping-particle":"","family":"Sari","given":"Lusia","non-dropping-particle":"","parse-names":false,"suffix":""}],"container-title":"Journal of Applied Finance and Accounting","id":"ITEM-1","issue":"2","issued":{"date-parts":[["2016"]]},"page":"1-13","title":"Debt to equity ratio, degree of operating leverage stock beta and stock returns of food and bevarage companies in Indonession stock exchangee","type":"article-journal","volume":"2"},"uris":["http://www.mendeley.com/documents/?uuid=1473f260-8819-488b-9cea-d385a9c484e0"]}],"mendeley":{"formattedCitation":"(Sari, 2016)","manualFormatting":"Sari (2016)","plainTextFormattedCitation":"(Sari, 2016)","previouslyFormattedCitation":"(Sari, 2016)"},"properties":{"noteIndex":0},"schema":"https://github.com/citation-style-language/schema/raw/master/csl-citation.json"}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Sari (2016)</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argued that a lower </w:t>
      </w:r>
      <w:r w:rsidR="00BE06BC">
        <w:rPr>
          <w:rFonts w:asciiTheme="majorHAnsi" w:hAnsiTheme="majorHAnsi" w:cstheme="majorHAnsi"/>
          <w:bCs/>
          <w:iCs/>
          <w:color w:val="auto"/>
        </w:rPr>
        <w:t>total debt to equity</w:t>
      </w:r>
      <w:r w:rsidRPr="0022305D">
        <w:rPr>
          <w:rFonts w:asciiTheme="majorHAnsi" w:hAnsiTheme="majorHAnsi" w:cstheme="majorHAnsi"/>
          <w:bCs/>
          <w:iCs/>
          <w:color w:val="auto"/>
        </w:rPr>
        <w:t xml:space="preserve"> </w:t>
      </w:r>
      <w:r w:rsidRPr="0022305D">
        <w:rPr>
          <w:rFonts w:asciiTheme="majorHAnsi" w:hAnsiTheme="majorHAnsi" w:cstheme="majorHAnsi"/>
          <w:bCs/>
          <w:iCs/>
          <w:color w:val="auto"/>
        </w:rPr>
        <w:lastRenderedPageBreak/>
        <w:t xml:space="preserve">ratio means that total debt is relatively lower compared to total equity; while a company with high level of </w:t>
      </w:r>
      <w:r w:rsidR="00BE06BC">
        <w:rPr>
          <w:rFonts w:asciiTheme="majorHAnsi" w:hAnsiTheme="majorHAnsi" w:cstheme="majorHAnsi"/>
          <w:bCs/>
          <w:iCs/>
          <w:color w:val="auto"/>
        </w:rPr>
        <w:t>total debt to equity</w:t>
      </w:r>
      <w:r w:rsidRPr="0022305D">
        <w:rPr>
          <w:rFonts w:asciiTheme="majorHAnsi" w:hAnsiTheme="majorHAnsi" w:cstheme="majorHAnsi"/>
          <w:bCs/>
          <w:iCs/>
          <w:color w:val="auto"/>
        </w:rPr>
        <w:t xml:space="preserve"> ratio may provide higher returns to its shareholders, in line with the risk that is faced by the company compared to other companies with lower debt equity ratio. </w:t>
      </w:r>
    </w:p>
    <w:p w14:paraId="2FF3B3CC" w14:textId="183710D3" w:rsidR="005B783B" w:rsidRPr="0022305D" w:rsidRDefault="005B783B" w:rsidP="005B783B">
      <w:pPr>
        <w:pStyle w:val="Default"/>
        <w:spacing w:line="480" w:lineRule="auto"/>
        <w:ind w:firstLine="720"/>
        <w:rPr>
          <w:rFonts w:asciiTheme="majorHAnsi" w:hAnsiTheme="majorHAnsi" w:cstheme="majorHAnsi"/>
          <w:bCs/>
          <w:iCs/>
          <w:color w:val="auto"/>
        </w:rPr>
      </w:pPr>
      <w:r w:rsidRPr="0022305D">
        <w:rPr>
          <w:rFonts w:asciiTheme="majorHAnsi" w:hAnsiTheme="majorHAnsi" w:cstheme="majorHAnsi"/>
          <w:bCs/>
          <w:iCs/>
          <w:color w:val="auto"/>
        </w:rPr>
        <w:t xml:space="preserve">Literature has shown different results on the relationship between </w:t>
      </w:r>
      <w:r w:rsidR="00BE06BC">
        <w:rPr>
          <w:rFonts w:asciiTheme="majorHAnsi" w:hAnsiTheme="majorHAnsi" w:cstheme="majorHAnsi"/>
          <w:bCs/>
          <w:iCs/>
          <w:color w:val="auto"/>
        </w:rPr>
        <w:t>total debt to equity</w:t>
      </w:r>
      <w:r w:rsidRPr="0022305D">
        <w:rPr>
          <w:rFonts w:asciiTheme="majorHAnsi" w:hAnsiTheme="majorHAnsi" w:cstheme="majorHAnsi"/>
          <w:bCs/>
          <w:iCs/>
          <w:color w:val="auto"/>
        </w:rPr>
        <w:t xml:space="preserve"> ratio and return on assets where some empirical results have shown a positive relationship; for example,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{"citationItems":[{"id":"ITEM-1","itemData":{"author":[{"dropping-particle":"","family":"Sari","given":"Lusia","non-dropping-particle":"","parse-names":false,"suffix":""}],"container-title":"Journal of Applied Finance and Accounting","id":"ITEM-1","issue":"2","issued":{"date-parts":[["2016"]]},"page":"1-13","title":"Debt to equity ratio, degree of operating leverage stock beta and stock returns of food and bevarage companies in Indonession stock exchangee","type":"article-journal","volume":"2"},"uris":["http://www.mendeley.com/documents/?uuid=1473f260-8819-488b-9cea-d385a9c484e0"]}],"mendeley":{"formattedCitation":"(Sari, 2016)","manualFormatting":"Sari (2016)","plainTextFormattedCitation":"(Sari, 2016)","previouslyFormattedCitation":"(Sari, 2016)"},"properties":{"noteIndex":0},"schema":"https://github.com/citation-style-language/schema/raw/master/csl-citation.json"}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Sari (2016)</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concluded that there is strong and significant positive relationship between </w:t>
      </w:r>
      <w:r w:rsidR="00BE06BC">
        <w:rPr>
          <w:rFonts w:asciiTheme="majorHAnsi" w:hAnsiTheme="majorHAnsi" w:cstheme="majorHAnsi"/>
          <w:bCs/>
          <w:iCs/>
          <w:color w:val="auto"/>
        </w:rPr>
        <w:t>total debt to equity</w:t>
      </w:r>
      <w:r w:rsidRPr="0022305D">
        <w:rPr>
          <w:rFonts w:asciiTheme="majorHAnsi" w:hAnsiTheme="majorHAnsi" w:cstheme="majorHAnsi"/>
          <w:bCs/>
          <w:iCs/>
          <w:color w:val="auto"/>
        </w:rPr>
        <w:t xml:space="preserve"> ratio and return on assets in beverage companies listed at the Indonesian stock exchange. Secondary data for a period of 6 years (2003-2008) was collected and analyzed using SPSS version 18 from a population of 12 companies. Likewise,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{"citationItems":[{"id":"ITEM-1","itemData":{"abstract":"Sugar Industry is the 2nd most main industry of Pakistan after cotton. Pakistan is rich in the production of sugar, most of the production of sugar is consumed by the locals and surplus is exported. It is general concept that financial leverage and financial performance has positive relationship. The objective of the current study is to investigate the influence of financial leverage on financial and to investigate whether financial leverage has an effect on financial performance by taking evidence from listed sugar companies of Pakistan. The results of the study show the mix results. The results show the positive relationship of debt equity ratio with return on asset and sales growth, and negative relationship of debt equity ratio with earning per share, net profit margin and return on equity.","author":[{"dropping-particle":"","family":"Rehman","given":"Ur","non-dropping-particle":"","parse-names":false,"suffix":""}],"container-title":"Global Journal of Management and Business Reserach Finance","id":"ITEM-1","issue":"8","issued":{"date-parts":[["2013"]]},"page":"33-40","title":"Relationship between financial leverage and financial performance: Empirical evidence of listed sugar companies of Pakistan","type":"article-journal","volume":"13"},"uris":["http://www.mendeley.com/documents/?uuid=2f7f61f3-f76a-4a5f-b2d1-ea879f3641d2"]}],"mendeley":{"formattedCitation":"(U. Rehman, 2013)","manualFormatting":"Rehman (2013)","plainTextFormattedCitation":"(U. Rehman, 2013)","previouslyFormattedCitation":"(U. Rehman, 2013)"},"properties":{"noteIndex":0},"schema":"https://github.com/citation-style-language/schema/raw/master/csl-citation.json"}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Rehman (2013)</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conducted a study on relationship between financial leverage and financial performance of listed sugar companies in Pakistan. He measured financial leverage and financial performance by </w:t>
      </w:r>
      <w:r w:rsidR="00BE06BC">
        <w:rPr>
          <w:rFonts w:asciiTheme="majorHAnsi" w:hAnsiTheme="majorHAnsi" w:cstheme="majorHAnsi"/>
          <w:bCs/>
          <w:iCs/>
          <w:color w:val="auto"/>
        </w:rPr>
        <w:t>total debt to equity</w:t>
      </w:r>
      <w:r w:rsidRPr="0022305D">
        <w:rPr>
          <w:rFonts w:asciiTheme="majorHAnsi" w:hAnsiTheme="majorHAnsi" w:cstheme="majorHAnsi"/>
          <w:bCs/>
          <w:iCs/>
          <w:color w:val="auto"/>
        </w:rPr>
        <w:t xml:space="preserve"> ratio and return on assets respectively.</w:t>
      </w:r>
      <w:r w:rsidRPr="0022305D">
        <w:rPr>
          <w:rFonts w:asciiTheme="majorHAnsi" w:hAnsiTheme="majorHAnsi" w:cstheme="majorHAnsi"/>
        </w:rPr>
        <w:t xml:space="preserve"> </w:t>
      </w:r>
      <w:r w:rsidRPr="0022305D">
        <w:rPr>
          <w:rFonts w:asciiTheme="majorHAnsi" w:hAnsiTheme="majorHAnsi" w:cstheme="majorHAnsi"/>
          <w:bCs/>
          <w:iCs/>
          <w:color w:val="auto"/>
        </w:rPr>
        <w:t>His sample size was 35 listed companies from food producer sector of Karachi Stock Exchange</w:t>
      </w:r>
      <w:r w:rsidRPr="0022305D">
        <w:rPr>
          <w:rFonts w:asciiTheme="majorHAnsi" w:hAnsiTheme="majorHAnsi" w:cstheme="majorHAnsi"/>
        </w:rPr>
        <w:t>. He used secondary data for the period 2006-2066 published by state bank of Pakistan. The results of analysis showed that there is</w:t>
      </w:r>
      <w:r w:rsidRPr="0022305D">
        <w:rPr>
          <w:rFonts w:asciiTheme="majorHAnsi" w:hAnsiTheme="majorHAnsi" w:cstheme="majorHAnsi"/>
          <w:bCs/>
          <w:iCs/>
          <w:noProof/>
          <w:color w:val="auto"/>
        </w:rPr>
        <w:t xml:space="preserve"> a strong and signifigant positive relationship between </w:t>
      </w:r>
      <w:r w:rsidR="00BE06BC">
        <w:rPr>
          <w:rFonts w:asciiTheme="majorHAnsi" w:hAnsiTheme="majorHAnsi" w:cstheme="majorHAnsi"/>
          <w:bCs/>
          <w:iCs/>
          <w:noProof/>
          <w:color w:val="auto"/>
        </w:rPr>
        <w:t>total debt to equity</w:t>
      </w:r>
      <w:r w:rsidRPr="0022305D">
        <w:rPr>
          <w:rFonts w:asciiTheme="majorHAnsi" w:hAnsiTheme="majorHAnsi" w:cstheme="majorHAnsi"/>
          <w:bCs/>
          <w:iCs/>
          <w:noProof/>
          <w:color w:val="auto"/>
        </w:rPr>
        <w:t xml:space="preserve"> ratio and return on assets. </w:t>
      </w:r>
    </w:p>
    <w:p w14:paraId="378CB976" w14:textId="27003DAD" w:rsidR="005B783B" w:rsidRPr="0022305D" w:rsidRDefault="005B783B" w:rsidP="005B783B">
      <w:pPr>
        <w:pStyle w:val="Default"/>
        <w:spacing w:line="480" w:lineRule="auto"/>
        <w:ind w:firstLine="720"/>
        <w:rPr>
          <w:rFonts w:asciiTheme="majorHAnsi" w:hAnsiTheme="majorHAnsi" w:cstheme="majorHAnsi"/>
          <w:bCs/>
          <w:iCs/>
          <w:color w:val="auto"/>
        </w:rPr>
      </w:pPr>
      <w:r w:rsidRPr="0022305D">
        <w:rPr>
          <w:rFonts w:asciiTheme="majorHAnsi" w:hAnsiTheme="majorHAnsi" w:cstheme="majorHAnsi"/>
          <w:bCs/>
          <w:iCs/>
          <w:noProof/>
          <w:color w:val="auto"/>
        </w:rPr>
        <w:t xml:space="preserve">On the other hand, some scholars have concluded that there is negative relationship between </w:t>
      </w:r>
      <w:r w:rsidR="00BE06BC">
        <w:rPr>
          <w:rFonts w:asciiTheme="majorHAnsi" w:hAnsiTheme="majorHAnsi" w:cstheme="majorHAnsi"/>
          <w:bCs/>
          <w:iCs/>
          <w:noProof/>
          <w:color w:val="auto"/>
        </w:rPr>
        <w:t>total debt to equity</w:t>
      </w:r>
      <w:r w:rsidRPr="0022305D">
        <w:rPr>
          <w:rFonts w:asciiTheme="majorHAnsi" w:hAnsiTheme="majorHAnsi" w:cstheme="majorHAnsi"/>
          <w:bCs/>
          <w:iCs/>
          <w:noProof/>
          <w:color w:val="auto"/>
        </w:rPr>
        <w:t xml:space="preserve"> ratio and raturn on assets; for example the research by </w:t>
      </w:r>
      <w:r w:rsidRPr="0022305D">
        <w:rPr>
          <w:rFonts w:asciiTheme="majorHAnsi" w:hAnsiTheme="majorHAnsi" w:cstheme="majorHAnsi"/>
          <w:bCs/>
          <w:iCs/>
          <w:color w:val="auto"/>
        </w:rPr>
        <w:fldChar w:fldCharType="begin" w:fldLock="1"/>
      </w:r>
      <w:r w:rsidR="00804351">
        <w:rPr>
          <w:rFonts w:asciiTheme="majorHAnsi" w:hAnsiTheme="majorHAnsi" w:cstheme="majorHAnsi"/>
          <w:bCs/>
          <w:iCs/>
          <w:color w:val="auto"/>
        </w:rPr>
        <w:instrText>ADDIN CSL_CITATION {"citationItems":[{"id":"ITEM-1","itemData":{"DOI":"10.3923/ijaef.2015.25.32","ISSN":"19910886","abstract":"This study investigates the firm performance on capital structure for the listed non-financial companies in Dhaka Stock Exchange (DSE) for the period of 2008-2011 under judgment sampling method. Specific objective of this research is to examine the relationship between the attribute of capital structure and the performance as measured by Return On Assets (ROA) and Return On Sales (ROS). Multiple regression models were used to estimate the influence of capital structure on firm performance and capital structure was measured by the debt ratio, debt to equity ratio, current debt ratio, proprietary of equity ratio and current assets proprietors' funds Ratio. The results obtained from regression models show that Debt Ratio, Debt Equity Ratio and Proprietary of Equity Ratio are negatively and significant relationship with Return On Asset (ROA) and Return On Sales (ROS). Beside the control variable total asset is positively and significant relationship with Return On Asset (ROA) and Return On Sales (ROS).","author":[{"dropping-particle":"","family":"Abdur Rouf","given":"Md.","non-dropping-particle":"","parse-names":false,"suffix":""}],"container-title":"The International Journal of Applied Economics and Finance","id":"ITEM-1","issue":"1","issued":{"date-parts":[["2015"]]},"page":"25-32","title":"Capital structure and firm performance of listed non-financial companies in Bangladesh","type":"article-journal","volume":"9"},"uris":["http://www.mendeley.com/documents/?uuid=b3626864-e648-42f1-b540-1c15a9e6712d"]}],"mendeley":{"formattedCitation":"(Abdur Rouf, 2015)","manualFormatting":"Abdur Rouf (2015)","plainTextFormattedCitation":"(Abdur Rouf, 2015)","previouslyFormattedCitation":"(Abdur Rouf, 2015)"},"properties":{"noteIndex":0},"schema":"https://github.com/citation-style-language/schema/raw/master/csl-citation.json"}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Abdur Rouf (2015)</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investigated the relationship between capital structure and firm performance of listed non-financial companies in Bangladesh. Return on assets and return on sales were used to measure firm financial performance, while </w:t>
      </w:r>
      <w:r w:rsidR="00CB2CDC">
        <w:rPr>
          <w:rFonts w:asciiTheme="majorHAnsi" w:hAnsiTheme="majorHAnsi" w:cstheme="majorHAnsi"/>
          <w:bCs/>
          <w:iCs/>
          <w:color w:val="auto"/>
        </w:rPr>
        <w:t>total debt to total assets ratio</w:t>
      </w:r>
      <w:r w:rsidRPr="0022305D">
        <w:rPr>
          <w:rFonts w:asciiTheme="majorHAnsi" w:hAnsiTheme="majorHAnsi" w:cstheme="majorHAnsi"/>
          <w:bCs/>
          <w:iCs/>
          <w:color w:val="auto"/>
        </w:rPr>
        <w:t xml:space="preserve"> and </w:t>
      </w:r>
      <w:r w:rsidR="00BE06BC">
        <w:rPr>
          <w:rFonts w:asciiTheme="majorHAnsi" w:hAnsiTheme="majorHAnsi" w:cstheme="majorHAnsi"/>
          <w:bCs/>
          <w:iCs/>
          <w:color w:val="auto"/>
        </w:rPr>
        <w:t>total debt to equity</w:t>
      </w:r>
      <w:r w:rsidRPr="0022305D">
        <w:rPr>
          <w:rFonts w:asciiTheme="majorHAnsi" w:hAnsiTheme="majorHAnsi" w:cstheme="majorHAnsi"/>
          <w:bCs/>
          <w:iCs/>
          <w:color w:val="auto"/>
        </w:rPr>
        <w:t xml:space="preserve"> ratio were used to measure capital structure. The population of the study included 106 listed manufacturing companies from Dhaka stock exchange which were selected on an availability basis covering all sectors under judgment sampling method for a duration of four years (2008-2011). Multiple regression models were used to estimate the relationship between capital structure and firm performance. The findings obtained from regression models show that </w:t>
      </w:r>
      <w:r w:rsidR="00CB2CDC">
        <w:rPr>
          <w:rFonts w:asciiTheme="majorHAnsi" w:hAnsiTheme="majorHAnsi" w:cstheme="majorHAnsi"/>
          <w:bCs/>
          <w:iCs/>
          <w:color w:val="auto"/>
        </w:rPr>
        <w:t>total debt to total assets ratio</w:t>
      </w:r>
      <w:r w:rsidRPr="0022305D">
        <w:rPr>
          <w:rFonts w:asciiTheme="majorHAnsi" w:hAnsiTheme="majorHAnsi" w:cstheme="majorHAnsi"/>
          <w:bCs/>
          <w:iCs/>
          <w:color w:val="auto"/>
        </w:rPr>
        <w:t xml:space="preserve"> and debt equity have negative and significant relationship with return on asset. </w:t>
      </w:r>
    </w:p>
    <w:p w14:paraId="30102C1E" w14:textId="041D96A1" w:rsidR="00864099" w:rsidRPr="004478B6" w:rsidRDefault="005B783B" w:rsidP="004478B6">
      <w:pPr>
        <w:pStyle w:val="Default"/>
        <w:spacing w:line="480" w:lineRule="auto"/>
        <w:ind w:firstLine="720"/>
        <w:rPr>
          <w:rFonts w:asciiTheme="majorHAnsi" w:hAnsiTheme="majorHAnsi" w:cstheme="majorHAnsi"/>
          <w:bCs/>
          <w:iCs/>
          <w:color w:val="auto"/>
        </w:rPr>
      </w:pPr>
      <w:r w:rsidRPr="0022305D">
        <w:rPr>
          <w:rFonts w:asciiTheme="majorHAnsi" w:hAnsiTheme="majorHAnsi" w:cstheme="majorHAnsi"/>
          <w:bCs/>
          <w:iCs/>
          <w:noProof/>
          <w:color w:val="auto"/>
        </w:rPr>
        <w:t>U</w:t>
      </w:r>
      <w:r w:rsidRPr="0022305D">
        <w:rPr>
          <w:rFonts w:asciiTheme="majorHAnsi" w:hAnsiTheme="majorHAnsi" w:cstheme="majorHAnsi"/>
          <w:bCs/>
          <w:iCs/>
          <w:color w:val="auto"/>
        </w:rPr>
        <w:t>nlike studies by Rehman, (2013) and Rahmawati, (2009) which were carried out in Pakistan and Indonesia, the researcher conducted the current study in Kenya. Further, the studies by Rehman, (2013) and Rahmawati, (2009) were on sugar companies and food and beverage companies while the current study focused on the commercial banks.</w:t>
      </w:r>
      <w:bookmarkStart w:id="51" w:name="_Toc69748992"/>
    </w:p>
    <w:p w14:paraId="01564F22" w14:textId="77777777" w:rsidR="00864099" w:rsidRDefault="00864099" w:rsidP="005B783B">
      <w:pPr>
        <w:pStyle w:val="Default"/>
        <w:spacing w:line="480" w:lineRule="auto"/>
        <w:ind w:firstLine="720"/>
        <w:jc w:val="center"/>
        <w:rPr>
          <w:rFonts w:asciiTheme="majorHAnsi" w:hAnsiTheme="majorHAnsi" w:cstheme="majorHAnsi"/>
          <w:b/>
          <w:iCs/>
          <w:color w:val="auto"/>
          <w:sz w:val="28"/>
          <w:szCs w:val="28"/>
        </w:rPr>
      </w:pPr>
    </w:p>
    <w:p w14:paraId="1758733A" w14:textId="2C02E336" w:rsidR="005B783B" w:rsidRPr="00A96563" w:rsidRDefault="005B783B" w:rsidP="004478B6">
      <w:pPr>
        <w:pStyle w:val="Heading2"/>
        <w:spacing w:line="480" w:lineRule="auto"/>
        <w:jc w:val="left"/>
      </w:pPr>
      <w:bookmarkStart w:id="52" w:name="_Toc78205791"/>
      <w:r w:rsidRPr="00A96563">
        <w:t xml:space="preserve">Summary of the </w:t>
      </w:r>
      <w:r w:rsidR="004478B6">
        <w:t>l</w:t>
      </w:r>
      <w:r w:rsidRPr="00A96563">
        <w:t xml:space="preserve">iterature </w:t>
      </w:r>
      <w:r w:rsidR="004478B6">
        <w:t>r</w:t>
      </w:r>
      <w:r w:rsidRPr="00A96563">
        <w:t>eview</w:t>
      </w:r>
      <w:bookmarkEnd w:id="52"/>
    </w:p>
    <w:p w14:paraId="374931FE" w14:textId="5B5964C0" w:rsidR="005B783B" w:rsidRPr="0022305D" w:rsidRDefault="005B783B" w:rsidP="005B783B">
      <w:pPr>
        <w:pStyle w:val="Default"/>
        <w:spacing w:line="480" w:lineRule="auto"/>
        <w:ind w:firstLine="420"/>
        <w:rPr>
          <w:rFonts w:asciiTheme="majorHAnsi" w:hAnsiTheme="majorHAnsi" w:cstheme="majorHAnsi"/>
          <w:bCs/>
          <w:iCs/>
          <w:color w:val="FF0000"/>
        </w:rPr>
      </w:pPr>
      <w:r w:rsidRPr="0022305D">
        <w:rPr>
          <w:rFonts w:asciiTheme="majorHAnsi" w:hAnsiTheme="majorHAnsi" w:cstheme="majorHAnsi"/>
        </w:rPr>
        <w:t xml:space="preserve">The review of related literature and studies on the relationship between solvency and profitability has brought out the empirical aspects of the study. This study has been guided by the pecking order theory and trade off theory. The empirical review reveals that studies carried out by scholars such as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ISSN":"1857-9108","author":[{"dropping-particle":"","family":"Filipovic","given":"Ana","non-dropping-particle":"","parse-names":false,"suffix":""},{"dropping-particle":"","family":"Demirovic","given":"Selma","non-dropping-particle":"","parse-names":false,"suffix":""}],"container-title":"Journal of Contemporary Economic and Business Issues","id":"ITEM-1","issue":"2","issued":{"date-parts":[["2016"]]},"page":"19-34","title":"The relationship between debt and profitability of stock companies in Montenegro","type":"article-journal","volume":"3"},"uris":["http://www.mendeley.com/documents/?uuid=0c704706-d71b-45b9-847c-9377f1af3433"]}],"mendeley":{"formattedCitation":"(Filipovic &amp; Demirovic, 2016)","manualFormatting":"Filipovic and Demirovic, 2016","plainTextFormattedCitation":"(Filipovic &amp; Demirovic, 2016)","previouslyFormattedCitation":"(Filipovic &amp; Demirovic, 2016)"},"properties":{"noteIndex":0},"schema":"https://github.com/citation-style-language/schema/raw/master/csl-citation.json"}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Filipovic and Demirovic, 2016</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{"citationItems":[{"id":"ITEM-1","itemData":{"abstract":"This paper presents an analysis which explains the impact of two distinct forms of leverage that arises due to the financing activities and operational activities, upon the profitability and market performance of a firm. The sample consists of twenty eight listed companies in the manufacturing sector of Colombo Stock Exchange, and data is gathered for the period 2008-2012. Study discusses the explanatory power of Financial Liability Leverage (FLEV), Operating Liability Leverage (OLLEV), and Total Leverage (TLEV) on Profitability and Market Performance. While profitability is measured by Return on Equity (ROE), Return on Assets (ROA) and Return on Net Operating Assets (RONOA), market performance is proxied by Price to Book value ratio (PB), Price Earnings ratio (PE), Market Capitalization (LGMCAP) and Tobin’s Q. Panel regression analysis is employed where fixed effects and random effects are tested to select the best suited model. The findings revealed that relationship between leverage and profitability best describes by the RONOA model and where OLLEV and FLEV exhibit a positive significant impact on the RONOA. While FLEV affects the ROA negatively and significantly, there is a negative significant relationship between TLEV and ROE. Only LGMCAP is captured by OLLEV and TLEV positively and negatively respectively. Accordingly LGMCAP model is the best suited model to explain the relationship between leverage and market performance","author":[{"dropping-particle":"","family":"Kumara","given":"Emil Sudath","non-dropping-particle":"","parse-names":false,"suffix":""},{"dropping-particle":"","family":"Samarakoon","given":"","non-dropping-particle":"","parse-names":false,"suffix":""}],"container-title":"Journal of Accountancy and Finance, 1-1;","id":"ITEM-1","issue":"1","issued":{"date-parts":[["2014"]]},"page":"76-87.","title":"Effect of leverage on profitability and market performance in the manufacturing sector of Sri Lanka: A panel regression analysis.","type":"article-journal","volume":"1"},"uris":["http://www.mendeley.com/documents/?uuid=13904257-29c4-42de-b78b-82d606551ef2"]}],"mendeley":{"formattedCitation":"(Kumara &amp; Samarakoon, 2014)","manualFormatting":"Kumara and Samarakoon, 2014","plainTextFormattedCitation":"(Kumara &amp; Samarakoon, 2014)","previouslyFormattedCitation":"(Kumara &amp; Samarakoon, 2014)"},"properties":{"noteIndex":0},"schema":"https://github.com/citation-style-language/schema/raw/master/csl-citation.json"}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Kumara and Samarakoon, 2014</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w:t>
      </w:r>
      <w:r w:rsidRPr="0022305D">
        <w:rPr>
          <w:rFonts w:asciiTheme="majorHAnsi" w:eastAsia="Times New Roman" w:hAnsiTheme="majorHAnsi" w:cstheme="majorHAnsi"/>
        </w:rPr>
        <w:t xml:space="preserve"> </w:t>
      </w:r>
      <w:r w:rsidRPr="0022305D">
        <w:rPr>
          <w:rFonts w:asciiTheme="majorHAnsi" w:eastAsia="Times New Roman" w:hAnsiTheme="majorHAnsi" w:cstheme="majorHAnsi"/>
        </w:rPr>
        <w:fldChar w:fldCharType="begin" w:fldLock="1"/>
      </w:r>
      <w:r w:rsidRPr="0022305D">
        <w:rPr>
          <w:rFonts w:asciiTheme="majorHAnsi" w:eastAsia="Times New Roman" w:hAnsiTheme="majorHAnsi" w:cstheme="majorHAnsi"/>
        </w:rPr>
        <w:instrText>ADDIN CSL_CITATION {"citationItems":[{"id":"ITEM-1","itemData":{"DOI":"10.1002/ejsp.2570","ISSN":"07470088","abstract":"Abstract Mindfulness is a state of paying conscious and nonjudgmental attention to present‐moment experiences. Previous research relates this state to more effective emotion regulation and less emotion reactivity. We therefore hypothesized an attenuating effect of a mindfulness exercise on moral reactions that usually results from a bad conscience when having caused harm. Across five studies, we experimentally induced mindfulness via a short breathing exercise and then assessed harm‐based moral reactions. As hypothesized, participants in the mindfulness (vs. control) exercise condition showed a) attenuated repair intentions after having read a scenario in which participants caused harm to a friend (Study 3) and b) attenuated intentions to change harm‐causing eating habits (Study 4). Results of Studies 1, 2 and 5 did not provide evidence for our hypothesis. A following meta‐analysis across all five studies yielded an overall significant effect of mindfulness in the harm‐condition, providing preliminary evidence for a potential downside to mindfulness. This article is protected by copyright. All rights reserved.","author":[{"dropping-particle":"","family":"Yusoff","given":"Hanaffie","non-dropping-particle":"","parse-names":false,"suffix":""}],"container-title":"ABA Journal","id":"ITEM-1","issue":"4","issued":{"date-parts":[["2017"]]},"page":"24-25","title":"The effect of liquidity and solvency on profitability: The case of public-listed consumer product companies in Malaysis","type":"article-journal","volume":"102"},"uris":["http://www.mendeley.com/documents/?uuid=a68e60c9-3ece-4a21-ad63-544237c1c9d2"]}],"mendeley":{"formattedCitation":"(Yusoff, 2017)","manualFormatting":"Yusoff, 2017","plainTextFormattedCitation":"(Yusoff, 2017)","previouslyFormattedCitation":"(Yusoff, 2017)"},"properties":{"noteIndex":0},"schema":"https://github.com/citation-style-language/schema/raw/master/csl-citation.json"}</w:instrText>
      </w:r>
      <w:r w:rsidRPr="0022305D">
        <w:rPr>
          <w:rFonts w:asciiTheme="majorHAnsi" w:eastAsia="Times New Roman" w:hAnsiTheme="majorHAnsi" w:cstheme="majorHAnsi"/>
        </w:rPr>
        <w:fldChar w:fldCharType="separate"/>
      </w:r>
      <w:r w:rsidRPr="0022305D">
        <w:rPr>
          <w:rFonts w:asciiTheme="majorHAnsi" w:eastAsia="Times New Roman" w:hAnsiTheme="majorHAnsi" w:cstheme="majorHAnsi"/>
          <w:noProof/>
        </w:rPr>
        <w:t>Yusoff, 2017</w:t>
      </w:r>
      <w:r w:rsidRPr="0022305D">
        <w:rPr>
          <w:rFonts w:asciiTheme="majorHAnsi" w:eastAsia="Times New Roman" w:hAnsiTheme="majorHAnsi" w:cstheme="majorHAnsi"/>
        </w:rPr>
        <w:fldChar w:fldCharType="end"/>
      </w:r>
      <w:r w:rsidRPr="0022305D">
        <w:rPr>
          <w:rFonts w:asciiTheme="majorHAnsi" w:eastAsia="Times New Roman" w:hAnsiTheme="majorHAnsi" w:cstheme="majorHAnsi"/>
        </w:rPr>
        <w:t xml:space="preserve">;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{"citationItems":[{"id":"ITEM-1","itemData":{"DOI":"10.18488/journal.aefr.2018.85.586.598","ISSN":"22226737","abstract":"Purpose of this study was to examine the relationship between capital structure and financial performance of listed licensed commercial banks in Sri Lanka. Panel data were used to conduct the empirical study which were extracted from the annual reports of 10 selected banks for the period from 2007 to 2016. Total debt to total assets ratio, long term debt to total assets ratio, and short term debt to total assets ratio were used to measure the capital structure. Return on assets (ROA), return on equity (ROE) were used as financial performance measures. Size of the banks and growth in banks deposit were considered as control variables. Descriptive statistics, correlations, fixed effect and random effect models were used for the data analysis and then with the results of Hausman Specification Test, fixed effect model was considered as the most suitable model to examine the relationship between capital structure and ROA. According to the model, total debt to total assets ratio was significantly negatively related to ROA, however growth in banks deposit was significantly and positively related to ROA. Size, short term debt to total assets ratio and long term debt to total assets ratio did not show any relationship with ROA. Random effect model was considered as the most suitable model to examine the relationship between capital structure and ROE. As per the model, total debt to total assets ratio was significantly negatively related to ROE, while growth in bank deposit was significantly and positively related to ROE. Short term debt to total assets ratio, long term debt to total assets ratio and size were not significantly related to ROE. Results of the study suggest that financial managers should try to finance from internal sources rather than relying heavily on debt capital in their capital structure. Outcome of the study may useful to the practitioners, investors and decision makers in order to maximize their return from their investments.","author":[{"dropping-particle":"","family":"Sivalingam","given":"Logavathani","non-dropping-particle":"","parse-names":false,"suffix":""},{"dropping-particle":"","family":"Kengatharan","given":"Lingesiya","non-dropping-particle":"","parse-names":false,"suffix":""}],"container-title":"Asian Economic and Financial Review","id":"ITEM-1","issue":"5","issued":{"date-parts":[["2018"]]},"page":"586-598","title":"Capital structure and financial performance: A study on commercial banks in Sri Lanka","type":"article-journal","volume":"8"},"uris":["http://www.mendeley.com/documents/?uuid=fa3e182a-cb48-489f-9eba-3f5eae80c843"]}],"mendeley":{"formattedCitation":"(Sivalingam &amp; Kengatharan, 2018)","manualFormatting":"Sivalingam and Kengatharan 2018","plainTextFormattedCitation":"(Sivalingam &amp; Kengatharan, 2018)","previouslyFormattedCitation":"(Sivalingam &amp; Kengatharan, 2018)"},"properties":{"noteIndex":0},"schema":"https://github.com/citation-style-language/schema/raw/master/csl-citation.json"}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Sivalingam and Kengatharan 2018</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w:t>
      </w:r>
      <w:r w:rsidRPr="0022305D">
        <w:rPr>
          <w:rFonts w:asciiTheme="majorHAnsi" w:hAnsiTheme="majorHAnsi" w:cstheme="majorHAnsi"/>
          <w:b/>
          <w:iCs/>
          <w:color w:val="auto"/>
        </w:rPr>
        <w:fldChar w:fldCharType="begin" w:fldLock="1"/>
      </w:r>
      <w:r w:rsidRPr="0022305D">
        <w:rPr>
          <w:rFonts w:asciiTheme="majorHAnsi" w:hAnsiTheme="majorHAnsi" w:cstheme="majorHAnsi"/>
          <w:b/>
          <w:iCs/>
          <w:color w:val="auto"/>
        </w:rPr>
        <w:instrText>ADDIN CSL_CITATION {"citationItems":[{"id":"ITEM-1","itemData":{"DOI":"10.1177/2278682118823312","ISSN":"2278-6821","abstract":"One of the most perplexing issues faced by finance managers is to know about the effect of capital structure on the profitability of firm. Many studies have been carried out to examine the effect of capital structure on the profitability of firms, but most of them belong to other parts of the world, and only few studies have been conducted in India. Thus, the present study has been undertaken to evaluate the effect of capital structure on the profitability of Nifty 50 companies listed on National Stock Exchange of India from 2008 – 2017. The data has been analyzed by using descriptive statistics, correlation and multiple panel data regression models. Four different regression models have been used to study the relationship between capital structure and profitability. In these models, we study the individual effect of total debt and total equity ratios on profitability, that is, ROA and ROE. All four models have been tested with pooled OLS, fixed effects, and random effects. We conclude that there is significant positive impact of capital structure on firm’s profitability.","author":[{"dropping-particle":"","family":"Singh","given":"Narinder Pal","non-dropping-particle":"","parse-names":false,"suffix":""},{"dropping-particle":"","family":"Bagga","given":"Mahima","non-dropping-particle":"","parse-names":false,"suffix":""}],"container-title":"Jindal Journal of Business Research","id":"ITEM-1","issue":"1","issued":{"date-parts":[["2019"]]},"page":"65-77","title":"The Effect of Capital Structure on Profitability: An Empirical Panel Data Study","type":"article-journal","volume":"8"},"uris":["http://www.mendeley.com/documents/?uuid=cfc3e405-8e9e-4cf4-aad3-ab93f0a8f709"]}],"mendeley":{"formattedCitation":"(Singh &amp; Bagga, 2019)","manualFormatting":"Singh and Bagga, 2019","plainTextFormattedCitation":"(Singh &amp; Bagga, 2019)","previouslyFormattedCitation":"(Singh &amp; Bagga, 2019)"},"properties":{"noteIndex":0},"schema":"https://github.com/citation-style-language/schema/raw/master/csl-citation.json"}</w:instrText>
      </w:r>
      <w:r w:rsidRPr="0022305D">
        <w:rPr>
          <w:rFonts w:asciiTheme="majorHAnsi" w:hAnsiTheme="majorHAnsi" w:cstheme="majorHAnsi"/>
          <w:b/>
          <w:iCs/>
          <w:color w:val="auto"/>
        </w:rPr>
        <w:fldChar w:fldCharType="separate"/>
      </w:r>
      <w:r w:rsidRPr="0022305D">
        <w:rPr>
          <w:rFonts w:asciiTheme="majorHAnsi" w:hAnsiTheme="majorHAnsi" w:cstheme="majorHAnsi"/>
          <w:iCs/>
          <w:noProof/>
          <w:color w:val="auto"/>
        </w:rPr>
        <w:t>Singh and Bagga, 2019</w:t>
      </w:r>
      <w:r w:rsidRPr="0022305D">
        <w:rPr>
          <w:rFonts w:asciiTheme="majorHAnsi" w:hAnsiTheme="majorHAnsi" w:cstheme="majorHAnsi"/>
          <w:b/>
          <w:iCs/>
          <w:color w:val="auto"/>
        </w:rPr>
        <w:fldChar w:fldCharType="end"/>
      </w:r>
      <w:r w:rsidRPr="0022305D">
        <w:rPr>
          <w:rFonts w:asciiTheme="majorHAnsi" w:hAnsiTheme="majorHAnsi" w:cstheme="majorHAnsi"/>
          <w:b/>
          <w:iCs/>
          <w:color w:val="auto"/>
        </w:rPr>
        <w:t xml:space="preserve">;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{"citationItems":[{"id":"ITEM-1","itemData":{"DOI":"10.7441/joc.2017.03.07","ISSN":"1804171X","abstract":"The paper aims to provide up-to-date empirical evidence of relationship between the key indicators of business competitiveness: leverage and corporate performance. The study is based on corporate financial data of selected companies from the Czech Republic within 14 major business sectors according to CZ-NACE which companies published for the year 2014. The results of this study show that leverage (debt ratio) has a substantially negative effect on corporate performance when the return on equity (ROE) is used as an indicator of corporate performance in the Czech Republic over the period covered by the study. The results of the regression analysis confirmed negative relationship between the company profitability and the use of debt in majority of business sectors (Agriculture, fishery, and forestry; Construction, Wholesale and retail trade, repair of motor vehicles and motorcycles; Professional, scientific and technical activities; Administrative and support service activities). The opposite relationship was found in one business sector only (Mining and quarrying) where positive relationship between the company profitability and leverage was confirmed. Among other things, the results of this study confirm that corporate leverage varies across industries.","author":[{"dropping-particle":"","family":"Stryckova","given":"Lenka","non-dropping-particle":"","parse-names":false,"suffix":""}],"container-title":"Journal of Competitiveness","id":"ITEM-1","issue":"3","issued":{"date-parts":[["2017"]]},"page":"98-110","title":"The relationship between company returns and leverage depending on the business sector: Empirical evidence from the Czech republic","type":"article-journal","volume":"9"},"uris":["http://www.mendeley.com/documents/?uuid=e7a7c6fc-06b5-43e5-8bf2-3b26115733de"]}],"mendeley":{"formattedCitation":"(Stryckova, 2017)","manualFormatting":"Stryckova, 2017","plainTextFormattedCitation":"(Stryckova, 2017)","previouslyFormattedCitation":"(Stryckova, 2017)"},"properties":{"noteIndex":0},"schema":"https://github.com/citation-style-language/schema/raw/master/csl-citation.json"}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Stryckova, 2017</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{"citationItems":[{"id":"ITEM-1","itemData":{"DOI":"10.4236/jmf.2020.104037","ISSN":"2162-2434","abstract":"This paper empirically aims to analyze the effect of capital structure on financial performance. Two main sets of variables were used: For profitability, return on assets (ROA) as the ratio of net income to total assets, and return on equity (ROE) as the ratio of net income to total shareholders’ equity were adopted as a proxy for financial performance; and to indicate capital structure, short-term debt, long-term debt, total debt, debt to equity ratio, and firm’s size were used. A sample of 30 Energy American firms for a period of nine years from 2005 – 2013 was considered. Secondary data were collected from financial statements which were taken from Mergent online. The data were analyzed by using Smart PLS (Partial Least Square) version 3. Multiple regressions indicated that 10% of ROE and 34% of ROA were predicted by the independent variables. Findings also presented that the total debt has a significant negative impact on ROE and ROA, while size in terms of sales has significantly negative effect only on ROE of the American firms. However, a short debt significantly has a positive influence on ROE. An insignificant either negative or positive relationship was observed between long term debt, debt to equity and size in terms of total assets and profitability. A generalization of the results is limited because of the small sample size. For future research, the author suggests addressing a longer period of time with a large sample size of firms. It would be more accurate if future studies included more independent variables such as taxation and concentration. KEYWORDS:","author":[{"dropping-particle":"","family":"Hajisaaid","given":"Alwalid Mohammad Saleh","non-dropping-particle":"","parse-names":false,"suffix":""}],"container-title":"Journal of Mathematical Finance","id":"ITEM-1","issue":"04","issued":{"date-parts":[["2020"]]},"page":"631-647","title":"The effect of capital structure on profitability of basic materials Saudi Arabia firms","type":"article-journal","volume":"10"},"uris":["http://www.mendeley.com/documents/?uuid=2701727c-c395-4d07-8a84-ef29aaaa348d"]}],"mendeley":{"formattedCitation":"(Hajisaaid, 2020)","manualFormatting":"Hajisaaid 2020","plainTextFormattedCitation":"(Hajisaaid, 2020)","previouslyFormattedCitation":"(Hajisaaid, 2020)"},"properties":{"noteIndex":0},"schema":"https://github.com/citation-style-language/schema/raw/master/csl-citation.json"}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Hajisaaid 2020</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{"citationItems":[{"id":"ITEM-1","itemData":{"DOI":"10.18488/journal.8.2018.61.21.36","ISSN":"23132884","abstract":"The purpose of this paper is to examine the impact of capital structure or leverage on profitability of listed banks stock exchange Ghana from 2007 to 2013. The concept of capital structure in finance explains the way a firm finances its assets/operations by the use of a blend of debt and equity. The blend of debt and equity would make banks more profitable bearing in mind the adverse effect of the extreme of each form of financing. Data was collected from Ghana stock exchange and the annual reports of the17 listed banks. Descriptive statistics and multiple regression models were used to analyze the data. The result revealed that the banks listed on the Ghana Stock Exchange are highly geared. This can be attributed to their over dependency on short term debt which is due to the relatively high Bank of Ghana Lending rate and low level of bond market activities. The study showed that financial leverage measured by short term debt to total assets (STDTA) had significant positive relationship with profitability measured by return on assets (ROA), return on equity (ROE) and earnings per share (EPS). Long Term Debt to Total Asset (LTDTA) also had a significant positive relationship with ROA and ROE but however, had a negative and insignificant relationship with EPS. Asset growth rate had a negative and insignificant relationship with profitability measured by ROA, ROE and EPS. Firm size also showed positive and significant relation with all the profitability measures such as ROA, ROE and EPS.","author":[{"dropping-particle":"","family":"Musah","given":"Alhassan","non-dropping-particle":"","parse-names":false,"suffix":""}],"container-title":"Asian Journal of Economic Modelling","id":"ITEM-1","issue":"1","issued":{"date-parts":[["2018"]]},"page":"21-36","title":"The Impact of Capital Structure on Profitability of Commercial Banks in Ghana","type":"article-journal","volume":"6"},"uris":["http://www.mendeley.com/documents/?uuid=bfc22985-a563-4f87-91ca-a5ad9f8b529e"]}],"mendeley":{"formattedCitation":"(Musah, 2018)","manualFormatting":"Musah; 2018","plainTextFormattedCitation":"(Musah, 2018)","previouslyFormattedCitation":"(Musah, 2018)"},"properties":{"noteIndex":0},"schema":"https://github.com/citation-style-language/schema/raw/master/csl-citation.json"}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Musah; 2018</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w:t>
      </w: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{"citationItems":[{"id":"ITEM-1","itemData":{"DOI":"10.25255/jss.2016.5.3.408.424","ISSN":"23059494","abstract":"This study examines the relationship between several financial indicators (profitability&amp; leverage measures) and stock return, to assist the management in the Jordanian manufacturing companies in decision making. The study sample consists of 65 manufacturing companies that have been listed in Amman Stock Exchange over the 10-year period (2001-2011). Five financial ratios are used to examine the relationship between profitability measures (Net Profit margin (NPM), Gross Profit Margin (GPM), Return on Assets (ROA), Return on Equity (ROE), Earnings per Share (EPS)) and stock returns.Three financial ratios are used to examine the relationship between leverage measures (Debt Ratio (DR), Debt to Equity Ratio (DER), Interest Coverage Ratio (CR)) and stock returns. Statistical analysis undertaken to examine the relationship between stock return and the financial indicators (Profitability and Leverage measures) are: correlation analysis, multiple regression and descriptive statistics. Data are obtained from the published annual reports and the monthly statistical bulletins issued by (ASE) over the study period. The results show that (GPM), (ROA), (ROE), and (EPS) have a significant relationship with stock return. And the others (NPM) and leverage measures ((DR), (DER), and (CR)) don't have a significant relationship with stock return. This study recommends managers of manufacturing companies to focus more on financial ratios that have significant relationship with stock return for more profits and less debts, future research is also recommended to examine this relation in other sectors and to use other financial ratios.","author":[{"dropping-particle":"","family":"Allozi","given":"Nurah Musa","non-dropping-particle":"","parse-names":false,"suffix":""},{"dropping-particle":"","family":"Obeidat","given":"Ghassan","non-dropping-particle":"","parse-names":false,"suffix":""}],"container-title":"Journal of Social Sciences","id":"ITEM-1","issue":"3","issued":{"date-parts":[["2016"]]},"page":"408-424","title":"The relationship between the stock return and financial indicators (Profitability, Leverage): An empirical study on manufacturing companies listed in Amman stock exchange","type":"article-journal","volume":"5"},"uris":["http://www.mendeley.com/documents/?uuid=d4cc606d-9fb2-45e0-be5a-f28f48ff3214"]}],"mendeley":{"formattedCitation":"(Allozi &amp; Obeidat, 2016)","manualFormatting":"Allozi and Obeidat, 2016","plainTextFormattedCitation":"(Allozi &amp; Obeidat, 2016)","previouslyFormattedCitation":"(Allozi &amp; Obeidat, 2016)"},"properties":{"noteIndex":0},"schema":"https://github.com/citation-style-language/schema/raw/master/csl-citation.json"}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Allozi and Obeidat, 2016</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and </w:t>
      </w:r>
      <w:r w:rsidRPr="0022305D">
        <w:rPr>
          <w:rFonts w:asciiTheme="majorHAnsi" w:hAnsiTheme="majorHAnsi" w:cstheme="majorHAnsi"/>
          <w:bCs/>
          <w:iCs/>
          <w:color w:val="auto"/>
        </w:rPr>
        <w:fldChar w:fldCharType="begin" w:fldLock="1"/>
      </w:r>
      <w:r w:rsidR="00804351">
        <w:rPr>
          <w:rFonts w:asciiTheme="majorHAnsi" w:hAnsiTheme="majorHAnsi" w:cstheme="majorHAnsi"/>
          <w:bCs/>
          <w:iCs/>
          <w:color w:val="auto"/>
        </w:rPr>
        <w:instrText>ADDIN CSL_CITATION {"citationItems":[{"id":"ITEM-1","itemData":{"DOI":"10.3923/ijaef.2015.25.32","ISSN":"19910886","abstract":"This study investigates the firm performance on capital structure for the listed non-financial companies in Dhaka Stock Exchange (DSE) for the period of 2008-2011 under judgment sampling method. Specific objective of this research is to examine the relationship between the attribute of capital structure and the performance as measured by Return On Assets (ROA) and Return On Sales (ROS). Multiple regression models were used to estimate the influence of capital structure on firm performance and capital structure was measured by the debt ratio, debt to equity ratio, current debt ratio, proprietary of equity ratio and current assets proprietors' funds Ratio. The results obtained from regression models show that Debt Ratio, Debt Equity Ratio and Proprietary of Equity Ratio are negatively and significant relationship with Return On Asset (ROA) and Return On Sales (ROS). Beside the control variable total asset is positively and significant relationship with Return On Asset (ROA) and Return On Sales (ROS).","author":[{"dropping-particle":"","family":"Abdur Rouf","given":"Md.","non-dropping-particle":"","parse-names":false,"suffix":""}],"container-title":"The International Journal of Applied Economics and Finance","id":"ITEM-1","issue":"1","issued":{"date-parts":[["2015"]]},"page":"25-32","title":"Capital structure and firm performance of listed non-financial companies in Bangladesh","type":"article-journal","volume":"9"},"uris":["http://www.mendeley.com/documents/?uuid=b3626864-e648-42f1-b540-1c15a9e6712d"]}],"mendeley":{"formattedCitation":"(Abdur Rouf, 2015)","manualFormatting":"Abdur Rouf, 2015","plainTextFormattedCitation":"(Abdur Rouf, 2015)","previouslyFormattedCitation":"(Abdur Rouf, 2015)"},"properties":{"noteIndex":0},"schema":"https://github.com/citation-style-language/schema/raw/master/csl-citation.json"}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hAnsiTheme="majorHAnsi" w:cstheme="majorHAnsi"/>
          <w:bCs/>
          <w:iCs/>
          <w:noProof/>
          <w:color w:val="auto"/>
        </w:rPr>
        <w:t>Abdur Rouf, 2015</w:t>
      </w:r>
      <w:r w:rsidRPr="0022305D">
        <w:rPr>
          <w:rFonts w:asciiTheme="majorHAnsi" w:hAnsiTheme="majorHAnsi" w:cstheme="majorHAnsi"/>
          <w:bCs/>
          <w:iCs/>
          <w:color w:val="auto"/>
        </w:rPr>
        <w:fldChar w:fldCharType="end"/>
      </w:r>
      <w:r w:rsidRPr="0022305D">
        <w:rPr>
          <w:rFonts w:asciiTheme="majorHAnsi" w:hAnsiTheme="majorHAnsi" w:cstheme="majorHAnsi"/>
          <w:bCs/>
          <w:iCs/>
          <w:color w:val="auto"/>
        </w:rPr>
        <w:t xml:space="preserve"> </w:t>
      </w:r>
      <w:r w:rsidRPr="0022305D">
        <w:rPr>
          <w:rFonts w:asciiTheme="majorHAnsi" w:hAnsiTheme="majorHAnsi" w:cstheme="majorHAnsi"/>
        </w:rPr>
        <w:t xml:space="preserve">relates to relationship between solvency and profitability, but these studies have </w:t>
      </w:r>
      <w:r w:rsidRPr="0022305D">
        <w:rPr>
          <w:rFonts w:asciiTheme="majorHAnsi" w:hAnsiTheme="majorHAnsi" w:cstheme="majorHAnsi"/>
          <w:color w:val="auto"/>
        </w:rPr>
        <w:t>adopted different methodologies and sampling techniques.</w:t>
      </w:r>
    </w:p>
    <w:p w14:paraId="3F968F91" w14:textId="69203AC0" w:rsidR="005B783B" w:rsidRDefault="005B783B" w:rsidP="004478B6">
      <w:pPr>
        <w:pStyle w:val="Default"/>
        <w:spacing w:line="480" w:lineRule="auto"/>
        <w:ind w:firstLine="420"/>
        <w:rPr>
          <w:rFonts w:asciiTheme="majorHAnsi" w:hAnsiTheme="majorHAnsi" w:cstheme="majorHAnsi"/>
          <w:bCs/>
          <w:iCs/>
          <w:color w:val="auto"/>
        </w:rPr>
      </w:pPr>
      <w:r w:rsidRPr="0022305D">
        <w:rPr>
          <w:rFonts w:asciiTheme="majorHAnsi" w:hAnsiTheme="majorHAnsi" w:cstheme="majorHAnsi"/>
        </w:rPr>
        <w:t xml:space="preserve">Further, these reviewed studies have been carried out at different years, different sectors and in different parts of the world but not specifically on commercial banks in Kenya. The constructs of the independent and dependent variables also differ in the reviewed studies. Lastly, the findings of these studies give mixed conclusions whereby some scholars get positive relationship, other negative relationship and others no relationship at all. This has created the need for further research. Based on these knowledge gaps, the present study will </w:t>
      </w:r>
      <w:r w:rsidRPr="0022305D">
        <w:rPr>
          <w:rFonts w:asciiTheme="majorHAnsi" w:hAnsiTheme="majorHAnsi" w:cstheme="majorHAnsi"/>
          <w:color w:val="auto"/>
        </w:rPr>
        <w:t>examine the relationship between solvency and profitability of commercial banks in Kenya.</w:t>
      </w:r>
      <w:r w:rsidR="00100772" w:rsidRPr="00100772">
        <w:rPr>
          <w:rFonts w:asciiTheme="majorHAnsi" w:hAnsiTheme="majorHAnsi" w:cstheme="majorHAnsi"/>
          <w:bCs/>
          <w:iCs/>
          <w:color w:val="auto"/>
        </w:rPr>
        <w:t xml:space="preserve">The table below shows some </w:t>
      </w:r>
      <w:r w:rsidR="00100772">
        <w:rPr>
          <w:rFonts w:asciiTheme="majorHAnsi" w:hAnsiTheme="majorHAnsi" w:cstheme="majorHAnsi"/>
          <w:bCs/>
          <w:iCs/>
          <w:color w:val="auto"/>
        </w:rPr>
        <w:t>research by different scholars, their findings and the research gaps that exists</w:t>
      </w:r>
      <w:r w:rsidRPr="0022305D">
        <w:rPr>
          <w:rFonts w:asciiTheme="majorHAnsi" w:hAnsiTheme="majorHAnsi" w:cstheme="majorHAnsi"/>
          <w:bCs/>
          <w:iCs/>
          <w:color w:val="auto"/>
        </w:rPr>
        <w:t>.</w:t>
      </w:r>
    </w:p>
    <w:p w14:paraId="147ABBEF" w14:textId="77777777" w:rsidR="004478B6" w:rsidRPr="0022305D" w:rsidRDefault="004478B6" w:rsidP="004478B6">
      <w:pPr>
        <w:pStyle w:val="Default"/>
        <w:spacing w:line="480" w:lineRule="auto"/>
        <w:ind w:firstLine="420"/>
        <w:rPr>
          <w:rFonts w:asciiTheme="majorHAnsi" w:hAnsiTheme="majorHAnsi" w:cstheme="majorHAnsi"/>
          <w:bCs/>
          <w:iCs/>
          <w:color w:val="auto"/>
        </w:rPr>
      </w:pPr>
    </w:p>
    <w:p w14:paraId="0E0E9634" w14:textId="2C1DC16D" w:rsidR="005B783B" w:rsidRPr="0022305D" w:rsidRDefault="005B783B" w:rsidP="005B783B">
      <w:pPr>
        <w:pStyle w:val="Caption"/>
        <w:keepNext/>
        <w:rPr>
          <w:rFonts w:asciiTheme="majorHAnsi" w:hAnsiTheme="majorHAnsi" w:cstheme="majorHAnsi"/>
          <w:i w:val="0"/>
          <w:iCs w:val="0"/>
          <w:color w:val="auto"/>
          <w:sz w:val="24"/>
          <w:szCs w:val="24"/>
        </w:rPr>
      </w:pPr>
      <w:bookmarkStart w:id="53" w:name="_Toc75805739"/>
      <w:bookmarkStart w:id="54" w:name="_Toc78205368"/>
      <w:r w:rsidRPr="0022305D">
        <w:rPr>
          <w:rFonts w:asciiTheme="majorHAnsi" w:hAnsiTheme="majorHAnsi" w:cstheme="majorHAnsi"/>
          <w:i w:val="0"/>
          <w:iCs w:val="0"/>
          <w:color w:val="auto"/>
          <w:sz w:val="24"/>
          <w:szCs w:val="24"/>
        </w:rPr>
        <w:t xml:space="preserve">Table </w:t>
      </w:r>
      <w:r w:rsidRPr="0022305D">
        <w:rPr>
          <w:rFonts w:asciiTheme="majorHAnsi" w:hAnsiTheme="majorHAnsi" w:cstheme="majorHAnsi"/>
          <w:i w:val="0"/>
          <w:iCs w:val="0"/>
          <w:color w:val="auto"/>
          <w:sz w:val="24"/>
          <w:szCs w:val="24"/>
        </w:rPr>
        <w:fldChar w:fldCharType="begin"/>
      </w:r>
      <w:r w:rsidRPr="0022305D">
        <w:rPr>
          <w:rFonts w:asciiTheme="majorHAnsi" w:hAnsiTheme="majorHAnsi" w:cstheme="majorHAnsi"/>
          <w:i w:val="0"/>
          <w:iCs w:val="0"/>
          <w:color w:val="auto"/>
          <w:sz w:val="24"/>
          <w:szCs w:val="24"/>
        </w:rPr>
        <w:instrText xml:space="preserve"> SEQ Table \* ARABIC </w:instrText>
      </w:r>
      <w:r w:rsidRPr="0022305D">
        <w:rPr>
          <w:rFonts w:asciiTheme="majorHAnsi" w:hAnsiTheme="majorHAnsi" w:cstheme="majorHAnsi"/>
          <w:i w:val="0"/>
          <w:iCs w:val="0"/>
          <w:color w:val="auto"/>
          <w:sz w:val="24"/>
          <w:szCs w:val="24"/>
        </w:rPr>
        <w:fldChar w:fldCharType="separate"/>
      </w:r>
      <w:r w:rsidR="00392CA8">
        <w:rPr>
          <w:rFonts w:asciiTheme="majorHAnsi" w:hAnsiTheme="majorHAnsi" w:cstheme="majorHAnsi"/>
          <w:i w:val="0"/>
          <w:iCs w:val="0"/>
          <w:noProof/>
          <w:color w:val="auto"/>
          <w:sz w:val="24"/>
          <w:szCs w:val="24"/>
        </w:rPr>
        <w:t>2</w:t>
      </w:r>
      <w:r w:rsidRPr="0022305D">
        <w:rPr>
          <w:rFonts w:asciiTheme="majorHAnsi" w:hAnsiTheme="majorHAnsi" w:cstheme="majorHAnsi"/>
          <w:i w:val="0"/>
          <w:iCs w:val="0"/>
          <w:color w:val="auto"/>
          <w:sz w:val="24"/>
          <w:szCs w:val="24"/>
        </w:rPr>
        <w:fldChar w:fldCharType="end"/>
      </w:r>
      <w:r w:rsidRPr="0022305D">
        <w:rPr>
          <w:rFonts w:asciiTheme="majorHAnsi" w:hAnsiTheme="majorHAnsi" w:cstheme="majorHAnsi"/>
          <w:i w:val="0"/>
          <w:iCs w:val="0"/>
          <w:color w:val="auto"/>
          <w:sz w:val="24"/>
          <w:szCs w:val="24"/>
        </w:rPr>
        <w:t xml:space="preserve">.0 </w:t>
      </w:r>
      <w:r w:rsidRPr="00C57EC2">
        <w:rPr>
          <w:rFonts w:asciiTheme="majorHAnsi" w:hAnsiTheme="majorHAnsi" w:cstheme="majorHAnsi"/>
          <w:color w:val="auto"/>
          <w:sz w:val="24"/>
          <w:szCs w:val="24"/>
        </w:rPr>
        <w:t>Summary of literature review</w:t>
      </w:r>
      <w:bookmarkEnd w:id="53"/>
      <w:bookmarkEnd w:id="54"/>
    </w:p>
    <w:tbl>
      <w:tblPr>
        <w:tblStyle w:val="TableGrid"/>
        <w:tblW w:w="10012" w:type="dxa"/>
        <w:tblLook w:val="04A0" w:firstRow="1" w:lastRow="0" w:firstColumn="1" w:lastColumn="0" w:noHBand="0" w:noVBand="1"/>
      </w:tblPr>
      <w:tblGrid>
        <w:gridCol w:w="337"/>
        <w:gridCol w:w="1343"/>
        <w:gridCol w:w="1862"/>
        <w:gridCol w:w="1423"/>
        <w:gridCol w:w="1497"/>
        <w:gridCol w:w="3550"/>
      </w:tblGrid>
      <w:tr w:rsidR="00583CA1" w:rsidRPr="0022305D" w14:paraId="40EB512E" w14:textId="77777777" w:rsidTr="00583CA1">
        <w:trPr>
          <w:trHeight w:val="1094"/>
        </w:trPr>
        <w:tc>
          <w:tcPr>
            <w:tcW w:w="315" w:type="dxa"/>
          </w:tcPr>
          <w:p w14:paraId="60A50B47" w14:textId="77777777" w:rsidR="005B783B" w:rsidRPr="0022305D" w:rsidRDefault="005B783B" w:rsidP="00A52602">
            <w:pPr>
              <w:pStyle w:val="Default"/>
              <w:spacing w:line="480" w:lineRule="auto"/>
              <w:rPr>
                <w:rFonts w:asciiTheme="majorHAnsi" w:hAnsiTheme="majorHAnsi" w:cstheme="majorHAnsi"/>
                <w:iCs/>
                <w:color w:val="auto"/>
              </w:rPr>
            </w:pPr>
            <w:bookmarkStart w:id="55" w:name="_Hlk70017340"/>
          </w:p>
        </w:tc>
        <w:tc>
          <w:tcPr>
            <w:tcW w:w="1256" w:type="dxa"/>
          </w:tcPr>
          <w:tbl>
            <w:tblPr>
              <w:tblW w:w="900" w:type="dxa"/>
              <w:tblBorders>
                <w:top w:val="nil"/>
                <w:left w:val="nil"/>
                <w:bottom w:val="nil"/>
                <w:right w:val="nil"/>
              </w:tblBorders>
              <w:tblLook w:val="0000" w:firstRow="0" w:lastRow="0" w:firstColumn="0" w:lastColumn="0" w:noHBand="0" w:noVBand="0"/>
            </w:tblPr>
            <w:tblGrid>
              <w:gridCol w:w="963"/>
            </w:tblGrid>
            <w:tr w:rsidR="005B783B" w:rsidRPr="0022305D" w14:paraId="5E8E68EB" w14:textId="77777777" w:rsidTr="00583CA1">
              <w:trPr>
                <w:trHeight w:val="106"/>
              </w:trPr>
              <w:tc>
                <w:tcPr>
                  <w:tcW w:w="0" w:type="auto"/>
                </w:tcPr>
                <w:p w14:paraId="36AE7A16" w14:textId="77777777" w:rsidR="005B783B" w:rsidRPr="0022305D" w:rsidRDefault="005B783B" w:rsidP="00A52602">
                  <w:pPr>
                    <w:pStyle w:val="Default"/>
                    <w:spacing w:line="480" w:lineRule="auto"/>
                    <w:rPr>
                      <w:rFonts w:asciiTheme="majorHAnsi" w:hAnsiTheme="majorHAnsi" w:cstheme="majorHAnsi"/>
                      <w:b/>
                      <w:bCs/>
                      <w:iCs/>
                    </w:rPr>
                  </w:pPr>
                  <w:r w:rsidRPr="0022305D">
                    <w:rPr>
                      <w:rFonts w:asciiTheme="majorHAnsi" w:hAnsiTheme="majorHAnsi" w:cstheme="majorHAnsi"/>
                      <w:b/>
                      <w:bCs/>
                      <w:iCs/>
                    </w:rPr>
                    <w:t xml:space="preserve">Author </w:t>
                  </w:r>
                </w:p>
              </w:tc>
            </w:tr>
          </w:tbl>
          <w:p w14:paraId="185BF1CA" w14:textId="77777777" w:rsidR="005B783B" w:rsidRPr="0022305D" w:rsidRDefault="005B783B" w:rsidP="00A52602">
            <w:pPr>
              <w:pStyle w:val="Default"/>
              <w:spacing w:line="480" w:lineRule="auto"/>
              <w:rPr>
                <w:rFonts w:asciiTheme="majorHAnsi" w:hAnsiTheme="majorHAnsi" w:cstheme="majorHAnsi"/>
                <w:b/>
                <w:bCs/>
                <w:iCs/>
                <w:color w:val="auto"/>
              </w:rPr>
            </w:pPr>
          </w:p>
        </w:tc>
        <w:tc>
          <w:tcPr>
            <w:tcW w:w="1875" w:type="dxa"/>
          </w:tcPr>
          <w:p w14:paraId="1A5793DF" w14:textId="77777777" w:rsidR="005B783B" w:rsidRPr="0022305D" w:rsidRDefault="005B783B" w:rsidP="00A52602">
            <w:pPr>
              <w:pStyle w:val="Default"/>
              <w:spacing w:line="480" w:lineRule="auto"/>
              <w:rPr>
                <w:rFonts w:asciiTheme="majorHAnsi" w:hAnsiTheme="majorHAnsi" w:cstheme="majorHAnsi"/>
                <w:b/>
                <w:bCs/>
                <w:iCs/>
                <w:color w:val="auto"/>
              </w:rPr>
            </w:pPr>
            <w:r w:rsidRPr="0022305D">
              <w:rPr>
                <w:rFonts w:asciiTheme="majorHAnsi" w:hAnsiTheme="majorHAnsi" w:cstheme="majorHAnsi"/>
                <w:b/>
                <w:bCs/>
                <w:iCs/>
                <w:color w:val="auto"/>
              </w:rPr>
              <w:t>Title</w:t>
            </w:r>
          </w:p>
        </w:tc>
        <w:tc>
          <w:tcPr>
            <w:tcW w:w="1347" w:type="dxa"/>
          </w:tcPr>
          <w:p w14:paraId="2CD0A269" w14:textId="77777777" w:rsidR="005B783B" w:rsidRPr="0022305D" w:rsidRDefault="005B783B" w:rsidP="00A52602">
            <w:pPr>
              <w:pStyle w:val="Default"/>
              <w:spacing w:line="480" w:lineRule="auto"/>
              <w:rPr>
                <w:rFonts w:asciiTheme="majorHAnsi" w:hAnsiTheme="majorHAnsi" w:cstheme="majorHAnsi"/>
              </w:rPr>
            </w:pPr>
            <w:r w:rsidRPr="0022305D">
              <w:rPr>
                <w:rFonts w:asciiTheme="majorHAnsi" w:hAnsiTheme="majorHAnsi" w:cstheme="majorHAnsi"/>
                <w:b/>
                <w:bCs/>
              </w:rPr>
              <w:t xml:space="preserve">Findings </w:t>
            </w:r>
          </w:p>
          <w:p w14:paraId="5AF36C29" w14:textId="77777777" w:rsidR="005B783B" w:rsidRPr="0022305D" w:rsidRDefault="005B783B" w:rsidP="00A52602">
            <w:pPr>
              <w:pStyle w:val="Default"/>
              <w:spacing w:line="480" w:lineRule="auto"/>
              <w:rPr>
                <w:rFonts w:asciiTheme="majorHAnsi" w:hAnsiTheme="majorHAnsi" w:cstheme="majorHAnsi"/>
                <w:iCs/>
                <w:color w:val="auto"/>
              </w:rPr>
            </w:pPr>
          </w:p>
        </w:tc>
        <w:tc>
          <w:tcPr>
            <w:tcW w:w="1515" w:type="dxa"/>
          </w:tcPr>
          <w:p w14:paraId="47894ED0" w14:textId="77777777" w:rsidR="005B783B" w:rsidRPr="0022305D" w:rsidRDefault="005B783B" w:rsidP="00A52602">
            <w:pPr>
              <w:pStyle w:val="Default"/>
              <w:spacing w:line="480" w:lineRule="auto"/>
              <w:rPr>
                <w:rFonts w:asciiTheme="majorHAnsi" w:hAnsiTheme="majorHAnsi" w:cstheme="majorHAnsi"/>
                <w:b/>
                <w:bCs/>
                <w:iCs/>
                <w:color w:val="auto"/>
              </w:rPr>
            </w:pPr>
            <w:r w:rsidRPr="0022305D">
              <w:rPr>
                <w:rFonts w:asciiTheme="majorHAnsi" w:hAnsiTheme="majorHAnsi" w:cstheme="majorHAnsi"/>
                <w:b/>
                <w:bCs/>
                <w:iCs/>
                <w:color w:val="auto"/>
              </w:rPr>
              <w:t>Gap</w:t>
            </w:r>
          </w:p>
        </w:tc>
        <w:tc>
          <w:tcPr>
            <w:tcW w:w="3704" w:type="dxa"/>
          </w:tcPr>
          <w:p w14:paraId="79A16D4E" w14:textId="77777777" w:rsidR="005B783B" w:rsidRPr="0022305D" w:rsidRDefault="005B783B" w:rsidP="00A52602">
            <w:pPr>
              <w:pStyle w:val="Default"/>
              <w:spacing w:line="480" w:lineRule="auto"/>
              <w:rPr>
                <w:rFonts w:asciiTheme="majorHAnsi" w:hAnsiTheme="majorHAnsi" w:cstheme="majorHAnsi"/>
                <w:b/>
                <w:bCs/>
                <w:iCs/>
                <w:color w:val="auto"/>
              </w:rPr>
            </w:pPr>
            <w:r w:rsidRPr="0022305D">
              <w:rPr>
                <w:rFonts w:asciiTheme="majorHAnsi" w:hAnsiTheme="majorHAnsi" w:cstheme="majorHAnsi"/>
                <w:b/>
                <w:bCs/>
                <w:iCs/>
                <w:color w:val="auto"/>
              </w:rPr>
              <w:t>Current study focus</w:t>
            </w:r>
          </w:p>
        </w:tc>
      </w:tr>
      <w:tr w:rsidR="00583CA1" w:rsidRPr="0022305D" w14:paraId="01098B5A" w14:textId="77777777" w:rsidTr="00583CA1">
        <w:trPr>
          <w:trHeight w:val="3867"/>
        </w:trPr>
        <w:tc>
          <w:tcPr>
            <w:tcW w:w="315" w:type="dxa"/>
          </w:tcPr>
          <w:p w14:paraId="1E9637B1" w14:textId="77777777" w:rsidR="005B783B" w:rsidRPr="0022305D" w:rsidRDefault="005B783B" w:rsidP="00A52602">
            <w:pPr>
              <w:pStyle w:val="Default"/>
              <w:spacing w:line="480" w:lineRule="auto"/>
              <w:rPr>
                <w:rFonts w:asciiTheme="majorHAnsi" w:hAnsiTheme="majorHAnsi" w:cstheme="majorHAnsi"/>
                <w:iCs/>
                <w:color w:val="auto"/>
              </w:rPr>
            </w:pPr>
            <w:r w:rsidRPr="0022305D">
              <w:rPr>
                <w:rFonts w:asciiTheme="majorHAnsi" w:hAnsiTheme="majorHAnsi" w:cstheme="majorHAnsi"/>
                <w:iCs/>
                <w:color w:val="auto"/>
              </w:rPr>
              <w:t>1</w:t>
            </w:r>
          </w:p>
        </w:tc>
        <w:tc>
          <w:tcPr>
            <w:tcW w:w="1256" w:type="dxa"/>
          </w:tcPr>
          <w:p w14:paraId="03E33CF3" w14:textId="77777777" w:rsidR="005B783B" w:rsidRPr="0022305D" w:rsidRDefault="005B783B" w:rsidP="00A52602">
            <w:pPr>
              <w:pStyle w:val="Default"/>
              <w:spacing w:line="480" w:lineRule="auto"/>
              <w:rPr>
                <w:rFonts w:asciiTheme="majorHAnsi" w:hAnsiTheme="majorHAnsi" w:cstheme="majorHAnsi"/>
                <w:iCs/>
                <w:color w:val="auto"/>
              </w:rPr>
            </w:pPr>
            <w:r w:rsidRPr="0022305D">
              <w:rPr>
                <w:rFonts w:asciiTheme="majorHAnsi" w:hAnsiTheme="majorHAnsi" w:cstheme="majorHAnsi"/>
                <w:bCs/>
                <w:iCs/>
                <w:color w:val="auto"/>
              </w:rPr>
              <w:fldChar w:fldCharType="begin" w:fldLock="1"/>
            </w:r>
            <w:r w:rsidRPr="0022305D">
              <w:rPr>
                <w:rFonts w:asciiTheme="majorHAnsi" w:hAnsiTheme="majorHAnsi" w:cstheme="majorHAnsi"/>
                <w:bCs/>
                <w:iCs/>
                <w:color w:val="auto"/>
              </w:rPr>
              <w:instrText>ADDIN CSL_CITATION {"citationItems":[{"id":"ITEM-1","itemData":{"abstract":"This paper presents an analysis which explains the impact of two distinct forms of leverage that arises due to the financing activities and operational activities, upon the profitability and market performance of a firm. The sample consists of twenty eight listed companies in the manufacturing sector of Colombo Stock Exchange, and data is gathered for the period 2008-2012. Study discusses the explanatory power of Financial Liability Leverage (FLEV), Operating Liability Leverage (OLLEV), and Total Leverage (TLEV) on Profitability and Market Performance. While profitability is measured by Return on Equity (ROE), Return on Assets (ROA) and Return on Net Operating Assets (RONOA), market performance is proxied by Price to Book value ratio (PB), Price Earnings ratio (PE), Market Capitalization (LGMCAP) and Tobin’s Q. Panel regression analysis is employed where fixed effects and random effects are tested to select the best suited model. The findings revealed that relationship between leverage and profitability best describes by the RONOA model and where OLLEV and FLEV exhibit a positive significant impact on the RONOA. While FLEV affects the ROA negatively and significantly, there is a negative significant relationship between TLEV and ROE. Only LGMCAP is captured by OLLEV and TLEV positively and negatively respectively. Accordingly LGMCAP model is the best suited model to explain the relationship between leverage and market performance","author":[{"dropping-particle":"","family":"Kumara","given":"Emil Sudath","non-dropping-particle":"","parse-names":false,"suffix":""},{"dropping-particle":"","family":"Samarakoon","given":"","non-dropping-particle":"","parse-names":false,"suffix":""}],"container-title":"Journal of Accountancy and Finance, 1-1;","id":"ITEM-1","issue":"1","issued":{"date-parts":[["2014"]]},"page":"76-87.","title":"Effect of leverage on profitability and market performance in the manufacturing sector of Sri Lanka: A panel regression analysis.","type":"article-journal","volume":"1"},"uris":["http://www.mendeley.com/documents/?uuid=13904257-29c4-42de-b78b-82d606551ef2"]}],"mendeley":{"formattedCitation":"(Kumara &amp; Samarakoon, 2014)","manualFormatting":"Winarso (2019)","plainTextFormattedCitation":"(Kumara &amp; Samarakoon, 2014)","previouslyFormattedCitation":"(Kumara &amp; Samarakoon, 2014)"},"properties":{"noteIndex":0},"schema":"https://github.com/citation-style-language/schema/raw/master/csl-citation.json"}</w:instrText>
            </w:r>
            <w:r w:rsidRPr="0022305D">
              <w:rPr>
                <w:rFonts w:asciiTheme="majorHAnsi" w:hAnsiTheme="majorHAnsi" w:cstheme="majorHAnsi"/>
                <w:bCs/>
                <w:iCs/>
                <w:color w:val="auto"/>
              </w:rPr>
              <w:fldChar w:fldCharType="separate"/>
            </w:r>
            <w:r w:rsidRPr="0022305D">
              <w:rPr>
                <w:rFonts w:asciiTheme="majorHAnsi" w:eastAsia="Times New Roman" w:hAnsiTheme="majorHAnsi" w:cstheme="majorHAnsi"/>
                <w:iCs/>
                <w:noProof/>
              </w:rPr>
              <w:fldChar w:fldCharType="begin" w:fldLock="1"/>
            </w:r>
            <w:r w:rsidRPr="0022305D">
              <w:rPr>
                <w:rFonts w:asciiTheme="majorHAnsi" w:eastAsia="Times New Roman" w:hAnsiTheme="majorHAnsi" w:cstheme="majorHAnsi"/>
                <w:iCs/>
                <w:noProof/>
              </w:rPr>
              <w:instrText>ADDIN CSL_CITATION {"citationItems":[{"id":"ITEM-1","itemData":{"author":[{"dropping-particle":"","family":"Winarso","given":"Eddy","non-dropping-particle":"","parse-names":false,"suffix":""}],"container-title":"Journal of Emerging Issues in Economics, Finance and Banking","id":"ITEM-1","issue":"1","issued":{"date-parts":[["2019"]]},"page":"2773-2781","title":"Liquidity , solvency and profitability : An analysis of consumer sector companies listed on Indonesian stock exchange","type":"article-journal","volume":"8"},"uris":["http://www.mendeley.com/documents/?uuid=fcc7cae7-85da-4527-b8fe-ccc62d3e3050"]}],"mendeley":{"formattedCitation":"(Winarso, 2019)","manualFormatting":"Winarso (2019)","plainTextFormattedCitation":"(Winarso, 2019)","previouslyFormattedCitation":"(Winarso, 2019)"},"properties":{"noteIndex":0},"schema":"https://github.com/citation-style-language/schema/raw/master/csl-citation.json"}</w:instrText>
            </w:r>
            <w:r w:rsidRPr="0022305D">
              <w:rPr>
                <w:rFonts w:asciiTheme="majorHAnsi" w:eastAsia="Times New Roman" w:hAnsiTheme="majorHAnsi" w:cstheme="majorHAnsi"/>
                <w:iCs/>
                <w:noProof/>
              </w:rPr>
              <w:fldChar w:fldCharType="separate"/>
            </w:r>
            <w:r w:rsidRPr="0022305D">
              <w:rPr>
                <w:rFonts w:asciiTheme="majorHAnsi" w:eastAsia="Times New Roman" w:hAnsiTheme="majorHAnsi" w:cstheme="majorHAnsi"/>
                <w:iCs/>
                <w:noProof/>
              </w:rPr>
              <w:t>Winarso (2019)</w:t>
            </w:r>
            <w:r w:rsidRPr="0022305D">
              <w:rPr>
                <w:rFonts w:asciiTheme="majorHAnsi" w:eastAsia="Times New Roman" w:hAnsiTheme="majorHAnsi" w:cstheme="majorHAnsi"/>
                <w:iCs/>
                <w:noProof/>
              </w:rPr>
              <w:fldChar w:fldCharType="end"/>
            </w:r>
            <w:r w:rsidRPr="0022305D">
              <w:rPr>
                <w:rFonts w:asciiTheme="majorHAnsi" w:hAnsiTheme="majorHAnsi" w:cstheme="majorHAnsi"/>
                <w:iCs/>
                <w:color w:val="auto"/>
              </w:rPr>
              <w:fldChar w:fldCharType="end"/>
            </w:r>
          </w:p>
        </w:tc>
        <w:tc>
          <w:tcPr>
            <w:tcW w:w="1875" w:type="dxa"/>
          </w:tcPr>
          <w:p w14:paraId="3FA5D9DE" w14:textId="77777777" w:rsidR="005B783B" w:rsidRPr="0022305D" w:rsidRDefault="005B783B" w:rsidP="00A52602">
            <w:pPr>
              <w:pStyle w:val="Default"/>
              <w:spacing w:line="480" w:lineRule="auto"/>
              <w:rPr>
                <w:rFonts w:asciiTheme="majorHAnsi" w:hAnsiTheme="majorHAnsi" w:cstheme="majorHAnsi"/>
                <w:iCs/>
                <w:color w:val="auto"/>
              </w:rPr>
            </w:pPr>
            <w:r w:rsidRPr="0022305D">
              <w:rPr>
                <w:rFonts w:asciiTheme="majorHAnsi" w:eastAsia="Times New Roman" w:hAnsiTheme="majorHAnsi" w:cstheme="majorHAnsi"/>
                <w:iCs/>
              </w:rPr>
              <w:t>Effect of liquidity and solvency on profitability of consumer sector companies listed at Indonesia Stock Exchange.</w:t>
            </w:r>
          </w:p>
        </w:tc>
        <w:tc>
          <w:tcPr>
            <w:tcW w:w="1347" w:type="dxa"/>
          </w:tcPr>
          <w:p w14:paraId="58A3FE33" w14:textId="77777777" w:rsidR="005B783B" w:rsidRPr="0022305D" w:rsidRDefault="005B783B" w:rsidP="00A52602">
            <w:pPr>
              <w:pStyle w:val="Default"/>
              <w:spacing w:line="480" w:lineRule="auto"/>
              <w:rPr>
                <w:rFonts w:asciiTheme="majorHAnsi" w:hAnsiTheme="majorHAnsi" w:cstheme="majorHAnsi"/>
                <w:iCs/>
                <w:color w:val="auto"/>
              </w:rPr>
            </w:pPr>
            <w:r w:rsidRPr="0022305D">
              <w:rPr>
                <w:rFonts w:asciiTheme="majorHAnsi" w:eastAsia="Times New Roman" w:hAnsiTheme="majorHAnsi" w:cstheme="majorHAnsi"/>
                <w:iCs/>
              </w:rPr>
              <w:t>Negative relationship between solvency and profitability.</w:t>
            </w:r>
          </w:p>
        </w:tc>
        <w:tc>
          <w:tcPr>
            <w:tcW w:w="1515" w:type="dxa"/>
          </w:tcPr>
          <w:p w14:paraId="265BE197" w14:textId="77777777" w:rsidR="005B783B" w:rsidRPr="0022305D" w:rsidRDefault="005B783B" w:rsidP="00A52602">
            <w:pPr>
              <w:autoSpaceDE w:val="0"/>
              <w:autoSpaceDN w:val="0"/>
              <w:adjustRightInd w:val="0"/>
              <w:spacing w:line="480" w:lineRule="auto"/>
              <w:rPr>
                <w:rFonts w:asciiTheme="majorHAnsi" w:eastAsia="Times New Roman" w:hAnsiTheme="majorHAnsi" w:cstheme="majorHAnsi"/>
                <w:iCs/>
                <w:sz w:val="24"/>
                <w:szCs w:val="24"/>
              </w:rPr>
            </w:pPr>
            <w:r w:rsidRPr="0022305D">
              <w:rPr>
                <w:rFonts w:asciiTheme="majorHAnsi" w:eastAsia="Times New Roman" w:hAnsiTheme="majorHAnsi" w:cstheme="majorHAnsi"/>
                <w:iCs/>
                <w:sz w:val="24"/>
                <w:szCs w:val="24"/>
              </w:rPr>
              <w:t>Study conducted in Indonesia.</w:t>
            </w:r>
          </w:p>
          <w:p w14:paraId="2DEA2962" w14:textId="77777777" w:rsidR="005B783B" w:rsidRPr="0022305D" w:rsidRDefault="005B783B" w:rsidP="00A52602">
            <w:pPr>
              <w:pStyle w:val="Default"/>
              <w:spacing w:line="480" w:lineRule="auto"/>
              <w:rPr>
                <w:rFonts w:asciiTheme="majorHAnsi" w:hAnsiTheme="majorHAnsi" w:cstheme="majorHAnsi"/>
                <w:iCs/>
                <w:color w:val="auto"/>
              </w:rPr>
            </w:pPr>
          </w:p>
        </w:tc>
        <w:tc>
          <w:tcPr>
            <w:tcW w:w="3704" w:type="dxa"/>
          </w:tcPr>
          <w:p w14:paraId="0B42720A" w14:textId="77777777" w:rsidR="005B783B" w:rsidRPr="0022305D" w:rsidRDefault="005B783B" w:rsidP="00A52602">
            <w:pPr>
              <w:autoSpaceDE w:val="0"/>
              <w:autoSpaceDN w:val="0"/>
              <w:adjustRightInd w:val="0"/>
              <w:spacing w:line="480" w:lineRule="auto"/>
              <w:rPr>
                <w:rFonts w:asciiTheme="majorHAnsi" w:eastAsia="Times New Roman" w:hAnsiTheme="majorHAnsi" w:cstheme="majorHAnsi"/>
                <w:iCs/>
                <w:sz w:val="24"/>
                <w:szCs w:val="24"/>
              </w:rPr>
            </w:pPr>
            <w:r w:rsidRPr="0022305D">
              <w:rPr>
                <w:rFonts w:asciiTheme="majorHAnsi" w:eastAsia="Times New Roman" w:hAnsiTheme="majorHAnsi" w:cstheme="majorHAnsi"/>
                <w:iCs/>
                <w:sz w:val="24"/>
                <w:szCs w:val="24"/>
              </w:rPr>
              <w:t>Study conducted in Kenya.</w:t>
            </w:r>
          </w:p>
          <w:p w14:paraId="0F1DB085" w14:textId="77777777" w:rsidR="005B783B" w:rsidRPr="0022305D" w:rsidRDefault="005B783B" w:rsidP="00A52602">
            <w:pPr>
              <w:pStyle w:val="Default"/>
              <w:spacing w:line="480" w:lineRule="auto"/>
              <w:rPr>
                <w:rFonts w:asciiTheme="majorHAnsi" w:hAnsiTheme="majorHAnsi" w:cstheme="majorHAnsi"/>
                <w:iCs/>
                <w:color w:val="auto"/>
              </w:rPr>
            </w:pPr>
          </w:p>
        </w:tc>
      </w:tr>
      <w:tr w:rsidR="00583CA1" w:rsidRPr="0022305D" w14:paraId="0B136822" w14:textId="77777777" w:rsidTr="00583CA1">
        <w:trPr>
          <w:trHeight w:val="3297"/>
        </w:trPr>
        <w:tc>
          <w:tcPr>
            <w:tcW w:w="315" w:type="dxa"/>
          </w:tcPr>
          <w:p w14:paraId="6633B58A" w14:textId="77777777" w:rsidR="005B783B" w:rsidRPr="0022305D" w:rsidRDefault="005B783B" w:rsidP="00A52602">
            <w:pPr>
              <w:pStyle w:val="Default"/>
              <w:spacing w:line="480" w:lineRule="auto"/>
              <w:rPr>
                <w:rFonts w:asciiTheme="majorHAnsi" w:hAnsiTheme="majorHAnsi" w:cstheme="majorHAnsi"/>
                <w:iCs/>
                <w:color w:val="auto"/>
              </w:rPr>
            </w:pPr>
            <w:r w:rsidRPr="0022305D">
              <w:rPr>
                <w:rFonts w:asciiTheme="majorHAnsi" w:hAnsiTheme="majorHAnsi" w:cstheme="majorHAnsi"/>
                <w:iCs/>
                <w:color w:val="auto"/>
              </w:rPr>
              <w:t>2</w:t>
            </w:r>
          </w:p>
        </w:tc>
        <w:tc>
          <w:tcPr>
            <w:tcW w:w="1256" w:type="dxa"/>
          </w:tcPr>
          <w:p w14:paraId="68C851AA" w14:textId="77777777" w:rsidR="005B783B" w:rsidRPr="0022305D" w:rsidRDefault="005B783B" w:rsidP="00A52602">
            <w:pPr>
              <w:pStyle w:val="Default"/>
              <w:spacing w:line="480" w:lineRule="auto"/>
              <w:rPr>
                <w:rFonts w:asciiTheme="majorHAnsi" w:hAnsiTheme="majorHAnsi" w:cstheme="majorHAnsi"/>
                <w:iCs/>
                <w:color w:val="auto"/>
              </w:rPr>
            </w:pPr>
            <w:r w:rsidRPr="0022305D">
              <w:rPr>
                <w:rFonts w:asciiTheme="majorHAnsi" w:eastAsia="Arial" w:hAnsiTheme="majorHAnsi" w:cstheme="majorHAnsi"/>
              </w:rPr>
              <w:fldChar w:fldCharType="begin" w:fldLock="1"/>
            </w:r>
            <w:r w:rsidRPr="0022305D">
              <w:rPr>
                <w:rFonts w:asciiTheme="majorHAnsi" w:eastAsia="Arial" w:hAnsiTheme="majorHAnsi" w:cstheme="majorHAnsi"/>
              </w:rPr>
              <w:instrText>ADDIN CSL_CITATION {"citationItems":[{"id":"ITEM-1","itemData":{"author":[{"dropping-particle":"","family":"Rehman","given":"Mobeen Ur","non-dropping-particle":"","parse-names":false,"suffix":""},{"dropping-particle":"","family":"Waqas","given":"Bin Khidmat","non-dropping-particle":"","parse-names":false,"suffix":""}],"container-title":"Ekonomika Management Inovace","id":"ITEM-1","issue":"3","issued":{"date-parts":[["2014"]]},"page":"12","title":"Impact of Liquidity &amp; Solvency on Profitability of Chemical sector in Pakistan","type":"article-journal","volume":"6"},"uris":["http://www.mendeley.com/documents/?uuid=11eb3096-ab31-44b6-8ff9-c884812356cf"]}],"mendeley":{"formattedCitation":"(M. U. Rehman &amp; Waqas, 2014)","manualFormatting":"Rehman (2014)","plainTextFormattedCitation":"(M. U. Rehman &amp; Waqas, 2014)","previouslyFormattedCitation":"(M. U. Rehman &amp; Waqas, 2014)"},"properties":{"noteIndex":0},"schema":"https://github.com/citation-style-language/schema/raw/master/csl-citation.json"}</w:instrText>
            </w:r>
            <w:r w:rsidRPr="0022305D">
              <w:rPr>
                <w:rFonts w:asciiTheme="majorHAnsi" w:eastAsia="Arial" w:hAnsiTheme="majorHAnsi" w:cstheme="majorHAnsi"/>
              </w:rPr>
              <w:fldChar w:fldCharType="separate"/>
            </w:r>
            <w:r w:rsidRPr="0022305D">
              <w:rPr>
                <w:rFonts w:asciiTheme="majorHAnsi" w:eastAsia="Arial" w:hAnsiTheme="majorHAnsi" w:cstheme="majorHAnsi"/>
                <w:noProof/>
              </w:rPr>
              <w:t>Rehman (2014)</w:t>
            </w:r>
            <w:r w:rsidRPr="0022305D">
              <w:rPr>
                <w:rFonts w:asciiTheme="majorHAnsi" w:eastAsia="Arial" w:hAnsiTheme="majorHAnsi" w:cstheme="majorHAnsi"/>
              </w:rPr>
              <w:fldChar w:fldCharType="end"/>
            </w:r>
          </w:p>
        </w:tc>
        <w:tc>
          <w:tcPr>
            <w:tcW w:w="1875" w:type="dxa"/>
          </w:tcPr>
          <w:p w14:paraId="67F1C697" w14:textId="77777777" w:rsidR="005B783B" w:rsidRPr="0022305D" w:rsidRDefault="005B783B" w:rsidP="00A52602">
            <w:pPr>
              <w:pStyle w:val="Default"/>
              <w:spacing w:line="480" w:lineRule="auto"/>
              <w:rPr>
                <w:rFonts w:asciiTheme="majorHAnsi" w:hAnsiTheme="majorHAnsi" w:cstheme="majorHAnsi"/>
                <w:iCs/>
                <w:color w:val="auto"/>
              </w:rPr>
            </w:pPr>
            <w:r w:rsidRPr="0022305D">
              <w:rPr>
                <w:rFonts w:asciiTheme="majorHAnsi" w:eastAsia="Arial" w:hAnsiTheme="majorHAnsi" w:cstheme="majorHAnsi"/>
                <w:iCs/>
              </w:rPr>
              <w:t>Impact of liquidity and solvency on profitability of chemical sector of Pakistan</w:t>
            </w:r>
          </w:p>
        </w:tc>
        <w:tc>
          <w:tcPr>
            <w:tcW w:w="1347" w:type="dxa"/>
          </w:tcPr>
          <w:p w14:paraId="415C74E8" w14:textId="77777777" w:rsidR="005B783B" w:rsidRPr="0022305D" w:rsidRDefault="005B783B" w:rsidP="00A52602">
            <w:pPr>
              <w:pStyle w:val="Default"/>
              <w:spacing w:line="480" w:lineRule="auto"/>
              <w:rPr>
                <w:rFonts w:asciiTheme="majorHAnsi" w:hAnsiTheme="majorHAnsi" w:cstheme="majorHAnsi"/>
                <w:iCs/>
                <w:color w:val="auto"/>
              </w:rPr>
            </w:pPr>
            <w:r w:rsidRPr="0022305D">
              <w:rPr>
                <w:rFonts w:asciiTheme="majorHAnsi" w:hAnsiTheme="majorHAnsi" w:cstheme="majorHAnsi"/>
                <w:iCs/>
              </w:rPr>
              <w:t>Negative relationship between solvency and profitability.</w:t>
            </w:r>
          </w:p>
        </w:tc>
        <w:tc>
          <w:tcPr>
            <w:tcW w:w="1515" w:type="dxa"/>
          </w:tcPr>
          <w:p w14:paraId="12FDD142" w14:textId="77777777" w:rsidR="005B783B" w:rsidRPr="0022305D" w:rsidRDefault="005B783B" w:rsidP="00A52602">
            <w:pPr>
              <w:pStyle w:val="Default"/>
              <w:spacing w:line="480" w:lineRule="auto"/>
              <w:rPr>
                <w:rFonts w:asciiTheme="majorHAnsi" w:hAnsiTheme="majorHAnsi" w:cstheme="majorHAnsi"/>
                <w:iCs/>
                <w:color w:val="auto"/>
              </w:rPr>
            </w:pPr>
            <w:r w:rsidRPr="0022305D">
              <w:rPr>
                <w:rFonts w:asciiTheme="majorHAnsi" w:hAnsiTheme="majorHAnsi" w:cstheme="majorHAnsi"/>
                <w:iCs/>
                <w:color w:val="auto"/>
              </w:rPr>
              <w:t>Study conducted in chemical sector.</w:t>
            </w:r>
          </w:p>
        </w:tc>
        <w:tc>
          <w:tcPr>
            <w:tcW w:w="3704" w:type="dxa"/>
          </w:tcPr>
          <w:p w14:paraId="60322E49" w14:textId="77777777" w:rsidR="00AB63A4" w:rsidRDefault="005B783B" w:rsidP="00A52602">
            <w:pPr>
              <w:pStyle w:val="Default"/>
              <w:spacing w:line="480" w:lineRule="auto"/>
              <w:rPr>
                <w:rFonts w:asciiTheme="majorHAnsi" w:hAnsiTheme="majorHAnsi" w:cstheme="majorHAnsi"/>
                <w:iCs/>
                <w:color w:val="auto"/>
              </w:rPr>
            </w:pPr>
            <w:r w:rsidRPr="0022305D">
              <w:rPr>
                <w:rFonts w:asciiTheme="majorHAnsi" w:hAnsiTheme="majorHAnsi" w:cstheme="majorHAnsi"/>
                <w:iCs/>
                <w:color w:val="auto"/>
              </w:rPr>
              <w:t>Study conducted in commercial</w:t>
            </w:r>
          </w:p>
          <w:p w14:paraId="2E5196D0" w14:textId="30C066BD" w:rsidR="005B783B" w:rsidRPr="0022305D" w:rsidRDefault="005B783B" w:rsidP="00A52602">
            <w:pPr>
              <w:pStyle w:val="Default"/>
              <w:spacing w:line="480" w:lineRule="auto"/>
              <w:rPr>
                <w:rFonts w:asciiTheme="majorHAnsi" w:hAnsiTheme="majorHAnsi" w:cstheme="majorHAnsi"/>
                <w:iCs/>
                <w:color w:val="auto"/>
              </w:rPr>
            </w:pPr>
            <w:r w:rsidRPr="0022305D">
              <w:rPr>
                <w:rFonts w:asciiTheme="majorHAnsi" w:hAnsiTheme="majorHAnsi" w:cstheme="majorHAnsi"/>
                <w:iCs/>
                <w:color w:val="auto"/>
              </w:rPr>
              <w:t xml:space="preserve"> banks.</w:t>
            </w:r>
          </w:p>
        </w:tc>
      </w:tr>
      <w:tr w:rsidR="00583CA1" w:rsidRPr="0022305D" w14:paraId="34D10C19" w14:textId="77777777" w:rsidTr="00583CA1">
        <w:trPr>
          <w:trHeight w:val="3852"/>
        </w:trPr>
        <w:tc>
          <w:tcPr>
            <w:tcW w:w="315" w:type="dxa"/>
          </w:tcPr>
          <w:p w14:paraId="028E872B" w14:textId="77777777" w:rsidR="005B783B" w:rsidRPr="0022305D" w:rsidRDefault="005B783B" w:rsidP="00A52602">
            <w:pPr>
              <w:pStyle w:val="Default"/>
              <w:spacing w:line="480" w:lineRule="auto"/>
              <w:rPr>
                <w:rFonts w:asciiTheme="majorHAnsi" w:hAnsiTheme="majorHAnsi" w:cstheme="majorHAnsi"/>
                <w:iCs/>
                <w:color w:val="auto"/>
              </w:rPr>
            </w:pPr>
            <w:r w:rsidRPr="0022305D">
              <w:rPr>
                <w:rFonts w:asciiTheme="majorHAnsi" w:hAnsiTheme="majorHAnsi" w:cstheme="majorHAnsi"/>
                <w:iCs/>
                <w:color w:val="auto"/>
              </w:rPr>
              <w:t>3</w:t>
            </w:r>
          </w:p>
        </w:tc>
        <w:tc>
          <w:tcPr>
            <w:tcW w:w="1256" w:type="dxa"/>
          </w:tcPr>
          <w:p w14:paraId="30E4338B" w14:textId="77777777" w:rsidR="005B783B" w:rsidRPr="0022305D" w:rsidRDefault="005B783B" w:rsidP="00A52602">
            <w:pPr>
              <w:pStyle w:val="Default"/>
              <w:spacing w:line="480" w:lineRule="auto"/>
              <w:rPr>
                <w:rFonts w:asciiTheme="majorHAnsi" w:hAnsiTheme="majorHAnsi" w:cstheme="majorHAnsi"/>
                <w:iCs/>
                <w:color w:val="auto"/>
              </w:rPr>
            </w:pPr>
            <w:r w:rsidRPr="0022305D">
              <w:rPr>
                <w:rFonts w:asciiTheme="majorHAnsi" w:hAnsiTheme="majorHAnsi" w:cstheme="majorHAnsi"/>
              </w:rPr>
              <w:fldChar w:fldCharType="begin" w:fldLock="1"/>
            </w:r>
            <w:r w:rsidRPr="0022305D">
              <w:rPr>
                <w:rFonts w:asciiTheme="majorHAnsi" w:hAnsiTheme="majorHAnsi" w:cstheme="majorHAnsi"/>
              </w:rPr>
              <w:instrText>ADDIN CSL_CITATION {"citationItems":[{"id":"ITEM-1","itemData":{"DOI":"10.6007/ijarafms/v6-i1/1954","abstract":"This paper examines the impact of liquidity and solvency on banks profitability. All banks listed in Amman exchange were selected (15 banks) for the period 2012-2014. To measure the liquidity the quick ratio was calculated, Debt ratio was calculated to measure the solvency, whereas return on assets ratio was calculated to measure the profitability. Simple regression was used to examine the relations; the results showed that the liquidity has a negative (inverse) significant impact on profitability, whereas the solvency has a no impact on profitability.","author":[{"dropping-particle":"","family":"Dahiyat","given":"Ahmad","non-dropping-particle":"","parse-names":false,"suffix":""}],"container-title":"International Journal of Academic Research in Accounting, Finance and Management Sciences","id":"ITEM-1","issue":"1","issued":{"date-parts":[["2016"]]},"page":"35-40","title":"Does liquidity and solvency affect banks profitability? Evidence from listed banks in Jordan","type":"article-journal","volume":"6"},"uris":["http://www.mendeley.com/documents/?uuid=92ce5dd0-5523-4493-913f-7aa687b0533b"]}],"mendeley":{"formattedCitation":"(Dahiyat, 2016)","manualFormatting":"Dahiyat (2016)","plainTextFormattedCitation":"(Dahiyat, 2016)","previouslyFormattedCitation":"(Dahiyat, 2016)"},"properties":{"noteIndex":0},"schema":"https://github.com/citation-style-language/schema/raw/master/csl-citation.json"}</w:instrText>
            </w:r>
            <w:r w:rsidRPr="0022305D">
              <w:rPr>
                <w:rFonts w:asciiTheme="majorHAnsi" w:hAnsiTheme="majorHAnsi" w:cstheme="majorHAnsi"/>
              </w:rPr>
              <w:fldChar w:fldCharType="separate"/>
            </w:r>
            <w:r w:rsidRPr="0022305D">
              <w:rPr>
                <w:rFonts w:asciiTheme="majorHAnsi" w:hAnsiTheme="majorHAnsi" w:cstheme="majorHAnsi"/>
                <w:noProof/>
              </w:rPr>
              <w:t>Dahiyat (2016)</w:t>
            </w:r>
            <w:r w:rsidRPr="0022305D">
              <w:rPr>
                <w:rFonts w:asciiTheme="majorHAnsi" w:hAnsiTheme="majorHAnsi" w:cstheme="majorHAnsi"/>
              </w:rPr>
              <w:fldChar w:fldCharType="end"/>
            </w:r>
          </w:p>
        </w:tc>
        <w:tc>
          <w:tcPr>
            <w:tcW w:w="1875" w:type="dxa"/>
          </w:tcPr>
          <w:p w14:paraId="3D9A3ACF" w14:textId="77777777" w:rsidR="005B783B" w:rsidRPr="0022305D" w:rsidRDefault="005B783B" w:rsidP="00A52602">
            <w:pPr>
              <w:pStyle w:val="Default"/>
              <w:spacing w:line="480" w:lineRule="auto"/>
              <w:rPr>
                <w:rFonts w:asciiTheme="majorHAnsi" w:hAnsiTheme="majorHAnsi" w:cstheme="majorHAnsi"/>
                <w:iCs/>
                <w:color w:val="auto"/>
              </w:rPr>
            </w:pPr>
            <w:r w:rsidRPr="0022305D">
              <w:rPr>
                <w:rFonts w:asciiTheme="majorHAnsi" w:hAnsiTheme="majorHAnsi" w:cstheme="majorHAnsi"/>
                <w:iCs/>
              </w:rPr>
              <w:t>Does Liquidity and Solvency Affect Banks Profitability? Evidence from Listed Banks in Jordan</w:t>
            </w:r>
          </w:p>
        </w:tc>
        <w:tc>
          <w:tcPr>
            <w:tcW w:w="1347" w:type="dxa"/>
          </w:tcPr>
          <w:p w14:paraId="60CEE379" w14:textId="77777777" w:rsidR="005B783B" w:rsidRPr="0022305D" w:rsidRDefault="005B783B" w:rsidP="00A52602">
            <w:pPr>
              <w:pStyle w:val="Default"/>
              <w:spacing w:line="480" w:lineRule="auto"/>
              <w:rPr>
                <w:rFonts w:asciiTheme="majorHAnsi" w:hAnsiTheme="majorHAnsi" w:cstheme="majorHAnsi"/>
                <w:iCs/>
                <w:color w:val="auto"/>
              </w:rPr>
            </w:pPr>
            <w:r w:rsidRPr="0022305D">
              <w:rPr>
                <w:rFonts w:asciiTheme="majorHAnsi" w:eastAsia="Times New Roman" w:hAnsiTheme="majorHAnsi" w:cstheme="majorHAnsi"/>
                <w:iCs/>
              </w:rPr>
              <w:t>No relationship between solvency and profitability.</w:t>
            </w:r>
          </w:p>
        </w:tc>
        <w:tc>
          <w:tcPr>
            <w:tcW w:w="1515" w:type="dxa"/>
          </w:tcPr>
          <w:p w14:paraId="7BF995B6" w14:textId="77777777" w:rsidR="005B783B" w:rsidRPr="0022305D" w:rsidRDefault="005B783B" w:rsidP="00A52602">
            <w:pPr>
              <w:pStyle w:val="Default"/>
              <w:spacing w:line="480" w:lineRule="auto"/>
              <w:rPr>
                <w:rFonts w:asciiTheme="majorHAnsi" w:hAnsiTheme="majorHAnsi" w:cstheme="majorHAnsi"/>
                <w:iCs/>
                <w:color w:val="auto"/>
              </w:rPr>
            </w:pPr>
            <w:r w:rsidRPr="0022305D">
              <w:rPr>
                <w:rFonts w:asciiTheme="majorHAnsi" w:hAnsiTheme="majorHAnsi" w:cstheme="majorHAnsi"/>
                <w:iCs/>
                <w:color w:val="auto"/>
              </w:rPr>
              <w:t>Focused on both liquidity and solvency.</w:t>
            </w:r>
          </w:p>
        </w:tc>
        <w:tc>
          <w:tcPr>
            <w:tcW w:w="3704" w:type="dxa"/>
          </w:tcPr>
          <w:p w14:paraId="30F15184" w14:textId="77777777" w:rsidR="005B783B" w:rsidRPr="0022305D" w:rsidRDefault="005B783B" w:rsidP="00A52602">
            <w:pPr>
              <w:pStyle w:val="Default"/>
              <w:spacing w:line="480" w:lineRule="auto"/>
              <w:rPr>
                <w:rFonts w:asciiTheme="majorHAnsi" w:hAnsiTheme="majorHAnsi" w:cstheme="majorHAnsi"/>
                <w:iCs/>
                <w:color w:val="auto"/>
              </w:rPr>
            </w:pPr>
            <w:r w:rsidRPr="0022305D">
              <w:rPr>
                <w:rFonts w:asciiTheme="majorHAnsi" w:hAnsiTheme="majorHAnsi" w:cstheme="majorHAnsi"/>
                <w:iCs/>
                <w:color w:val="auto"/>
              </w:rPr>
              <w:t>Focused on solvency alone.</w:t>
            </w:r>
          </w:p>
        </w:tc>
      </w:tr>
      <w:tr w:rsidR="00583CA1" w:rsidRPr="0022305D" w14:paraId="7B3921B7" w14:textId="77777777" w:rsidTr="00583CA1">
        <w:trPr>
          <w:trHeight w:val="4406"/>
        </w:trPr>
        <w:tc>
          <w:tcPr>
            <w:tcW w:w="315" w:type="dxa"/>
          </w:tcPr>
          <w:p w14:paraId="52C9D813" w14:textId="77777777" w:rsidR="005B783B" w:rsidRPr="0022305D" w:rsidRDefault="005B783B" w:rsidP="00A52602">
            <w:pPr>
              <w:pStyle w:val="Default"/>
              <w:spacing w:line="480" w:lineRule="auto"/>
              <w:rPr>
                <w:rFonts w:asciiTheme="majorHAnsi" w:hAnsiTheme="majorHAnsi" w:cstheme="majorHAnsi"/>
                <w:iCs/>
                <w:color w:val="auto"/>
              </w:rPr>
            </w:pPr>
            <w:r w:rsidRPr="0022305D">
              <w:rPr>
                <w:rFonts w:asciiTheme="majorHAnsi" w:hAnsiTheme="majorHAnsi" w:cstheme="majorHAnsi"/>
                <w:iCs/>
                <w:color w:val="auto"/>
              </w:rPr>
              <w:t>4</w:t>
            </w:r>
          </w:p>
        </w:tc>
        <w:tc>
          <w:tcPr>
            <w:tcW w:w="1256" w:type="dxa"/>
          </w:tcPr>
          <w:p w14:paraId="24732533" w14:textId="3EC71312" w:rsidR="005B783B" w:rsidRPr="0022305D" w:rsidRDefault="005B783B" w:rsidP="00A52602">
            <w:pPr>
              <w:pStyle w:val="Default"/>
              <w:spacing w:line="480" w:lineRule="auto"/>
              <w:rPr>
                <w:rFonts w:asciiTheme="majorHAnsi" w:hAnsiTheme="majorHAnsi" w:cstheme="majorHAnsi"/>
                <w:iCs/>
                <w:color w:val="auto"/>
              </w:rPr>
            </w:pPr>
            <w:r w:rsidRPr="0022305D">
              <w:rPr>
                <w:rFonts w:asciiTheme="majorHAnsi" w:hAnsiTheme="majorHAnsi" w:cstheme="majorHAnsi"/>
                <w:bCs/>
                <w:iCs/>
                <w:color w:val="000000" w:themeColor="text1"/>
              </w:rPr>
              <w:fldChar w:fldCharType="begin" w:fldLock="1"/>
            </w:r>
            <w:r w:rsidR="007D6327">
              <w:rPr>
                <w:rFonts w:asciiTheme="majorHAnsi" w:hAnsiTheme="majorHAnsi" w:cstheme="majorHAnsi"/>
                <w:bCs/>
                <w:iCs/>
                <w:color w:val="000000" w:themeColor="text1"/>
              </w:rPr>
              <w:instrText>ADDIN CSL_CITATION {"citationItems":[{"id":"ITEM-1","itemData":{"author":[{"dropping-particle":"","family":"Innocent","given":"Chinedu","non-dropping-particle":"","parse-names":false,"suffix":""},{"dropping-particle":"","family":"Ikechukwu","given":"Charles","non-dropping-particle":"","parse-names":false,"suffix":""},{"dropping-particle":"","family":"Nnagbogu","given":"Eziedo Kenneth","non-dropping-particle":"","parse-names":false,"suffix":""}],"container-title":"Journal of Accountancy and Finance","id":"ITEM-1","issue":"3","issued":{"date-parts":[["2014"]]},"page":"17-25","title":"The Effect of financial leverage on financial performance : Evidence of quoted pharmaceutical companies in Nigeria .","type":"article-journal","volume":"5"},"uris":["http://www.mendeley.com/documents/?uuid=2e07b9f1-7c27-4498-90f5-ad137603457c"]}],"mendeley":{"formattedCitation":"(Innocent et al., 2014)","manualFormatting":"Innocent, Ikechukwu, and Nnagbogu (2014)","plainTextFormattedCitation":"(Innocent et al., 2014)","previouslyFormattedCitation":"(Innocent et al., 2014)"},"properties":{"noteIndex":0},"schema":"https://github.com/citation-style-language/schema/raw/master/csl-citation.json"}</w:instrText>
            </w:r>
            <w:r w:rsidRPr="0022305D">
              <w:rPr>
                <w:rFonts w:asciiTheme="majorHAnsi" w:hAnsiTheme="majorHAnsi" w:cstheme="majorHAnsi"/>
                <w:bCs/>
                <w:iCs/>
                <w:color w:val="000000" w:themeColor="text1"/>
              </w:rPr>
              <w:fldChar w:fldCharType="separate"/>
            </w:r>
            <w:r w:rsidRPr="0022305D">
              <w:rPr>
                <w:rFonts w:asciiTheme="majorHAnsi" w:hAnsiTheme="majorHAnsi" w:cstheme="majorHAnsi"/>
                <w:bCs/>
                <w:iCs/>
                <w:noProof/>
                <w:color w:val="000000" w:themeColor="text1"/>
              </w:rPr>
              <w:t>Innocent, Ikechukwu, and Nnagbogu (2014)</w:t>
            </w:r>
            <w:r w:rsidRPr="0022305D">
              <w:rPr>
                <w:rFonts w:asciiTheme="majorHAnsi" w:hAnsiTheme="majorHAnsi" w:cstheme="majorHAnsi"/>
                <w:bCs/>
                <w:iCs/>
                <w:color w:val="000000" w:themeColor="text1"/>
              </w:rPr>
              <w:fldChar w:fldCharType="end"/>
            </w:r>
          </w:p>
        </w:tc>
        <w:tc>
          <w:tcPr>
            <w:tcW w:w="1875" w:type="dxa"/>
          </w:tcPr>
          <w:p w14:paraId="7066D643" w14:textId="77777777" w:rsidR="005B783B" w:rsidRPr="0022305D" w:rsidRDefault="005B783B" w:rsidP="00A52602">
            <w:pPr>
              <w:pStyle w:val="Default"/>
              <w:spacing w:line="480" w:lineRule="auto"/>
              <w:rPr>
                <w:rFonts w:asciiTheme="majorHAnsi" w:hAnsiTheme="majorHAnsi" w:cstheme="majorHAnsi"/>
                <w:iCs/>
                <w:color w:val="auto"/>
              </w:rPr>
            </w:pPr>
            <w:r w:rsidRPr="0022305D">
              <w:rPr>
                <w:rFonts w:asciiTheme="majorHAnsi" w:hAnsiTheme="majorHAnsi" w:cstheme="majorHAnsi"/>
                <w:bCs/>
                <w:iCs/>
                <w:color w:val="000000" w:themeColor="text1"/>
              </w:rPr>
              <w:t>Effect of financial leverage on financial performance of quoted pharmaceutical companies in Nigeria</w:t>
            </w:r>
          </w:p>
        </w:tc>
        <w:tc>
          <w:tcPr>
            <w:tcW w:w="1347" w:type="dxa"/>
          </w:tcPr>
          <w:p w14:paraId="3436C625" w14:textId="2044A7A2" w:rsidR="005B783B" w:rsidRPr="0022305D" w:rsidRDefault="005B783B" w:rsidP="00A52602">
            <w:pPr>
              <w:pStyle w:val="Default"/>
              <w:spacing w:line="480" w:lineRule="auto"/>
              <w:rPr>
                <w:rFonts w:asciiTheme="majorHAnsi" w:hAnsiTheme="majorHAnsi" w:cstheme="majorHAnsi"/>
                <w:iCs/>
                <w:color w:val="auto"/>
              </w:rPr>
            </w:pPr>
            <w:r w:rsidRPr="0022305D">
              <w:rPr>
                <w:rFonts w:asciiTheme="majorHAnsi" w:hAnsiTheme="majorHAnsi" w:cstheme="majorHAnsi"/>
                <w:bCs/>
                <w:iCs/>
              </w:rPr>
              <w:t xml:space="preserve">Negative relationship between </w:t>
            </w:r>
            <w:r w:rsidR="00CB2CDC">
              <w:rPr>
                <w:rFonts w:asciiTheme="majorHAnsi" w:hAnsiTheme="majorHAnsi" w:cstheme="majorHAnsi"/>
                <w:bCs/>
                <w:iCs/>
              </w:rPr>
              <w:t>total debt to total assets ratio</w:t>
            </w:r>
            <w:r w:rsidRPr="0022305D">
              <w:rPr>
                <w:rFonts w:asciiTheme="majorHAnsi" w:hAnsiTheme="majorHAnsi" w:cstheme="majorHAnsi"/>
                <w:bCs/>
                <w:iCs/>
              </w:rPr>
              <w:t xml:space="preserve"> and return on assets.</w:t>
            </w:r>
          </w:p>
        </w:tc>
        <w:tc>
          <w:tcPr>
            <w:tcW w:w="1515" w:type="dxa"/>
          </w:tcPr>
          <w:p w14:paraId="345C5262" w14:textId="77777777" w:rsidR="005B783B" w:rsidRPr="0022305D" w:rsidRDefault="005B783B" w:rsidP="00A52602">
            <w:pPr>
              <w:pStyle w:val="Default"/>
              <w:spacing w:line="480" w:lineRule="auto"/>
              <w:rPr>
                <w:rFonts w:asciiTheme="majorHAnsi" w:hAnsiTheme="majorHAnsi" w:cstheme="majorHAnsi"/>
                <w:iCs/>
                <w:color w:val="auto"/>
              </w:rPr>
            </w:pPr>
            <w:r w:rsidRPr="0022305D">
              <w:rPr>
                <w:rFonts w:asciiTheme="majorHAnsi" w:hAnsiTheme="majorHAnsi" w:cstheme="majorHAnsi"/>
                <w:iCs/>
                <w:color w:val="auto"/>
              </w:rPr>
              <w:t>Data for 3 companies for 12 years was used.</w:t>
            </w:r>
          </w:p>
        </w:tc>
        <w:tc>
          <w:tcPr>
            <w:tcW w:w="3704" w:type="dxa"/>
          </w:tcPr>
          <w:p w14:paraId="42C593B5" w14:textId="131D9792" w:rsidR="00AB63A4" w:rsidRDefault="005B783B" w:rsidP="00A52602">
            <w:pPr>
              <w:pStyle w:val="Default"/>
              <w:spacing w:line="480" w:lineRule="auto"/>
              <w:rPr>
                <w:rFonts w:asciiTheme="majorHAnsi" w:hAnsiTheme="majorHAnsi" w:cstheme="majorHAnsi"/>
                <w:iCs/>
                <w:color w:val="auto"/>
              </w:rPr>
            </w:pPr>
            <w:r w:rsidRPr="0022305D">
              <w:rPr>
                <w:rFonts w:asciiTheme="majorHAnsi" w:hAnsiTheme="majorHAnsi" w:cstheme="majorHAnsi"/>
                <w:iCs/>
                <w:color w:val="auto"/>
              </w:rPr>
              <w:t xml:space="preserve">Data for </w:t>
            </w:r>
            <w:r w:rsidR="00DC5082">
              <w:rPr>
                <w:rFonts w:asciiTheme="majorHAnsi" w:hAnsiTheme="majorHAnsi" w:cstheme="majorHAnsi"/>
                <w:iCs/>
                <w:color w:val="auto"/>
              </w:rPr>
              <w:t>43</w:t>
            </w:r>
            <w:r w:rsidRPr="0022305D">
              <w:rPr>
                <w:rFonts w:asciiTheme="majorHAnsi" w:hAnsiTheme="majorHAnsi" w:cstheme="majorHAnsi"/>
                <w:iCs/>
                <w:color w:val="auto"/>
              </w:rPr>
              <w:t xml:space="preserve"> banks for 10 years</w:t>
            </w:r>
          </w:p>
          <w:p w14:paraId="54D14461" w14:textId="0EA749C4" w:rsidR="005B783B" w:rsidRPr="0022305D" w:rsidRDefault="005B783B" w:rsidP="00A52602">
            <w:pPr>
              <w:pStyle w:val="Default"/>
              <w:spacing w:line="480" w:lineRule="auto"/>
              <w:rPr>
                <w:rFonts w:asciiTheme="majorHAnsi" w:hAnsiTheme="majorHAnsi" w:cstheme="majorHAnsi"/>
                <w:iCs/>
                <w:color w:val="auto"/>
              </w:rPr>
            </w:pPr>
            <w:r w:rsidRPr="0022305D">
              <w:rPr>
                <w:rFonts w:asciiTheme="majorHAnsi" w:hAnsiTheme="majorHAnsi" w:cstheme="majorHAnsi"/>
                <w:iCs/>
                <w:color w:val="auto"/>
              </w:rPr>
              <w:t xml:space="preserve"> was used.</w:t>
            </w:r>
          </w:p>
        </w:tc>
      </w:tr>
    </w:tbl>
    <w:bookmarkEnd w:id="55"/>
    <w:p w14:paraId="14B10688" w14:textId="55C18F2E" w:rsidR="00AB63A4" w:rsidRPr="004478B6" w:rsidRDefault="005B783B" w:rsidP="004478B6">
      <w:pPr>
        <w:pStyle w:val="Default"/>
        <w:spacing w:line="480" w:lineRule="auto"/>
        <w:ind w:firstLine="720"/>
        <w:rPr>
          <w:rFonts w:asciiTheme="majorHAnsi" w:hAnsiTheme="majorHAnsi" w:cstheme="majorHAnsi"/>
          <w:iCs/>
          <w:color w:val="auto"/>
        </w:rPr>
      </w:pPr>
      <w:r w:rsidRPr="0022305D">
        <w:rPr>
          <w:rFonts w:asciiTheme="majorHAnsi" w:hAnsiTheme="majorHAnsi" w:cstheme="majorHAnsi"/>
          <w:iCs/>
          <w:color w:val="auto"/>
        </w:rPr>
        <w:t>Source: Researcher</w:t>
      </w:r>
      <w:r w:rsidR="00113952">
        <w:rPr>
          <w:rFonts w:asciiTheme="majorHAnsi" w:hAnsiTheme="majorHAnsi" w:cstheme="majorHAnsi"/>
          <w:iCs/>
          <w:color w:val="auto"/>
        </w:rPr>
        <w:t xml:space="preserve"> (2021)</w:t>
      </w:r>
      <w:bookmarkEnd w:id="51"/>
    </w:p>
    <w:p w14:paraId="37CD9DAF" w14:textId="3682E13B" w:rsidR="00A23510" w:rsidRPr="00A96563" w:rsidRDefault="00CB4B95" w:rsidP="00223A4A">
      <w:pPr>
        <w:pStyle w:val="Heading1"/>
        <w:rPr>
          <w:rFonts w:asciiTheme="majorHAnsi" w:hAnsiTheme="majorHAnsi" w:cstheme="majorHAnsi"/>
          <w:szCs w:val="28"/>
          <w:u w:val="none"/>
        </w:rPr>
      </w:pPr>
      <w:bookmarkStart w:id="56" w:name="_Toc78205792"/>
      <w:r w:rsidRPr="00A96563">
        <w:rPr>
          <w:rFonts w:asciiTheme="majorHAnsi" w:hAnsiTheme="majorHAnsi" w:cstheme="majorHAnsi"/>
          <w:szCs w:val="28"/>
          <w:u w:val="none"/>
        </w:rPr>
        <w:t>CHAPTER THREE</w:t>
      </w:r>
      <w:bookmarkEnd w:id="56"/>
    </w:p>
    <w:p w14:paraId="2847A191" w14:textId="4D615CC2" w:rsidR="002526BC" w:rsidRPr="00A96563" w:rsidRDefault="002526BC" w:rsidP="004478B6">
      <w:pPr>
        <w:pStyle w:val="Heading1"/>
        <w:spacing w:line="480" w:lineRule="auto"/>
        <w:rPr>
          <w:rFonts w:asciiTheme="majorHAnsi" w:hAnsiTheme="majorHAnsi" w:cstheme="majorHAnsi"/>
          <w:szCs w:val="28"/>
          <w:u w:val="none"/>
        </w:rPr>
      </w:pPr>
      <w:bookmarkStart w:id="57" w:name="_Toc78205793"/>
      <w:r w:rsidRPr="00A96563">
        <w:rPr>
          <w:rFonts w:asciiTheme="majorHAnsi" w:hAnsiTheme="majorHAnsi" w:cstheme="majorHAnsi"/>
          <w:szCs w:val="28"/>
          <w:u w:val="none"/>
        </w:rPr>
        <w:t>R</w:t>
      </w:r>
      <w:r w:rsidR="00F6208D" w:rsidRPr="00A96563">
        <w:rPr>
          <w:rFonts w:asciiTheme="majorHAnsi" w:hAnsiTheme="majorHAnsi" w:cstheme="majorHAnsi"/>
          <w:szCs w:val="28"/>
          <w:u w:val="none"/>
        </w:rPr>
        <w:t>ESEARCH METHODOLOGY</w:t>
      </w:r>
      <w:bookmarkEnd w:id="57"/>
    </w:p>
    <w:p w14:paraId="3781009F" w14:textId="25F82F8E" w:rsidR="002526BC" w:rsidRPr="004478B6" w:rsidRDefault="002526BC" w:rsidP="004478B6">
      <w:pPr>
        <w:pStyle w:val="Heading2"/>
        <w:spacing w:line="480" w:lineRule="auto"/>
        <w:jc w:val="left"/>
        <w:rPr>
          <w:sz w:val="28"/>
          <w:szCs w:val="28"/>
        </w:rPr>
      </w:pPr>
      <w:bookmarkStart w:id="58" w:name="_Toc78205794"/>
      <w:r w:rsidRPr="004478B6">
        <w:rPr>
          <w:sz w:val="28"/>
          <w:szCs w:val="28"/>
        </w:rPr>
        <w:t>Introduction</w:t>
      </w:r>
      <w:bookmarkEnd w:id="58"/>
    </w:p>
    <w:p w14:paraId="09D2161F" w14:textId="618965FC" w:rsidR="005B783B" w:rsidRPr="0022305D" w:rsidRDefault="005B783B" w:rsidP="005B783B">
      <w:pPr>
        <w:pStyle w:val="Default"/>
        <w:spacing w:line="480" w:lineRule="auto"/>
        <w:ind w:firstLine="720"/>
        <w:rPr>
          <w:rFonts w:asciiTheme="majorHAnsi" w:hAnsiTheme="majorHAnsi" w:cstheme="majorHAnsi"/>
          <w:iCs/>
          <w:color w:val="auto"/>
        </w:rPr>
      </w:pPr>
      <w:r w:rsidRPr="0022305D">
        <w:rPr>
          <w:rFonts w:asciiTheme="majorHAnsi" w:hAnsiTheme="majorHAnsi" w:cstheme="majorHAnsi"/>
          <w:iCs/>
          <w:color w:val="auto"/>
        </w:rPr>
        <w:t>This part presents the approaches that was undertaken in conducting the study. Methodologies that w</w:t>
      </w:r>
      <w:r w:rsidR="00EC53C3" w:rsidRPr="0022305D">
        <w:rPr>
          <w:rFonts w:asciiTheme="majorHAnsi" w:hAnsiTheme="majorHAnsi" w:cstheme="majorHAnsi"/>
          <w:iCs/>
          <w:color w:val="auto"/>
        </w:rPr>
        <w:t>ere</w:t>
      </w:r>
      <w:r w:rsidRPr="0022305D">
        <w:rPr>
          <w:rFonts w:asciiTheme="majorHAnsi" w:hAnsiTheme="majorHAnsi" w:cstheme="majorHAnsi"/>
          <w:iCs/>
          <w:color w:val="auto"/>
        </w:rPr>
        <w:t xml:space="preserve"> used both in data collection and in testing the relationship between solvency and profitability will be presented here. It will describe the research design, the target population, sampling method, data collection and data analysis.  This part also will specify the empirical models estimated by the study and provides the techniques of estimating and analyzing the model.</w:t>
      </w:r>
    </w:p>
    <w:p w14:paraId="73AF796A" w14:textId="77777777" w:rsidR="00455AAB" w:rsidRPr="00A96563" w:rsidRDefault="00455AAB" w:rsidP="00455AAB">
      <w:pPr>
        <w:pStyle w:val="Default"/>
        <w:spacing w:line="480" w:lineRule="auto"/>
        <w:ind w:firstLine="720"/>
        <w:rPr>
          <w:rFonts w:asciiTheme="majorHAnsi" w:hAnsiTheme="majorHAnsi" w:cstheme="majorHAnsi"/>
          <w:iCs/>
          <w:color w:val="auto"/>
          <w:sz w:val="28"/>
          <w:szCs w:val="28"/>
        </w:rPr>
      </w:pPr>
    </w:p>
    <w:p w14:paraId="3702F496" w14:textId="77777777" w:rsidR="005B783B" w:rsidRPr="00A96563" w:rsidRDefault="005B783B" w:rsidP="004478B6">
      <w:pPr>
        <w:pStyle w:val="Heading2"/>
        <w:spacing w:line="480" w:lineRule="auto"/>
        <w:jc w:val="left"/>
        <w:rPr>
          <w:rFonts w:asciiTheme="majorHAnsi" w:hAnsiTheme="majorHAnsi" w:cstheme="majorHAnsi"/>
          <w:sz w:val="28"/>
          <w:szCs w:val="28"/>
        </w:rPr>
      </w:pPr>
      <w:bookmarkStart w:id="59" w:name="_Toc76494402"/>
      <w:bookmarkStart w:id="60" w:name="_Toc78205795"/>
      <w:r w:rsidRPr="00A96563">
        <w:rPr>
          <w:rFonts w:asciiTheme="majorHAnsi" w:hAnsiTheme="majorHAnsi" w:cstheme="majorHAnsi"/>
          <w:sz w:val="28"/>
          <w:szCs w:val="28"/>
        </w:rPr>
        <w:t>Research Design</w:t>
      </w:r>
      <w:bookmarkEnd w:id="59"/>
      <w:bookmarkEnd w:id="60"/>
    </w:p>
    <w:p w14:paraId="1CB23688" w14:textId="61C1571D" w:rsidR="005B783B" w:rsidRDefault="005B783B" w:rsidP="005B783B">
      <w:pPr>
        <w:pStyle w:val="Default"/>
        <w:spacing w:line="480" w:lineRule="auto"/>
        <w:rPr>
          <w:rFonts w:asciiTheme="majorHAnsi" w:hAnsiTheme="majorHAnsi" w:cstheme="majorHAnsi"/>
          <w:sz w:val="23"/>
          <w:szCs w:val="23"/>
        </w:rPr>
      </w:pPr>
      <w:r w:rsidRPr="0022305D">
        <w:rPr>
          <w:rFonts w:asciiTheme="majorHAnsi" w:hAnsiTheme="majorHAnsi" w:cstheme="majorHAnsi"/>
          <w:iCs/>
          <w:color w:val="auto"/>
        </w:rPr>
        <w:tab/>
        <w:t xml:space="preserve">Descriptive as well as correlational research design was applied in this study. </w:t>
      </w:r>
      <w:r w:rsidRPr="0022305D">
        <w:rPr>
          <w:rFonts w:asciiTheme="majorHAnsi" w:hAnsiTheme="majorHAnsi" w:cstheme="majorHAnsi"/>
          <w:sz w:val="23"/>
          <w:szCs w:val="23"/>
        </w:rPr>
        <w:t xml:space="preserve">Descriptive research design describes the characteristics of the variable in a study </w:t>
      </w:r>
      <w:r w:rsidRPr="0022305D">
        <w:rPr>
          <w:rFonts w:asciiTheme="majorHAnsi" w:hAnsiTheme="majorHAnsi" w:cstheme="majorHAnsi"/>
          <w:sz w:val="23"/>
          <w:szCs w:val="23"/>
        </w:rPr>
        <w:fldChar w:fldCharType="begin" w:fldLock="1"/>
      </w:r>
      <w:r w:rsidRPr="0022305D">
        <w:rPr>
          <w:rFonts w:asciiTheme="majorHAnsi" w:hAnsiTheme="majorHAnsi" w:cstheme="majorHAnsi"/>
          <w:sz w:val="23"/>
          <w:szCs w:val="23"/>
        </w:rPr>
        <w:instrText>ADDIN CSL_CITATION {"citationItems":[{"id":"ITEM-1","itemData":{"author":[{"dropping-particle":"","family":"Griffin","given":"Bryan","non-dropping-particle":"","parse-names":false,"suffix":""}],"container-title":"Educational research online","id":"ITEM-1","issued":{"date-parts":[["2018"]]},"page":"1-8","title":"Qualitative and quantitative research","type":"article-journal","volume":"8"},"uris":["http://www.mendeley.com/documents/?uuid=a528393b-09f0-499a-b48a-e01d87be9f97"]}],"mendeley":{"formattedCitation":"(Griffin, 2018)","plainTextFormattedCitation":"(Griffin, 2018)","previouslyFormattedCitation":"(Griffin, 2018)"},"properties":{"noteIndex":0},"schema":"https://github.com/citation-style-language/schema/raw/master/csl-citation.json"}</w:instrText>
      </w:r>
      <w:r w:rsidRPr="0022305D">
        <w:rPr>
          <w:rFonts w:asciiTheme="majorHAnsi" w:hAnsiTheme="majorHAnsi" w:cstheme="majorHAnsi"/>
          <w:sz w:val="23"/>
          <w:szCs w:val="23"/>
        </w:rPr>
        <w:fldChar w:fldCharType="separate"/>
      </w:r>
      <w:r w:rsidRPr="0022305D">
        <w:rPr>
          <w:rFonts w:asciiTheme="majorHAnsi" w:hAnsiTheme="majorHAnsi" w:cstheme="majorHAnsi"/>
          <w:noProof/>
          <w:sz w:val="23"/>
          <w:szCs w:val="23"/>
        </w:rPr>
        <w:t>(Griffin, 2018)</w:t>
      </w:r>
      <w:r w:rsidRPr="0022305D">
        <w:rPr>
          <w:rFonts w:asciiTheme="majorHAnsi" w:hAnsiTheme="majorHAnsi" w:cstheme="majorHAnsi"/>
          <w:sz w:val="23"/>
          <w:szCs w:val="23"/>
        </w:rPr>
        <w:fldChar w:fldCharType="end"/>
      </w:r>
      <w:r w:rsidRPr="0022305D">
        <w:rPr>
          <w:rFonts w:asciiTheme="majorHAnsi" w:hAnsiTheme="majorHAnsi" w:cstheme="majorHAnsi"/>
          <w:sz w:val="23"/>
          <w:szCs w:val="23"/>
        </w:rPr>
        <w:t xml:space="preserve"> while c</w:t>
      </w:r>
      <w:r w:rsidRPr="0022305D">
        <w:rPr>
          <w:rFonts w:asciiTheme="majorHAnsi" w:hAnsiTheme="majorHAnsi" w:cstheme="majorHAnsi"/>
          <w:iCs/>
          <w:color w:val="auto"/>
        </w:rPr>
        <w:t xml:space="preserve">orrelational research design is suitable for describing the extent of the relationship between two variables under consideration </w:t>
      </w:r>
      <w:r w:rsidRPr="0022305D">
        <w:rPr>
          <w:rFonts w:asciiTheme="majorHAnsi" w:hAnsiTheme="majorHAnsi" w:cstheme="majorHAnsi"/>
          <w:iCs/>
          <w:color w:val="auto"/>
        </w:rPr>
        <w:fldChar w:fldCharType="begin" w:fldLock="1"/>
      </w:r>
      <w:r w:rsidRPr="0022305D">
        <w:rPr>
          <w:rFonts w:asciiTheme="majorHAnsi" w:hAnsiTheme="majorHAnsi" w:cstheme="majorHAnsi"/>
          <w:iCs/>
          <w:color w:val="auto"/>
        </w:rPr>
        <w:instrText>ADDIN CSL_CITATION {"citationItems":[{"id":"ITEM-1","itemData":{"ISBN":"9788122424881","author":[{"dropping-particle":"","family":"Kothari","given":"C.R","non-dropping-particle":"","parse-names":false,"suffix":""}],"edition":"7th","id":"ITEM-1","issued":{"date-parts":[["2015"]]},"number-of-pages":"45-60","publisher":"New Age International","title":"Research methodology","type":"book"},"uris":["http://www.mendeley.com/documents/?uuid=57396688-e1a7-4631-a334-09b942fad94d"]}],"mendeley":{"formattedCitation":"(Kothari, 2015)","plainTextFormattedCitation":"(Kothari, 2015)","previouslyFormattedCitation":"(Kothari, 2015)"},"properties":{"noteIndex":0},"schema":"https://github.com/citation-style-language/schema/raw/master/csl-citation.json"}</w:instrText>
      </w:r>
      <w:r w:rsidRPr="0022305D">
        <w:rPr>
          <w:rFonts w:asciiTheme="majorHAnsi" w:hAnsiTheme="majorHAnsi" w:cstheme="majorHAnsi"/>
          <w:iCs/>
          <w:color w:val="auto"/>
        </w:rPr>
        <w:fldChar w:fldCharType="separate"/>
      </w:r>
      <w:r w:rsidRPr="0022305D">
        <w:rPr>
          <w:rFonts w:asciiTheme="majorHAnsi" w:hAnsiTheme="majorHAnsi" w:cstheme="majorHAnsi"/>
          <w:iCs/>
          <w:noProof/>
          <w:color w:val="auto"/>
        </w:rPr>
        <w:t>(Kothari, 2015)</w:t>
      </w:r>
      <w:r w:rsidRPr="0022305D">
        <w:rPr>
          <w:rFonts w:asciiTheme="majorHAnsi" w:hAnsiTheme="majorHAnsi" w:cstheme="majorHAnsi"/>
          <w:iCs/>
          <w:color w:val="auto"/>
        </w:rPr>
        <w:fldChar w:fldCharType="end"/>
      </w:r>
      <w:r w:rsidRPr="0022305D">
        <w:rPr>
          <w:rFonts w:asciiTheme="majorHAnsi" w:hAnsiTheme="majorHAnsi" w:cstheme="majorHAnsi"/>
          <w:iCs/>
          <w:color w:val="auto"/>
        </w:rPr>
        <w:t xml:space="preserve">. </w:t>
      </w:r>
      <w:r w:rsidRPr="0022305D">
        <w:rPr>
          <w:rFonts w:asciiTheme="majorHAnsi" w:hAnsiTheme="majorHAnsi" w:cstheme="majorHAnsi"/>
          <w:sz w:val="23"/>
          <w:szCs w:val="23"/>
        </w:rPr>
        <w:t xml:space="preserve">In this case, descriptive research design was used to describe the level of solvency and profitability of commercial banks in Kenya while </w:t>
      </w:r>
      <w:r w:rsidRPr="0022305D">
        <w:rPr>
          <w:rFonts w:asciiTheme="majorHAnsi" w:hAnsiTheme="majorHAnsi" w:cstheme="majorHAnsi"/>
          <w:iCs/>
          <w:color w:val="auto"/>
        </w:rPr>
        <w:t xml:space="preserve">correlational research design was used to describe the relationship between solvency and profitability of commercial banks in Kenya </w:t>
      </w:r>
      <w:r w:rsidRPr="0022305D">
        <w:rPr>
          <w:rFonts w:asciiTheme="majorHAnsi" w:hAnsiTheme="majorHAnsi" w:cstheme="majorHAnsi"/>
          <w:sz w:val="23"/>
          <w:szCs w:val="23"/>
        </w:rPr>
        <w:t xml:space="preserve">by having solvency as independent variable and profitability as dependent variable. Previous research by </w:t>
      </w:r>
      <w:r w:rsidRPr="0022305D">
        <w:rPr>
          <w:rFonts w:asciiTheme="majorHAnsi" w:hAnsiTheme="majorHAnsi" w:cstheme="majorHAnsi"/>
          <w:sz w:val="23"/>
          <w:szCs w:val="23"/>
        </w:rPr>
        <w:fldChar w:fldCharType="begin" w:fldLock="1"/>
      </w:r>
      <w:r w:rsidR="0002347B">
        <w:rPr>
          <w:rFonts w:asciiTheme="majorHAnsi" w:hAnsiTheme="majorHAnsi" w:cstheme="majorHAnsi"/>
          <w:sz w:val="23"/>
          <w:szCs w:val="23"/>
        </w:rPr>
        <w:instrText>ADDIN CSL_CITATION {"citationItems":[{"id":"ITEM-1","itemData":{"author":[{"dropping-particle":"","family":"Kuria","given":"Fredrick","non-dropping-particle":"","parse-names":false,"suffix":""}],"container-title":"Journal of Applied Finance and Accounting","id":"ITEM-1","issued":{"date-parts":[["2013"]]},"page":"1-66","title":"The effect of capital sructure on the financial performance of commercial banks in Kenya","type":"article-journal"},"uris":["http://www.mendeley.com/documents/?uuid=350abe99-5a00-4e53-aea2-a23d122deca4"]}],"mendeley":{"formattedCitation":"(Kuria, 2013)","manualFormatting":"Kuria (2013","plainTextFormattedCitation":"(Kuria, 2013)","previouslyFormattedCitation":"(Kuria, 2013)"},"properties":{"noteIndex":0},"schema":"https://github.com/citation-style-language/schema/raw/master/csl-citation.json"}</w:instrText>
      </w:r>
      <w:r w:rsidRPr="0022305D">
        <w:rPr>
          <w:rFonts w:asciiTheme="majorHAnsi" w:hAnsiTheme="majorHAnsi" w:cstheme="majorHAnsi"/>
          <w:sz w:val="23"/>
          <w:szCs w:val="23"/>
        </w:rPr>
        <w:fldChar w:fldCharType="separate"/>
      </w:r>
      <w:r w:rsidRPr="0022305D">
        <w:rPr>
          <w:rFonts w:asciiTheme="majorHAnsi" w:hAnsiTheme="majorHAnsi" w:cstheme="majorHAnsi"/>
          <w:noProof/>
          <w:sz w:val="23"/>
          <w:szCs w:val="23"/>
        </w:rPr>
        <w:t>Kuria (2013</w:t>
      </w:r>
      <w:r w:rsidRPr="0022305D">
        <w:rPr>
          <w:rFonts w:asciiTheme="majorHAnsi" w:hAnsiTheme="majorHAnsi" w:cstheme="majorHAnsi"/>
          <w:sz w:val="23"/>
          <w:szCs w:val="23"/>
        </w:rPr>
        <w:fldChar w:fldCharType="end"/>
      </w:r>
      <w:r w:rsidRPr="0022305D">
        <w:rPr>
          <w:rFonts w:asciiTheme="majorHAnsi" w:hAnsiTheme="majorHAnsi" w:cstheme="majorHAnsi"/>
          <w:sz w:val="23"/>
          <w:szCs w:val="23"/>
        </w:rPr>
        <w:t xml:space="preserve"> and </w:t>
      </w:r>
      <w:r w:rsidRPr="0022305D">
        <w:rPr>
          <w:rFonts w:asciiTheme="majorHAnsi" w:hAnsiTheme="majorHAnsi" w:cstheme="majorHAnsi"/>
          <w:sz w:val="23"/>
          <w:szCs w:val="23"/>
        </w:rPr>
        <w:fldChar w:fldCharType="begin" w:fldLock="1"/>
      </w:r>
      <w:r w:rsidRPr="0022305D">
        <w:rPr>
          <w:rFonts w:asciiTheme="majorHAnsi" w:hAnsiTheme="majorHAnsi" w:cstheme="majorHAnsi"/>
          <w:sz w:val="23"/>
          <w:szCs w:val="23"/>
        </w:rPr>
        <w:instrText>ADDIN CSL_CITATION {"citationItems":[{"id":"ITEM-1","itemData":{"author":[{"dropping-particle":"","family":"Ahmed","given":"M","non-dropping-particle":"","parse-names":false,"suffix":""}],"container-title":"IOSR Journal of Business and Management","id":"ITEM-1","issue":"3","issued":{"date-parts":[["2014"]]},"page":"74-79","title":"The effect of liquidity and leverage on financial performance of commercial state corporations in the toursim industry in Kenya","type":"article-journal","volume":"2"},"uris":["http://www.mendeley.com/documents/?uuid=8b081923-c32b-464e-aed6-1d7e44f824be"]}],"mendeley":{"formattedCitation":"(Ahmed, 2014)","plainTextFormattedCitation":"(Ahmed, 2014)","previouslyFormattedCitation":"(Ahmed, 2014)"},"properties":{"noteIndex":0},"schema":"https://github.com/citation-style-language/schema/raw/master/csl-citation.json"}</w:instrText>
      </w:r>
      <w:r w:rsidRPr="0022305D">
        <w:rPr>
          <w:rFonts w:asciiTheme="majorHAnsi" w:hAnsiTheme="majorHAnsi" w:cstheme="majorHAnsi"/>
          <w:sz w:val="23"/>
          <w:szCs w:val="23"/>
        </w:rPr>
        <w:fldChar w:fldCharType="separate"/>
      </w:r>
      <w:r w:rsidRPr="0022305D">
        <w:rPr>
          <w:rFonts w:asciiTheme="majorHAnsi" w:hAnsiTheme="majorHAnsi" w:cstheme="majorHAnsi"/>
          <w:noProof/>
          <w:sz w:val="23"/>
          <w:szCs w:val="23"/>
        </w:rPr>
        <w:t>(Ahmed, 2014)</w:t>
      </w:r>
      <w:r w:rsidRPr="0022305D">
        <w:rPr>
          <w:rFonts w:asciiTheme="majorHAnsi" w:hAnsiTheme="majorHAnsi" w:cstheme="majorHAnsi"/>
          <w:sz w:val="23"/>
          <w:szCs w:val="23"/>
        </w:rPr>
        <w:fldChar w:fldCharType="end"/>
      </w:r>
      <w:r w:rsidRPr="0022305D">
        <w:rPr>
          <w:rFonts w:asciiTheme="majorHAnsi" w:hAnsiTheme="majorHAnsi" w:cstheme="majorHAnsi"/>
          <w:sz w:val="23"/>
          <w:szCs w:val="23"/>
        </w:rPr>
        <w:t xml:space="preserve"> applied descriptive research design in their studies on the effect of capital structure on performance of commercial banks in Kenya and  the effect of debt on corporate profitability in France service sector respectively.</w:t>
      </w:r>
      <w:r w:rsidR="009E279A">
        <w:rPr>
          <w:rFonts w:asciiTheme="majorHAnsi" w:hAnsiTheme="majorHAnsi" w:cstheme="majorHAnsi"/>
          <w:sz w:val="23"/>
          <w:szCs w:val="23"/>
        </w:rPr>
        <w:t xml:space="preserve"> Correlational research design was used to assess the relationship between solvency and profitability of commercial banks in Kenya. Research by </w:t>
      </w:r>
      <w:r w:rsidR="0002347B">
        <w:rPr>
          <w:rFonts w:asciiTheme="majorHAnsi" w:hAnsiTheme="majorHAnsi" w:cstheme="majorHAnsi"/>
          <w:sz w:val="23"/>
          <w:szCs w:val="23"/>
        </w:rPr>
        <w:fldChar w:fldCharType="begin" w:fldLock="1"/>
      </w:r>
      <w:r w:rsidR="00C16B18">
        <w:rPr>
          <w:rFonts w:asciiTheme="majorHAnsi" w:hAnsiTheme="majorHAnsi" w:cstheme="majorHAnsi"/>
          <w:sz w:val="23"/>
          <w:szCs w:val="23"/>
        </w:rPr>
        <w:instrText>ADDIN CSL_CITATION {"citationItems":[{"id":"ITEM-1","itemData":{"DOI":"10.4236/jmf.2020.104037","ISSN":"2162-2434","abstract":"This paper empirically aims to analyze the effect of capital structure on financial performance. Two main sets of variables were used: For profitability, return on assets (ROA) as the ratio of net income to total assets, and return on equity (ROE) as the ratio of net income to total shareholders’ equity were adopted as a proxy for financial performance; and to indicate capital structure, short-term debt, long-term debt, total debt, debt to equity ratio, and firm’s size were used. A sample of 30 Energy American firms for a period of nine years from 2005 – 2013 was considered. Secondary data were collected from financial statements which were taken from Mergent online. The data were analyzed by using Smart PLS (Partial Least Square) version 3. Multiple regressions indicated that 10% of ROE and 34% of ROA were predicted by the independent variables. Findings also presented that the total debt has a significant negative impact on ROE and ROA, while size in terms of sales has significantly negative effect only on ROE of the American firms. However, a short debt significantly has a positive influence on ROE. An insignificant either negative or positive relationship was observed between long term debt, debt to equity and size in terms of total assets and profitability. A generalization of the results is limited because of the small sample size. For future research, the author suggests addressing a longer period of time with a large sample size of firms. It would be more accurate if future studies included more independent variables such as taxation and concentration. KEYWORDS:","author":[{"dropping-particle":"","family":"Hajisaaid","given":"Alwalid Mohammad Saleh","non-dropping-particle":"","parse-names":false,"suffix":""}],"container-title":"Journal of Mathematical Finance","id":"ITEM-1","issue":"04","issued":{"date-parts":[["2020"]]},"page":"631-647","title":"The effect of capital structure on profitability of basic materials Saudi Arabia firms","type":"article-journal","volume":"10"},"uris":["http://www.mendeley.com/documents/?uuid=2701727c-c395-4d07-8a84-ef29aaaa348d"]}],"mendeley":{"formattedCitation":"(Hajisaaid, 2020)","manualFormatting":"Hajisaaid (2020)","plainTextFormattedCitation":"(Hajisaaid, 2020)","previouslyFormattedCitation":"(Hajisaaid, 2020)"},"properties":{"noteIndex":0},"schema":"https://github.com/citation-style-language/schema/raw/master/csl-citation.json"}</w:instrText>
      </w:r>
      <w:r w:rsidR="0002347B">
        <w:rPr>
          <w:rFonts w:asciiTheme="majorHAnsi" w:hAnsiTheme="majorHAnsi" w:cstheme="majorHAnsi"/>
          <w:sz w:val="23"/>
          <w:szCs w:val="23"/>
        </w:rPr>
        <w:fldChar w:fldCharType="separate"/>
      </w:r>
      <w:r w:rsidR="0002347B" w:rsidRPr="0002347B">
        <w:rPr>
          <w:rFonts w:asciiTheme="majorHAnsi" w:hAnsiTheme="majorHAnsi" w:cstheme="majorHAnsi"/>
          <w:noProof/>
          <w:sz w:val="23"/>
          <w:szCs w:val="23"/>
        </w:rPr>
        <w:t xml:space="preserve">Hajisaaid </w:t>
      </w:r>
      <w:r w:rsidR="00C16B18">
        <w:rPr>
          <w:rFonts w:asciiTheme="majorHAnsi" w:hAnsiTheme="majorHAnsi" w:cstheme="majorHAnsi"/>
          <w:noProof/>
          <w:sz w:val="23"/>
          <w:szCs w:val="23"/>
        </w:rPr>
        <w:t>(</w:t>
      </w:r>
      <w:r w:rsidR="0002347B" w:rsidRPr="0002347B">
        <w:rPr>
          <w:rFonts w:asciiTheme="majorHAnsi" w:hAnsiTheme="majorHAnsi" w:cstheme="majorHAnsi"/>
          <w:noProof/>
          <w:sz w:val="23"/>
          <w:szCs w:val="23"/>
        </w:rPr>
        <w:t>2020)</w:t>
      </w:r>
      <w:r w:rsidR="0002347B">
        <w:rPr>
          <w:rFonts w:asciiTheme="majorHAnsi" w:hAnsiTheme="majorHAnsi" w:cstheme="majorHAnsi"/>
          <w:sz w:val="23"/>
          <w:szCs w:val="23"/>
        </w:rPr>
        <w:fldChar w:fldCharType="end"/>
      </w:r>
      <w:r w:rsidR="0002347B">
        <w:rPr>
          <w:rFonts w:asciiTheme="majorHAnsi" w:hAnsiTheme="majorHAnsi" w:cstheme="majorHAnsi"/>
          <w:sz w:val="23"/>
          <w:szCs w:val="23"/>
        </w:rPr>
        <w:t xml:space="preserve"> </w:t>
      </w:r>
      <w:r w:rsidR="00C16B18">
        <w:rPr>
          <w:rFonts w:asciiTheme="majorHAnsi" w:hAnsiTheme="majorHAnsi" w:cstheme="majorHAnsi"/>
          <w:sz w:val="23"/>
          <w:szCs w:val="23"/>
        </w:rPr>
        <w:t>on the</w:t>
      </w:r>
      <w:r w:rsidR="00C16B18" w:rsidRPr="00C16B18">
        <w:rPr>
          <w:rFonts w:asciiTheme="majorHAnsi" w:hAnsiTheme="majorHAnsi" w:cstheme="majorHAnsi"/>
          <w:sz w:val="23"/>
          <w:szCs w:val="23"/>
        </w:rPr>
        <w:t xml:space="preserve"> </w:t>
      </w:r>
      <w:r w:rsidR="00C16B18">
        <w:rPr>
          <w:rFonts w:asciiTheme="majorHAnsi" w:hAnsiTheme="majorHAnsi" w:cstheme="majorHAnsi"/>
          <w:sz w:val="23"/>
          <w:szCs w:val="23"/>
        </w:rPr>
        <w:t>e</w:t>
      </w:r>
      <w:r w:rsidR="00C16B18" w:rsidRPr="00C16B18">
        <w:rPr>
          <w:rFonts w:asciiTheme="majorHAnsi" w:hAnsiTheme="majorHAnsi" w:cstheme="majorHAnsi"/>
          <w:sz w:val="23"/>
          <w:szCs w:val="23"/>
        </w:rPr>
        <w:t xml:space="preserve">ffect of </w:t>
      </w:r>
      <w:r w:rsidR="00C16B18">
        <w:rPr>
          <w:rFonts w:asciiTheme="majorHAnsi" w:hAnsiTheme="majorHAnsi" w:cstheme="majorHAnsi"/>
          <w:sz w:val="23"/>
          <w:szCs w:val="23"/>
        </w:rPr>
        <w:t>c</w:t>
      </w:r>
      <w:r w:rsidR="00C16B18" w:rsidRPr="00C16B18">
        <w:rPr>
          <w:rFonts w:asciiTheme="majorHAnsi" w:hAnsiTheme="majorHAnsi" w:cstheme="majorHAnsi"/>
          <w:sz w:val="23"/>
          <w:szCs w:val="23"/>
        </w:rPr>
        <w:t xml:space="preserve">apital </w:t>
      </w:r>
      <w:r w:rsidR="00C16B18">
        <w:rPr>
          <w:rFonts w:asciiTheme="majorHAnsi" w:hAnsiTheme="majorHAnsi" w:cstheme="majorHAnsi"/>
          <w:sz w:val="23"/>
          <w:szCs w:val="23"/>
        </w:rPr>
        <w:t>s</w:t>
      </w:r>
      <w:r w:rsidR="00C16B18" w:rsidRPr="00C16B18">
        <w:rPr>
          <w:rFonts w:asciiTheme="majorHAnsi" w:hAnsiTheme="majorHAnsi" w:cstheme="majorHAnsi"/>
          <w:sz w:val="23"/>
          <w:szCs w:val="23"/>
        </w:rPr>
        <w:t xml:space="preserve">tructure on </w:t>
      </w:r>
      <w:r w:rsidR="00C16B18">
        <w:rPr>
          <w:rFonts w:asciiTheme="majorHAnsi" w:hAnsiTheme="majorHAnsi" w:cstheme="majorHAnsi"/>
          <w:sz w:val="23"/>
          <w:szCs w:val="23"/>
        </w:rPr>
        <w:t>p</w:t>
      </w:r>
      <w:r w:rsidR="00C16B18" w:rsidRPr="00C16B18">
        <w:rPr>
          <w:rFonts w:asciiTheme="majorHAnsi" w:hAnsiTheme="majorHAnsi" w:cstheme="majorHAnsi"/>
          <w:sz w:val="23"/>
          <w:szCs w:val="23"/>
        </w:rPr>
        <w:t xml:space="preserve">rofitability of </w:t>
      </w:r>
      <w:r w:rsidR="00C16B18">
        <w:rPr>
          <w:rFonts w:asciiTheme="majorHAnsi" w:hAnsiTheme="majorHAnsi" w:cstheme="majorHAnsi"/>
          <w:sz w:val="23"/>
          <w:szCs w:val="23"/>
        </w:rPr>
        <w:t>b</w:t>
      </w:r>
      <w:r w:rsidR="00C16B18" w:rsidRPr="00C16B18">
        <w:rPr>
          <w:rFonts w:asciiTheme="majorHAnsi" w:hAnsiTheme="majorHAnsi" w:cstheme="majorHAnsi"/>
          <w:sz w:val="23"/>
          <w:szCs w:val="23"/>
        </w:rPr>
        <w:t xml:space="preserve">asic </w:t>
      </w:r>
      <w:r w:rsidR="00C16B18">
        <w:rPr>
          <w:rFonts w:asciiTheme="majorHAnsi" w:hAnsiTheme="majorHAnsi" w:cstheme="majorHAnsi"/>
          <w:sz w:val="23"/>
          <w:szCs w:val="23"/>
        </w:rPr>
        <w:t>m</w:t>
      </w:r>
      <w:r w:rsidR="00C16B18" w:rsidRPr="00C16B18">
        <w:rPr>
          <w:rFonts w:asciiTheme="majorHAnsi" w:hAnsiTheme="majorHAnsi" w:cstheme="majorHAnsi"/>
          <w:sz w:val="23"/>
          <w:szCs w:val="23"/>
        </w:rPr>
        <w:t xml:space="preserve">aterials Saudi Arabia </w:t>
      </w:r>
      <w:r w:rsidR="00C16B18">
        <w:rPr>
          <w:rFonts w:asciiTheme="majorHAnsi" w:hAnsiTheme="majorHAnsi" w:cstheme="majorHAnsi"/>
          <w:sz w:val="23"/>
          <w:szCs w:val="23"/>
        </w:rPr>
        <w:t>f</w:t>
      </w:r>
      <w:r w:rsidR="00C16B18" w:rsidRPr="00C16B18">
        <w:rPr>
          <w:rFonts w:asciiTheme="majorHAnsi" w:hAnsiTheme="majorHAnsi" w:cstheme="majorHAnsi"/>
          <w:sz w:val="23"/>
          <w:szCs w:val="23"/>
        </w:rPr>
        <w:t>irms</w:t>
      </w:r>
      <w:r w:rsidR="00C16B18">
        <w:rPr>
          <w:rFonts w:asciiTheme="majorHAnsi" w:hAnsiTheme="majorHAnsi" w:cstheme="majorHAnsi"/>
          <w:sz w:val="23"/>
          <w:szCs w:val="23"/>
        </w:rPr>
        <w:t xml:space="preserve"> used correlational research design.</w:t>
      </w:r>
    </w:p>
    <w:p w14:paraId="5137CE33" w14:textId="77777777" w:rsidR="00C16B18" w:rsidRPr="00AB63A4" w:rsidRDefault="00C16B18" w:rsidP="005B783B">
      <w:pPr>
        <w:pStyle w:val="Default"/>
        <w:spacing w:line="480" w:lineRule="auto"/>
        <w:rPr>
          <w:rFonts w:asciiTheme="majorHAnsi" w:hAnsiTheme="majorHAnsi" w:cstheme="majorHAnsi"/>
          <w:sz w:val="23"/>
          <w:szCs w:val="23"/>
        </w:rPr>
      </w:pPr>
    </w:p>
    <w:p w14:paraId="7BE2D32C" w14:textId="77777777" w:rsidR="005B783B" w:rsidRPr="00A96563" w:rsidRDefault="005B783B" w:rsidP="004478B6">
      <w:pPr>
        <w:pStyle w:val="Heading2"/>
        <w:spacing w:line="480" w:lineRule="auto"/>
        <w:jc w:val="left"/>
        <w:rPr>
          <w:rFonts w:asciiTheme="majorHAnsi" w:hAnsiTheme="majorHAnsi" w:cstheme="majorHAnsi"/>
          <w:sz w:val="28"/>
          <w:szCs w:val="28"/>
        </w:rPr>
      </w:pPr>
      <w:bookmarkStart w:id="61" w:name="_Toc76494403"/>
      <w:bookmarkStart w:id="62" w:name="_Toc78205796"/>
      <w:r w:rsidRPr="00A96563">
        <w:rPr>
          <w:rFonts w:asciiTheme="majorHAnsi" w:hAnsiTheme="majorHAnsi" w:cstheme="majorHAnsi"/>
          <w:sz w:val="28"/>
          <w:szCs w:val="28"/>
        </w:rPr>
        <w:t>Target population</w:t>
      </w:r>
      <w:bookmarkEnd w:id="61"/>
      <w:bookmarkEnd w:id="62"/>
    </w:p>
    <w:p w14:paraId="574DD653" w14:textId="5F74A730" w:rsidR="00760652" w:rsidRPr="004478B6" w:rsidRDefault="005B783B" w:rsidP="004478B6">
      <w:pPr>
        <w:pStyle w:val="Default"/>
        <w:spacing w:line="480" w:lineRule="auto"/>
        <w:ind w:firstLine="720"/>
      </w:pPr>
      <w:r w:rsidRPr="00085B61">
        <w:rPr>
          <w:rFonts w:asciiTheme="majorHAnsi" w:hAnsiTheme="majorHAnsi" w:cstheme="majorHAnsi"/>
          <w:iCs/>
          <w:color w:val="auto"/>
        </w:rPr>
        <w:t xml:space="preserve">The target population for this study consisted of 43 commercial banks in Kenya </w:t>
      </w:r>
      <w:r w:rsidRPr="00085B61">
        <w:rPr>
          <w:rFonts w:asciiTheme="majorHAnsi" w:hAnsiTheme="majorHAnsi" w:cstheme="majorHAnsi"/>
          <w:iCs/>
          <w:color w:val="auto"/>
        </w:rPr>
        <w:fldChar w:fldCharType="begin" w:fldLock="1"/>
      </w:r>
      <w:r w:rsidR="00804351" w:rsidRPr="00085B61">
        <w:rPr>
          <w:rFonts w:asciiTheme="majorHAnsi" w:hAnsiTheme="majorHAnsi" w:cstheme="majorHAnsi"/>
          <w:iCs/>
          <w:color w:val="auto"/>
        </w:rPr>
        <w:instrText>ADDIN CSL_CITATION {"citationItems":[{"id":"ITEM-1","itemData":{"author":[{"dropping-particle":"","family":"Central bank of Kenya","given":"","non-dropping-particle":"","parse-names":false,"suffix":""}],"id":"ITEM-1","issued":{"date-parts":[["2020"]]},"number-of-pages":"1-117","title":"Central bank on Kenya supervision annual report","type":"report"},"uris":["http://www.mendeley.com/documents/?uuid=fa561b60-a014-4172-9956-f515b623ec92"]}],"mendeley":{"formattedCitation":"(Central bank of Kenya, 2020)","plainTextFormattedCitation":"(Central bank of Kenya, 2020)","previouslyFormattedCitation":"(Central bank of Kenya, 2020)"},"properties":{"noteIndex":0},"schema":"https://github.com/citation-style-language/schema/raw/master/csl-citation.json"}</w:instrText>
      </w:r>
      <w:r w:rsidRPr="00085B61">
        <w:rPr>
          <w:rFonts w:asciiTheme="majorHAnsi" w:hAnsiTheme="majorHAnsi" w:cstheme="majorHAnsi"/>
          <w:iCs/>
          <w:color w:val="auto"/>
        </w:rPr>
        <w:fldChar w:fldCharType="separate"/>
      </w:r>
      <w:r w:rsidRPr="00085B61">
        <w:rPr>
          <w:rFonts w:asciiTheme="majorHAnsi" w:hAnsiTheme="majorHAnsi" w:cstheme="majorHAnsi"/>
          <w:iCs/>
          <w:noProof/>
          <w:color w:val="auto"/>
        </w:rPr>
        <w:t>(Central bank of Kenya, 2020)</w:t>
      </w:r>
      <w:r w:rsidRPr="00085B61">
        <w:rPr>
          <w:rFonts w:asciiTheme="majorHAnsi" w:hAnsiTheme="majorHAnsi" w:cstheme="majorHAnsi"/>
          <w:iCs/>
          <w:color w:val="auto"/>
        </w:rPr>
        <w:fldChar w:fldCharType="end"/>
      </w:r>
      <w:r w:rsidRPr="00085B61">
        <w:rPr>
          <w:rFonts w:asciiTheme="majorHAnsi" w:hAnsiTheme="majorHAnsi" w:cstheme="majorHAnsi"/>
          <w:iCs/>
          <w:color w:val="auto"/>
        </w:rPr>
        <w:t>. The data from these commercial banks for a period of 10 consecutive years (2011-2020) was used for the purpose of this research.</w:t>
      </w:r>
      <w:r w:rsidR="00113952" w:rsidRPr="00085B61">
        <w:rPr>
          <w:rFonts w:asciiTheme="majorHAnsi" w:hAnsiTheme="majorHAnsi" w:cstheme="majorHAnsi"/>
          <w:iCs/>
          <w:color w:val="auto"/>
        </w:rPr>
        <w:t xml:space="preserve"> </w:t>
      </w:r>
      <w:r w:rsidR="00085B61" w:rsidRPr="00085B61">
        <w:rPr>
          <w:rFonts w:asciiTheme="majorHAnsi" w:hAnsiTheme="majorHAnsi" w:cstheme="majorHAnsi"/>
          <w:iCs/>
          <w:color w:val="auto"/>
        </w:rPr>
        <w:t>In this study, t</w:t>
      </w:r>
      <w:r w:rsidR="00113952" w:rsidRPr="00085B61">
        <w:t xml:space="preserve">he unit of analysis </w:t>
      </w:r>
      <w:r w:rsidR="00085B61" w:rsidRPr="00085B61">
        <w:t>was</w:t>
      </w:r>
      <w:r w:rsidR="00113952" w:rsidRPr="00085B61">
        <w:t xml:space="preserve"> those commercial banks </w:t>
      </w:r>
      <w:r w:rsidR="00085B61" w:rsidRPr="00085B61">
        <w:t>which</w:t>
      </w:r>
      <w:r w:rsidR="00113952" w:rsidRPr="00085B61">
        <w:t xml:space="preserve"> were fully operational within the period 20111 to 2020.</w:t>
      </w:r>
      <w:r w:rsidR="00456DD3">
        <w:t xml:space="preserve"> </w:t>
      </w:r>
      <w:r w:rsidR="00456DD3" w:rsidRPr="00456DD3">
        <w:rPr>
          <w:rFonts w:asciiTheme="majorHAnsi" w:hAnsiTheme="majorHAnsi" w:cstheme="majorHAnsi"/>
          <w:iCs/>
          <w:color w:val="auto"/>
        </w:rPr>
        <w:t xml:space="preserve">Since the target population </w:t>
      </w:r>
      <w:r w:rsidR="00456DD3">
        <w:rPr>
          <w:rFonts w:asciiTheme="majorHAnsi" w:hAnsiTheme="majorHAnsi" w:cstheme="majorHAnsi"/>
          <w:iCs/>
          <w:color w:val="auto"/>
        </w:rPr>
        <w:t>was small (</w:t>
      </w:r>
      <w:r w:rsidR="00456DD3" w:rsidRPr="00456DD3">
        <w:rPr>
          <w:rFonts w:asciiTheme="majorHAnsi" w:hAnsiTheme="majorHAnsi" w:cstheme="majorHAnsi"/>
          <w:iCs/>
          <w:color w:val="auto"/>
        </w:rPr>
        <w:t>4</w:t>
      </w:r>
      <w:r w:rsidR="00456DD3">
        <w:rPr>
          <w:rFonts w:asciiTheme="majorHAnsi" w:hAnsiTheme="majorHAnsi" w:cstheme="majorHAnsi"/>
          <w:iCs/>
          <w:color w:val="auto"/>
        </w:rPr>
        <w:t>3</w:t>
      </w:r>
      <w:r w:rsidR="00456DD3" w:rsidRPr="00456DD3">
        <w:rPr>
          <w:rFonts w:asciiTheme="majorHAnsi" w:hAnsiTheme="majorHAnsi" w:cstheme="majorHAnsi"/>
          <w:iCs/>
          <w:color w:val="auto"/>
        </w:rPr>
        <w:t xml:space="preserve"> </w:t>
      </w:r>
      <w:r w:rsidR="00456DD3">
        <w:rPr>
          <w:rFonts w:asciiTheme="majorHAnsi" w:hAnsiTheme="majorHAnsi" w:cstheme="majorHAnsi"/>
          <w:iCs/>
          <w:color w:val="auto"/>
        </w:rPr>
        <w:t>commercial banks in Kenya),</w:t>
      </w:r>
      <w:r w:rsidR="00456DD3" w:rsidRPr="00456DD3">
        <w:rPr>
          <w:rFonts w:asciiTheme="majorHAnsi" w:hAnsiTheme="majorHAnsi" w:cstheme="majorHAnsi"/>
          <w:iCs/>
          <w:color w:val="auto"/>
        </w:rPr>
        <w:t xml:space="preserve"> a census of all the </w:t>
      </w:r>
      <w:r w:rsidR="00456DD3">
        <w:rPr>
          <w:rFonts w:asciiTheme="majorHAnsi" w:hAnsiTheme="majorHAnsi" w:cstheme="majorHAnsi"/>
          <w:iCs/>
          <w:color w:val="auto"/>
        </w:rPr>
        <w:t>banks</w:t>
      </w:r>
      <w:r w:rsidR="00456DD3" w:rsidRPr="00456DD3">
        <w:rPr>
          <w:rFonts w:asciiTheme="majorHAnsi" w:hAnsiTheme="majorHAnsi" w:cstheme="majorHAnsi"/>
          <w:iCs/>
          <w:color w:val="auto"/>
        </w:rPr>
        <w:t xml:space="preserve"> was conducted for the study</w:t>
      </w:r>
      <w:r w:rsidR="00456DD3">
        <w:rPr>
          <w:rFonts w:asciiTheme="majorHAnsi" w:hAnsiTheme="majorHAnsi" w:cstheme="majorHAnsi"/>
          <w:iCs/>
          <w:color w:val="auto"/>
        </w:rPr>
        <w:t>.</w:t>
      </w:r>
      <w:r w:rsidR="007A1878" w:rsidRPr="007A1878">
        <w:rPr>
          <w:rFonts w:asciiTheme="majorHAnsi" w:hAnsiTheme="majorHAnsi" w:cstheme="majorHAnsi"/>
          <w:iCs/>
          <w:color w:val="auto"/>
        </w:rPr>
        <w:t xml:space="preserve"> </w:t>
      </w:r>
      <w:r w:rsidR="007A1878" w:rsidRPr="00456DD3">
        <w:rPr>
          <w:rFonts w:asciiTheme="majorHAnsi" w:hAnsiTheme="majorHAnsi" w:cstheme="majorHAnsi"/>
          <w:iCs/>
          <w:color w:val="auto"/>
        </w:rPr>
        <w:t xml:space="preserve">According to </w:t>
      </w:r>
      <w:r w:rsidR="007A1878">
        <w:rPr>
          <w:rFonts w:asciiTheme="majorHAnsi" w:hAnsiTheme="majorHAnsi" w:cstheme="majorHAnsi"/>
          <w:iCs/>
          <w:color w:val="auto"/>
        </w:rPr>
        <w:fldChar w:fldCharType="begin" w:fldLock="1"/>
      </w:r>
      <w:r w:rsidR="00DC5082">
        <w:rPr>
          <w:rFonts w:asciiTheme="majorHAnsi" w:hAnsiTheme="majorHAnsi" w:cstheme="majorHAnsi"/>
          <w:iCs/>
          <w:color w:val="auto"/>
        </w:rPr>
        <w:instrText>ADDIN CSL_CITATION {"citationItems":[{"id":"ITEM-1","itemData":{"DOI":"10.1016/j.jbusres.2020.05.003","ISSN":"01482963","abstract":"Research in the social sciences is built on either quantitative or qualitative analysis, depending on the research context. Using both quantitative and qualitative analyses in the same study presents major obstacles. In the real business world, empirical studies could benefit from using multiple research methodologies. Thus, this editorial presents an overview of the literature on quantitative and qualitative research methods in business research to clarify some key issues on the subject. The following section introduces the papers included in the special issue on “Research Methods in Business: Quantitative and Qualitative Comparative Analysis” and highlights several novel ideas, emerging trends, and uncharted territory for future research.","author":[{"dropping-particle":"","family":"Lo","given":"Fang Yi","non-dropping-particle":"","parse-names":false,"suffix":""},{"dropping-particle":"","family":"Rey-Martí","given":"Andrea","non-dropping-particle":"","parse-names":false,"suffix":""},{"dropping-particle":"","family":"Botella-Carrubi","given":"Dolores","non-dropping-particle":"","parse-names":false,"suffix":""}],"container-title":"Journal of Business Research","id":"ITEM-1","issued":{"date-parts":[["2020"]]},"title":"Research methods in business: Quantitative and qualitative comparative analysis","type":"article"},"uris":["http://www.mendeley.com/documents/?uuid=8f03640e-8377-4395-922e-22ee7e2db408"]}],"mendeley":{"formattedCitation":"(Lo, Rey-Martí, &amp; Botella-Carrubi, 2020)","manualFormatting":" Botella (2020)","plainTextFormattedCitation":"(Lo, Rey-Martí, &amp; Botella-Carrubi, 2020)","previouslyFormattedCitation":"(Lo, Rey-Martí, &amp; Botella-Carrubi, 2020)"},"properties":{"noteIndex":0},"schema":"https://github.com/citation-style-language/schema/raw/master/csl-citation.json"}</w:instrText>
      </w:r>
      <w:r w:rsidR="007A1878">
        <w:rPr>
          <w:rFonts w:asciiTheme="majorHAnsi" w:hAnsiTheme="majorHAnsi" w:cstheme="majorHAnsi"/>
          <w:iCs/>
          <w:color w:val="auto"/>
        </w:rPr>
        <w:fldChar w:fldCharType="separate"/>
      </w:r>
      <w:r w:rsidR="007A1878" w:rsidRPr="007A1878">
        <w:rPr>
          <w:rFonts w:asciiTheme="majorHAnsi" w:hAnsiTheme="majorHAnsi" w:cstheme="majorHAnsi"/>
          <w:iCs/>
          <w:noProof/>
          <w:color w:val="auto"/>
        </w:rPr>
        <w:t xml:space="preserve"> Botella</w:t>
      </w:r>
      <w:r w:rsidR="007A1878">
        <w:rPr>
          <w:rFonts w:asciiTheme="majorHAnsi" w:hAnsiTheme="majorHAnsi" w:cstheme="majorHAnsi"/>
          <w:iCs/>
          <w:noProof/>
          <w:color w:val="auto"/>
        </w:rPr>
        <w:t xml:space="preserve"> (</w:t>
      </w:r>
      <w:r w:rsidR="007A1878" w:rsidRPr="007A1878">
        <w:rPr>
          <w:rFonts w:asciiTheme="majorHAnsi" w:hAnsiTheme="majorHAnsi" w:cstheme="majorHAnsi"/>
          <w:iCs/>
          <w:noProof/>
          <w:color w:val="auto"/>
        </w:rPr>
        <w:t>2020)</w:t>
      </w:r>
      <w:r w:rsidR="007A1878">
        <w:rPr>
          <w:rFonts w:asciiTheme="majorHAnsi" w:hAnsiTheme="majorHAnsi" w:cstheme="majorHAnsi"/>
          <w:iCs/>
          <w:color w:val="auto"/>
        </w:rPr>
        <w:fldChar w:fldCharType="end"/>
      </w:r>
      <w:r w:rsidR="007A1878">
        <w:rPr>
          <w:rFonts w:asciiTheme="majorHAnsi" w:hAnsiTheme="majorHAnsi" w:cstheme="majorHAnsi"/>
          <w:iCs/>
          <w:color w:val="auto"/>
        </w:rPr>
        <w:t xml:space="preserve">, </w:t>
      </w:r>
      <w:r w:rsidR="007A1878" w:rsidRPr="00456DD3">
        <w:rPr>
          <w:rFonts w:asciiTheme="majorHAnsi" w:hAnsiTheme="majorHAnsi" w:cstheme="majorHAnsi"/>
          <w:iCs/>
          <w:color w:val="auto"/>
        </w:rPr>
        <w:t>a census is preferred whe</w:t>
      </w:r>
      <w:r w:rsidR="007A1878">
        <w:rPr>
          <w:rFonts w:asciiTheme="majorHAnsi" w:hAnsiTheme="majorHAnsi" w:cstheme="majorHAnsi"/>
          <w:iCs/>
          <w:color w:val="auto"/>
        </w:rPr>
        <w:t>n</w:t>
      </w:r>
      <w:r w:rsidR="007A1878" w:rsidRPr="00456DD3">
        <w:rPr>
          <w:rFonts w:asciiTheme="majorHAnsi" w:hAnsiTheme="majorHAnsi" w:cstheme="majorHAnsi"/>
          <w:iCs/>
          <w:color w:val="auto"/>
        </w:rPr>
        <w:t xml:space="preserve"> the population is small.</w:t>
      </w:r>
      <w:r w:rsidR="007A1878">
        <w:t xml:space="preserve"> </w:t>
      </w:r>
      <w:r w:rsidR="00456DD3" w:rsidRPr="00456DD3">
        <w:rPr>
          <w:rFonts w:asciiTheme="majorHAnsi" w:hAnsiTheme="majorHAnsi" w:cstheme="majorHAnsi"/>
          <w:iCs/>
          <w:color w:val="auto"/>
        </w:rPr>
        <w:t xml:space="preserve">Since </w:t>
      </w:r>
      <w:r w:rsidR="007A1878">
        <w:rPr>
          <w:rFonts w:asciiTheme="majorHAnsi" w:hAnsiTheme="majorHAnsi" w:cstheme="majorHAnsi"/>
          <w:iCs/>
          <w:color w:val="auto"/>
        </w:rPr>
        <w:t>census was used in this</w:t>
      </w:r>
      <w:r w:rsidR="00456DD3" w:rsidRPr="00456DD3">
        <w:rPr>
          <w:rFonts w:asciiTheme="majorHAnsi" w:hAnsiTheme="majorHAnsi" w:cstheme="majorHAnsi"/>
          <w:iCs/>
          <w:color w:val="auto"/>
        </w:rPr>
        <w:t xml:space="preserve"> study</w:t>
      </w:r>
      <w:r w:rsidR="007A1878">
        <w:rPr>
          <w:rFonts w:asciiTheme="majorHAnsi" w:hAnsiTheme="majorHAnsi" w:cstheme="majorHAnsi"/>
          <w:iCs/>
          <w:color w:val="auto"/>
        </w:rPr>
        <w:t>,</w:t>
      </w:r>
      <w:r w:rsidR="00456DD3" w:rsidRPr="00456DD3">
        <w:rPr>
          <w:rFonts w:asciiTheme="majorHAnsi" w:hAnsiTheme="majorHAnsi" w:cstheme="majorHAnsi"/>
          <w:iCs/>
          <w:color w:val="auto"/>
        </w:rPr>
        <w:t xml:space="preserve"> no sampling was required</w:t>
      </w:r>
      <w:r w:rsidR="007A1878">
        <w:rPr>
          <w:rFonts w:asciiTheme="majorHAnsi" w:hAnsiTheme="majorHAnsi" w:cstheme="majorHAnsi"/>
          <w:iCs/>
          <w:color w:val="auto"/>
        </w:rPr>
        <w:t>.</w:t>
      </w:r>
      <w:r w:rsidR="008041CE" w:rsidRPr="008041CE">
        <w:t xml:space="preserve"> </w:t>
      </w:r>
    </w:p>
    <w:p w14:paraId="71153D27" w14:textId="77777777" w:rsidR="00AB63A4" w:rsidRPr="0022305D" w:rsidRDefault="00AB63A4" w:rsidP="004B1A2F">
      <w:pPr>
        <w:pStyle w:val="Default"/>
        <w:spacing w:line="480" w:lineRule="auto"/>
        <w:ind w:firstLine="720"/>
        <w:rPr>
          <w:rFonts w:asciiTheme="majorHAnsi" w:hAnsiTheme="majorHAnsi" w:cstheme="majorHAnsi"/>
          <w:iCs/>
          <w:color w:val="auto"/>
        </w:rPr>
      </w:pPr>
    </w:p>
    <w:p w14:paraId="5FF87111" w14:textId="452225AB" w:rsidR="00A236A6" w:rsidRPr="00C553FC" w:rsidRDefault="00A236A6" w:rsidP="004478B6">
      <w:pPr>
        <w:pStyle w:val="Heading2"/>
        <w:spacing w:line="480" w:lineRule="auto"/>
        <w:jc w:val="left"/>
        <w:rPr>
          <w:rFonts w:asciiTheme="majorHAnsi" w:hAnsiTheme="majorHAnsi" w:cstheme="majorHAnsi"/>
          <w:sz w:val="28"/>
          <w:szCs w:val="28"/>
        </w:rPr>
      </w:pPr>
      <w:bookmarkStart w:id="63" w:name="_Toc78205797"/>
      <w:r w:rsidRPr="00C553FC">
        <w:rPr>
          <w:rFonts w:asciiTheme="majorHAnsi" w:hAnsiTheme="majorHAnsi" w:cstheme="majorHAnsi"/>
          <w:sz w:val="28"/>
          <w:szCs w:val="28"/>
        </w:rPr>
        <w:t xml:space="preserve">Data </w:t>
      </w:r>
      <w:r w:rsidR="00C37718" w:rsidRPr="00C553FC">
        <w:rPr>
          <w:rFonts w:asciiTheme="majorHAnsi" w:hAnsiTheme="majorHAnsi" w:cstheme="majorHAnsi"/>
          <w:sz w:val="28"/>
          <w:szCs w:val="28"/>
        </w:rPr>
        <w:t>c</w:t>
      </w:r>
      <w:r w:rsidRPr="00C553FC">
        <w:rPr>
          <w:rFonts w:asciiTheme="majorHAnsi" w:hAnsiTheme="majorHAnsi" w:cstheme="majorHAnsi"/>
          <w:sz w:val="28"/>
          <w:szCs w:val="28"/>
        </w:rPr>
        <w:t>ollection</w:t>
      </w:r>
      <w:bookmarkEnd w:id="63"/>
    </w:p>
    <w:p w14:paraId="32670553" w14:textId="6F7582F8" w:rsidR="00447B92" w:rsidRPr="0022305D" w:rsidRDefault="00A236A6" w:rsidP="00447B92">
      <w:pPr>
        <w:autoSpaceDE w:val="0"/>
        <w:autoSpaceDN w:val="0"/>
        <w:adjustRightInd w:val="0"/>
        <w:spacing w:after="0" w:line="480" w:lineRule="auto"/>
        <w:ind w:firstLine="720"/>
        <w:rPr>
          <w:rFonts w:asciiTheme="majorHAnsi" w:hAnsiTheme="majorHAnsi" w:cstheme="majorHAnsi"/>
          <w:color w:val="FF0000"/>
        </w:rPr>
      </w:pPr>
      <w:r w:rsidRPr="0022305D">
        <w:rPr>
          <w:rFonts w:asciiTheme="majorHAnsi" w:hAnsiTheme="majorHAnsi" w:cstheme="majorHAnsi"/>
        </w:rPr>
        <w:tab/>
      </w:r>
      <w:r w:rsidR="00447B92" w:rsidRPr="0022305D">
        <w:rPr>
          <w:rFonts w:asciiTheme="majorHAnsi" w:hAnsiTheme="majorHAnsi" w:cstheme="majorHAnsi"/>
          <w:sz w:val="23"/>
          <w:szCs w:val="23"/>
        </w:rPr>
        <w:t xml:space="preserve">Research permit from National Commission for Science, Technology and Innovation was obtained before data from commercial banks in Kenya was collected and analyzed. </w:t>
      </w:r>
      <w:r w:rsidR="00447B92" w:rsidRPr="0022305D">
        <w:rPr>
          <w:rFonts w:asciiTheme="majorHAnsi" w:hAnsiTheme="majorHAnsi" w:cstheme="majorHAnsi"/>
        </w:rPr>
        <w:t xml:space="preserve">Secondary data obtained from the central bank of Kenya published reports, commercial banks’ </w:t>
      </w:r>
      <w:r w:rsidR="00845747" w:rsidRPr="00B173B9">
        <w:rPr>
          <w:rFonts w:asciiTheme="majorHAnsi" w:hAnsiTheme="majorHAnsi" w:cstheme="majorHAnsi"/>
        </w:rPr>
        <w:t>audited financial statement</w:t>
      </w:r>
      <w:r w:rsidR="00447B92" w:rsidRPr="00B173B9">
        <w:rPr>
          <w:rFonts w:asciiTheme="majorHAnsi" w:hAnsiTheme="majorHAnsi" w:cstheme="majorHAnsi"/>
        </w:rPr>
        <w:t>s and</w:t>
      </w:r>
      <w:r w:rsidR="00447B92" w:rsidRPr="0022305D">
        <w:rPr>
          <w:rFonts w:asciiTheme="majorHAnsi" w:hAnsiTheme="majorHAnsi" w:cstheme="majorHAnsi"/>
        </w:rPr>
        <w:t xml:space="preserve"> annual reports for a period of ten consecutive years (2011-2020) was used. </w:t>
      </w:r>
      <w:r w:rsidR="00447B92" w:rsidRPr="0022305D">
        <w:rPr>
          <w:rFonts w:asciiTheme="majorHAnsi" w:hAnsiTheme="majorHAnsi" w:cstheme="majorHAnsi"/>
          <w:sz w:val="23"/>
          <w:szCs w:val="23"/>
        </w:rPr>
        <w:t xml:space="preserve">The data </w:t>
      </w:r>
      <w:r w:rsidR="00100772">
        <w:rPr>
          <w:rFonts w:asciiTheme="majorHAnsi" w:hAnsiTheme="majorHAnsi" w:cstheme="majorHAnsi"/>
          <w:sz w:val="23"/>
          <w:szCs w:val="23"/>
        </w:rPr>
        <w:t>was in the form</w:t>
      </w:r>
      <w:r w:rsidR="00447B92" w:rsidRPr="0022305D">
        <w:rPr>
          <w:rFonts w:asciiTheme="majorHAnsi" w:hAnsiTheme="majorHAnsi" w:cstheme="majorHAnsi"/>
          <w:sz w:val="23"/>
          <w:szCs w:val="23"/>
        </w:rPr>
        <w:t xml:space="preserve"> of</w:t>
      </w:r>
      <w:r w:rsidR="00100772" w:rsidRPr="00100772">
        <w:rPr>
          <w:rFonts w:asciiTheme="majorHAnsi" w:hAnsiTheme="majorHAnsi" w:cstheme="majorHAnsi"/>
          <w:sz w:val="23"/>
          <w:szCs w:val="23"/>
        </w:rPr>
        <w:t xml:space="preserve"> </w:t>
      </w:r>
      <w:r w:rsidR="00100772" w:rsidRPr="0022305D">
        <w:rPr>
          <w:rFonts w:asciiTheme="majorHAnsi" w:hAnsiTheme="majorHAnsi" w:cstheme="majorHAnsi"/>
          <w:sz w:val="23"/>
          <w:szCs w:val="23"/>
        </w:rPr>
        <w:t>cross-sections (commercial banks)</w:t>
      </w:r>
      <w:r w:rsidR="00447B92" w:rsidRPr="0022305D">
        <w:rPr>
          <w:rFonts w:asciiTheme="majorHAnsi" w:hAnsiTheme="majorHAnsi" w:cstheme="majorHAnsi"/>
          <w:sz w:val="23"/>
          <w:szCs w:val="23"/>
        </w:rPr>
        <w:t xml:space="preserve"> </w:t>
      </w:r>
      <w:r w:rsidR="00100772">
        <w:rPr>
          <w:rFonts w:asciiTheme="majorHAnsi" w:hAnsiTheme="majorHAnsi" w:cstheme="majorHAnsi"/>
          <w:sz w:val="23"/>
          <w:szCs w:val="23"/>
        </w:rPr>
        <w:t xml:space="preserve">as well as </w:t>
      </w:r>
      <w:r w:rsidR="00447B92" w:rsidRPr="0022305D">
        <w:rPr>
          <w:rFonts w:asciiTheme="majorHAnsi" w:hAnsiTheme="majorHAnsi" w:cstheme="majorHAnsi"/>
          <w:sz w:val="23"/>
          <w:szCs w:val="23"/>
        </w:rPr>
        <w:t xml:space="preserve">time series (years 2011 to 2020). </w:t>
      </w:r>
      <w:r w:rsidR="00447B92" w:rsidRPr="0022305D">
        <w:rPr>
          <w:rFonts w:asciiTheme="majorHAnsi" w:hAnsiTheme="majorHAnsi" w:cstheme="majorHAnsi"/>
        </w:rPr>
        <w:t xml:space="preserve">Audited statement of financial position and the statement of comprehensive income are the two types of </w:t>
      </w:r>
      <w:r w:rsidR="00845747">
        <w:rPr>
          <w:rFonts w:asciiTheme="majorHAnsi" w:hAnsiTheme="majorHAnsi" w:cstheme="majorHAnsi"/>
        </w:rPr>
        <w:t>audited financial statement</w:t>
      </w:r>
      <w:r w:rsidR="00447B92" w:rsidRPr="0022305D">
        <w:rPr>
          <w:rFonts w:asciiTheme="majorHAnsi" w:hAnsiTheme="majorHAnsi" w:cstheme="majorHAnsi"/>
        </w:rPr>
        <w:t>s considered</w:t>
      </w:r>
      <w:r w:rsidR="005E1E9B" w:rsidRPr="0022305D">
        <w:rPr>
          <w:rFonts w:asciiTheme="majorHAnsi" w:hAnsiTheme="majorHAnsi" w:cstheme="majorHAnsi"/>
        </w:rPr>
        <w:t>.</w:t>
      </w:r>
      <w:r w:rsidR="008B10C2" w:rsidRPr="0022305D">
        <w:rPr>
          <w:rFonts w:asciiTheme="majorHAnsi" w:hAnsiTheme="majorHAnsi" w:cstheme="majorHAnsi"/>
        </w:rPr>
        <w:t xml:space="preserve"> </w:t>
      </w:r>
      <w:r w:rsidRPr="0022305D">
        <w:rPr>
          <w:rFonts w:asciiTheme="majorHAnsi" w:hAnsiTheme="majorHAnsi" w:cstheme="majorHAnsi"/>
        </w:rPr>
        <w:t xml:space="preserve">From </w:t>
      </w:r>
      <w:r w:rsidR="00447B92" w:rsidRPr="0022305D">
        <w:rPr>
          <w:rFonts w:asciiTheme="majorHAnsi" w:hAnsiTheme="majorHAnsi" w:cstheme="majorHAnsi"/>
        </w:rPr>
        <w:t>each annual audited account of the respective commercial bank, the study was interested with the total assets, total liabilities and the equity to analyze solvency; and for profitability, the study was interested in profit before tax, total assets and equity. Data was collected using data collection schedule shown in</w:t>
      </w:r>
      <w:r w:rsidR="00447B92" w:rsidRPr="0022305D">
        <w:rPr>
          <w:rFonts w:asciiTheme="majorHAnsi" w:hAnsiTheme="majorHAnsi" w:cstheme="majorHAnsi"/>
          <w:color w:val="FF0000"/>
          <w:sz w:val="23"/>
          <w:szCs w:val="23"/>
        </w:rPr>
        <w:t xml:space="preserve"> </w:t>
      </w:r>
      <w:r w:rsidR="00447B92" w:rsidRPr="0022305D">
        <w:rPr>
          <w:rFonts w:asciiTheme="majorHAnsi" w:hAnsiTheme="majorHAnsi" w:cstheme="majorHAnsi"/>
          <w:sz w:val="23"/>
          <w:szCs w:val="23"/>
        </w:rPr>
        <w:t>appendix 3</w:t>
      </w:r>
      <w:r w:rsidR="00447B92" w:rsidRPr="0022305D">
        <w:rPr>
          <w:rFonts w:asciiTheme="majorHAnsi" w:hAnsiTheme="majorHAnsi" w:cstheme="majorHAnsi"/>
          <w:color w:val="FF0000"/>
          <w:sz w:val="23"/>
          <w:szCs w:val="23"/>
        </w:rPr>
        <w:t xml:space="preserve"> </w:t>
      </w:r>
      <w:r w:rsidR="00447B92" w:rsidRPr="0022305D">
        <w:rPr>
          <w:rFonts w:asciiTheme="majorHAnsi" w:hAnsiTheme="majorHAnsi" w:cstheme="majorHAnsi"/>
          <w:sz w:val="23"/>
          <w:szCs w:val="23"/>
        </w:rPr>
        <w:t>to extract and complete the required data for analysis</w:t>
      </w:r>
      <w:r w:rsidR="00447B92" w:rsidRPr="0022305D">
        <w:rPr>
          <w:rFonts w:asciiTheme="majorHAnsi" w:hAnsiTheme="majorHAnsi" w:cstheme="majorHAnsi"/>
          <w:color w:val="FF0000"/>
          <w:sz w:val="23"/>
          <w:szCs w:val="23"/>
        </w:rPr>
        <w:t>.</w:t>
      </w:r>
    </w:p>
    <w:p w14:paraId="670CDCDC" w14:textId="258B647B" w:rsidR="00447B92" w:rsidRPr="0022305D" w:rsidRDefault="00447B92" w:rsidP="00447B92">
      <w:pPr>
        <w:spacing w:after="200" w:line="480" w:lineRule="auto"/>
        <w:ind w:firstLine="720"/>
        <w:rPr>
          <w:rFonts w:asciiTheme="majorHAnsi" w:hAnsiTheme="majorHAnsi" w:cstheme="majorHAnsi"/>
          <w:sz w:val="24"/>
          <w:szCs w:val="24"/>
        </w:rPr>
      </w:pPr>
      <w:r w:rsidRPr="0022305D">
        <w:rPr>
          <w:rFonts w:asciiTheme="majorHAnsi" w:hAnsiTheme="majorHAnsi" w:cstheme="majorHAnsi"/>
          <w:sz w:val="24"/>
          <w:szCs w:val="24"/>
        </w:rPr>
        <w:t xml:space="preserve">According to the study by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{"citationItems":[{"id":"ITEM-1","itemData":{"author":[{"dropping-particle":"","family":"Sari","given":"Lusia","non-dropping-particle":"","parse-names":false,"suffix":""}],"container-title":"Journal of Applied Finance and Accounting","id":"ITEM-1","issue":"2","issued":{"date-parts":[["2016"]]},"page":"1-13","title":"Debt to equity ratio, degree of operating leverage stock beta and stock returns of food and bevarage companies in Indonession stock exchangee","type":"article-journal","volume":"2"},"uris":["http://www.mendeley.com/documents/?uuid=1473f260-8819-488b-9cea-d385a9c484e0"]}],"mendeley":{"formattedCitation":"(Sari, 2016)","manualFormatting":"Sari (2016)","plainTextFormattedCitation":"(Sari, 2016)","previouslyFormattedCitation":"(Sari, 2016)"},"properties":{"noteIndex":0},"schema":"https://github.com/citation-style-language/schema/raw/master/csl-citation.json"}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Sari (2016)</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xml:space="preserve"> on the relationship between </w:t>
      </w:r>
      <w:r w:rsidR="00BE06BC">
        <w:rPr>
          <w:rFonts w:asciiTheme="majorHAnsi" w:hAnsiTheme="majorHAnsi" w:cstheme="majorHAnsi"/>
          <w:sz w:val="24"/>
          <w:szCs w:val="24"/>
        </w:rPr>
        <w:t>total debt to equity</w:t>
      </w:r>
      <w:r w:rsidRPr="0022305D">
        <w:rPr>
          <w:rFonts w:asciiTheme="majorHAnsi" w:hAnsiTheme="majorHAnsi" w:cstheme="majorHAnsi"/>
          <w:sz w:val="24"/>
          <w:szCs w:val="24"/>
        </w:rPr>
        <w:t xml:space="preserve"> ratio and stock returns of food and beverages companies in Indonesia, </w:t>
      </w:r>
      <w:r w:rsidR="00BE06BC">
        <w:rPr>
          <w:rFonts w:asciiTheme="majorHAnsi" w:hAnsiTheme="majorHAnsi" w:cstheme="majorHAnsi"/>
          <w:sz w:val="24"/>
          <w:szCs w:val="24"/>
        </w:rPr>
        <w:t>total debt to equity</w:t>
      </w:r>
      <w:r w:rsidRPr="0022305D">
        <w:rPr>
          <w:rFonts w:asciiTheme="majorHAnsi" w:hAnsiTheme="majorHAnsi" w:cstheme="majorHAnsi"/>
          <w:sz w:val="24"/>
          <w:szCs w:val="24"/>
        </w:rPr>
        <w:t xml:space="preserve"> ratio is calculated by dividing total debt by shareholders’ equity. In line with this, the current study calculated </w:t>
      </w:r>
      <w:r w:rsidR="00BE06BC">
        <w:rPr>
          <w:rFonts w:asciiTheme="majorHAnsi" w:hAnsiTheme="majorHAnsi" w:cstheme="majorHAnsi"/>
          <w:sz w:val="24"/>
          <w:szCs w:val="24"/>
        </w:rPr>
        <w:t>total debt to equity</w:t>
      </w:r>
      <w:r w:rsidRPr="0022305D">
        <w:rPr>
          <w:rFonts w:asciiTheme="majorHAnsi" w:hAnsiTheme="majorHAnsi" w:cstheme="majorHAnsi"/>
          <w:sz w:val="24"/>
          <w:szCs w:val="24"/>
        </w:rPr>
        <w:t xml:space="preserve"> ratio by dividing total liabilities of commercial banks in Kenya by shareholders’ equity.</w:t>
      </w:r>
    </w:p>
    <w:p w14:paraId="21DFA1D5" w14:textId="76408765" w:rsidR="004F3627" w:rsidRPr="004B1A2F" w:rsidRDefault="00CB2CDC" w:rsidP="004B1A2F">
      <w:pPr>
        <w:spacing w:after="200" w:line="480" w:lineRule="auto"/>
        <w:rPr>
          <w:rFonts w:asciiTheme="majorHAnsi" w:hAnsiTheme="majorHAnsi" w:cstheme="majorHAnsi"/>
          <w:sz w:val="24"/>
          <w:szCs w:val="24"/>
        </w:rPr>
      </w:pPr>
      <w:r>
        <w:rPr>
          <w:rFonts w:asciiTheme="majorHAnsi" w:hAnsiTheme="majorHAnsi" w:cstheme="majorHAnsi"/>
          <w:sz w:val="24"/>
          <w:szCs w:val="24"/>
        </w:rPr>
        <w:t>Total debt to total assets ratio</w:t>
      </w:r>
      <w:r w:rsidR="00447B92" w:rsidRPr="0022305D">
        <w:rPr>
          <w:rFonts w:asciiTheme="majorHAnsi" w:hAnsiTheme="majorHAnsi" w:cstheme="majorHAnsi"/>
          <w:sz w:val="24"/>
          <w:szCs w:val="24"/>
        </w:rPr>
        <w:t xml:space="preserve"> was calculated by dividing total liabilities by total assets of commercial banks in Kenya. This is in agreement with how </w:t>
      </w:r>
      <w:r w:rsidR="00447B92" w:rsidRPr="0022305D">
        <w:rPr>
          <w:rFonts w:asciiTheme="majorHAnsi" w:hAnsiTheme="majorHAnsi" w:cstheme="majorHAnsi"/>
          <w:sz w:val="24"/>
          <w:szCs w:val="24"/>
        </w:rPr>
        <w:fldChar w:fldCharType="begin" w:fldLock="1"/>
      </w:r>
      <w:r w:rsidR="00447B92" w:rsidRPr="0022305D">
        <w:rPr>
          <w:rFonts w:asciiTheme="majorHAnsi" w:hAnsiTheme="majorHAnsi" w:cstheme="majorHAnsi"/>
          <w:sz w:val="24"/>
          <w:szCs w:val="24"/>
        </w:rPr>
        <w:instrText>ADDIN CSL_CITATION {"citationItems":[{"id":"ITEM-1","itemData":{"DOI":"10.2139/ssrn.2191075","abstract":"Current study aims to provide new empirical evidence on the impact of debt on corporate profitability. This impact can be explained by three essential theories: signaling theory, tax theory and the agency cost theory. Using panel data sample of 2240 French non listed companies of service sector during 1999-2006. By utilizing generalized method of moments (GMM) econometric technique on three measures of profitability ratio (PROF1, PROF2 and ROA), we show that debt ratio has no effect on corporate profitability, regardless of the size of company (VSEs, SMEs or LEs).","author":[{"dropping-particle":"","family":"Kebewar","given":"Mazen","non-dropping-particle":"","parse-names":false,"suffix":""},{"dropping-particle":"","family":"Shah","given":"Syed Muhammad Noaman Ahmed","non-dropping-particle":"","parse-names":false,"suffix":""}],"container-title":"SSRN Electronic Journal","id":"ITEM-1","issued":{"date-parts":[["2012"]]},"title":"The Effect of Debt on Corporate Profitability: Evidence from French Service Sector","type":"article-journal"},"uris":["http://www.mendeley.com/documents/?uuid=7cea9365-fcb7-4fec-8fcc-ec4dd5991bc9"]}],"mendeley":{"formattedCitation":"(Kebewar &amp; Shah, 2012)","manualFormatting":"Kebewar and Shah (2012)","plainTextFormattedCitation":"(Kebewar &amp; Shah, 2012)","previouslyFormattedCitation":"(Kebewar &amp; Shah, 2012)"},"properties":{"noteIndex":0},"schema":"https://github.com/citation-style-language/schema/raw/master/csl-citation.json"}</w:instrText>
      </w:r>
      <w:r w:rsidR="00447B92" w:rsidRPr="0022305D">
        <w:rPr>
          <w:rFonts w:asciiTheme="majorHAnsi" w:hAnsiTheme="majorHAnsi" w:cstheme="majorHAnsi"/>
          <w:sz w:val="24"/>
          <w:szCs w:val="24"/>
        </w:rPr>
        <w:fldChar w:fldCharType="separate"/>
      </w:r>
      <w:r w:rsidR="00447B92" w:rsidRPr="0022305D">
        <w:rPr>
          <w:rFonts w:asciiTheme="majorHAnsi" w:hAnsiTheme="majorHAnsi" w:cstheme="majorHAnsi"/>
          <w:noProof/>
          <w:sz w:val="24"/>
          <w:szCs w:val="24"/>
        </w:rPr>
        <w:t>Kebewar and Shah (2012)</w:t>
      </w:r>
      <w:r w:rsidR="00447B92" w:rsidRPr="0022305D">
        <w:rPr>
          <w:rFonts w:asciiTheme="majorHAnsi" w:hAnsiTheme="majorHAnsi" w:cstheme="majorHAnsi"/>
          <w:sz w:val="24"/>
          <w:szCs w:val="24"/>
        </w:rPr>
        <w:fldChar w:fldCharType="end"/>
      </w:r>
      <w:r w:rsidR="00447B92" w:rsidRPr="0022305D">
        <w:rPr>
          <w:rFonts w:asciiTheme="majorHAnsi" w:hAnsiTheme="majorHAnsi" w:cstheme="majorHAnsi"/>
          <w:sz w:val="24"/>
          <w:szCs w:val="24"/>
        </w:rPr>
        <w:t xml:space="preserve"> measured </w:t>
      </w:r>
      <w:r>
        <w:rPr>
          <w:rFonts w:asciiTheme="majorHAnsi" w:hAnsiTheme="majorHAnsi" w:cstheme="majorHAnsi"/>
          <w:sz w:val="24"/>
          <w:szCs w:val="24"/>
        </w:rPr>
        <w:t>total debt to total assets ratio</w:t>
      </w:r>
      <w:r w:rsidR="00447B92" w:rsidRPr="0022305D">
        <w:rPr>
          <w:rFonts w:asciiTheme="majorHAnsi" w:hAnsiTheme="majorHAnsi" w:cstheme="majorHAnsi"/>
          <w:sz w:val="24"/>
          <w:szCs w:val="24"/>
        </w:rPr>
        <w:t xml:space="preserve"> in their research on the effect of debt on corporate profitability in French service sector. Literature shows that return on assets and return on equity are measured by dividing net profit by assets; and by dividing net profit by shareholders’ equity respectively </w:t>
      </w:r>
      <w:r w:rsidR="00447B92" w:rsidRPr="0022305D">
        <w:rPr>
          <w:rFonts w:asciiTheme="majorHAnsi" w:hAnsiTheme="majorHAnsi" w:cstheme="majorHAnsi"/>
          <w:sz w:val="24"/>
          <w:szCs w:val="24"/>
        </w:rPr>
        <w:fldChar w:fldCharType="begin" w:fldLock="1"/>
      </w:r>
      <w:r w:rsidR="007B2007">
        <w:rPr>
          <w:rFonts w:asciiTheme="majorHAnsi" w:hAnsiTheme="majorHAnsi" w:cstheme="majorHAnsi"/>
          <w:sz w:val="24"/>
          <w:szCs w:val="24"/>
        </w:rPr>
        <w:instrText>ADDIN CSL_CITATION {"citationItems":[{"id":"ITEM-1","itemData":{"abstract":"The factors affecting debt levels of firms are related to the course of economy as well as the profitability of companies. But it is quite difficult to make a prediction about the course of economy. In this study, it is aimed to reveal how profitability indicators of companies affect debt levels. The purpose of this study is to examine the relation between the debt and profitability ratios of the companies that operate on the BIST (Istanbul Stock Exchange Market) manufacturing industry by using Panel Regression Analysis. The data of the 86 companies within manufacturing industry on the BIST between the years 1994 and 2015 were used. Furthermore, the variables such as asset growth ratio, return on asset, current ratio, leverage ratio, cash rate, new borrowing rates, total financial liability/total liability ratio, return on equity, investment and earnings have been studied. It has been observed in the study that the active growth and the return on equity ratios affect the new borrowing variables positively while investment, current earnings per share ratios affect the new borrowing variablesnegatively. In addition, it has been determined in the study that the return on investment, the return on assets and the current ratios affect the leverage ratio negatively while the active growth, the return on equity, the earnings and the cash ratios per share affect the leverage ratios positively. It has also seen that the active return on assets and the earnings per share ratios affect the total financial liabilities/total liability ratios negatively while the asset growth ratios affect the total financial liabilities/total liabilities ratios positively.","author":[{"dropping-particle":"","family":"Korkmaz","given":"Ozge","non-dropping-particle":"","parse-names":false,"suffix":""}],"container-title":"Journal of Financial Studies","id":"ITEM-1","issue":"2","issued":{"date-parts":[["2016"]]},"page":"35-54","title":"The effect of profitability ratios on debt ratio: The sample of BIST manufacturing industry","type":"article-journal","volume":"20"},"uris":["http://www.mendeley.com/documents/?uuid=a0bc9f59-5686-4ee9-a7e7-9357862f6a17"]}],"mendeley":{"formattedCitation":"(Korkmaz, 2016)","manualFormatting":"(Korkmaz, 2016","plainTextFormattedCitation":"(Korkmaz, 2016)","previouslyFormattedCitation":"(Korkmaz, 2016)"},"properties":{"noteIndex":0},"schema":"https://github.com/citation-style-language/schema/raw/master/csl-citation.json"}</w:instrText>
      </w:r>
      <w:r w:rsidR="00447B92" w:rsidRPr="0022305D">
        <w:rPr>
          <w:rFonts w:asciiTheme="majorHAnsi" w:hAnsiTheme="majorHAnsi" w:cstheme="majorHAnsi"/>
          <w:sz w:val="24"/>
          <w:szCs w:val="24"/>
        </w:rPr>
        <w:fldChar w:fldCharType="separate"/>
      </w:r>
      <w:r w:rsidR="00447B92" w:rsidRPr="0022305D">
        <w:rPr>
          <w:rFonts w:asciiTheme="majorHAnsi" w:hAnsiTheme="majorHAnsi" w:cstheme="majorHAnsi"/>
          <w:noProof/>
          <w:sz w:val="24"/>
          <w:szCs w:val="24"/>
        </w:rPr>
        <w:t>(Korkmaz, 2016</w:t>
      </w:r>
      <w:r w:rsidR="00447B92" w:rsidRPr="0022305D">
        <w:rPr>
          <w:rFonts w:asciiTheme="majorHAnsi" w:hAnsiTheme="majorHAnsi" w:cstheme="majorHAnsi"/>
          <w:sz w:val="24"/>
          <w:szCs w:val="24"/>
        </w:rPr>
        <w:fldChar w:fldCharType="end"/>
      </w:r>
      <w:r w:rsidR="00447B92" w:rsidRPr="0022305D">
        <w:rPr>
          <w:rFonts w:asciiTheme="majorHAnsi" w:hAnsiTheme="majorHAnsi" w:cstheme="majorHAnsi"/>
          <w:sz w:val="24"/>
          <w:szCs w:val="24"/>
        </w:rPr>
        <w:t xml:space="preserve">; </w:t>
      </w:r>
      <w:r w:rsidR="00447B92" w:rsidRPr="0022305D">
        <w:rPr>
          <w:rFonts w:asciiTheme="majorHAnsi" w:hAnsiTheme="majorHAnsi" w:cstheme="majorHAnsi"/>
          <w:sz w:val="24"/>
          <w:szCs w:val="24"/>
        </w:rPr>
        <w:fldChar w:fldCharType="begin" w:fldLock="1"/>
      </w:r>
      <w:r w:rsidR="00447B92" w:rsidRPr="0022305D">
        <w:rPr>
          <w:rFonts w:asciiTheme="majorHAnsi" w:hAnsiTheme="majorHAnsi" w:cstheme="majorHAnsi"/>
          <w:sz w:val="24"/>
          <w:szCs w:val="24"/>
        </w:rPr>
        <w:instrText>ADDIN CSL_CITATION {"citationItems":[{"id":"ITEM-1","itemData":{"abstract":"This study aims to examine the effect of profitability ration on market capitalization in the Jordanian insurance companies listed in Amman stock exchange (ASE) by examining time series data collected over a period of four years from (2010 – 2013) which included 25 companies and utilizing content analysis to extract the data from the company's annual reports. The finding indicated that there's an effect of Return on Investment (ROI) upon market capitalization for the companies operating in the insurance sector listed in the ASE. In terms of the effect of Return on Equity (ROE) on market capitalization, the study revealed that ROE does not affect the market capitalization for the companies operating in the insurance sector listed in ASE. In respect of the effect of Return on Asset (ROA) on market capitalization, the result indicated that there is an effect of ROA on Market Capitalization for the companies operating in the insurance sector listed in ASE. Additionally, by examining the effect of the independent variables (ROA, ROI, and ROE) combined in the market capitalization variable, the study revealed that all of ROA, ROI, ROE combined effects on the market capitalization and thus the main hypothesis was accepted and requires that there is an effect of profitability measured by (ROA, ROI, ROE) on market capitalization for the companies operating in the insurance listed in (ASE). Finally, the study contributes by utilizing a content analysis for a time series data in order to track the relation between financial performance indicators and market capitalization in an emerging economy such as Jordan, specifically Jordanian insurance sector. 1. Introduction Financial Analysis defined as the process of assessing the financial position of a company by analyzing its stability, viability and profitability. One of the primary objectives of financial analysis is to recognize changes in financial trends, to help measure the progress made by an enterprise and identify a relationship to draw a logical conclusion on the performance of the company, (Sultan, 2014). Profitability or financial performance could be defined as a measurement of the results of a firm's polices and operations in monetary terms. In order to evaluate the company's inclusive financial situation, accounting out provides two main statements, the income statement and the financial position statement which are significant recourses, as the income statement captures the company's operating performa…","author":[{"dropping-particle":"","family":"Al-Nimer","given":"Munther","non-dropping-particle":"","parse-names":false,"suffix":""},{"dropping-particle":"","family":"Al-sliha","given":"Nimer","non-dropping-particle":"","parse-names":false,"suffix":""}],"container-title":"Journal of Economics and Sustainable Development","id":"ITEM-1","issue":"6","issued":{"date-parts":[["2015"]]},"page":"140-147","title":"The effect of profitability ratios on market capitalization in Jordanian insurance companies listed in Amman stock exchange","type":"article-journal","volume":"6"},"uris":["http://www.mendeley.com/documents/?uuid=ad889b79-0f02-4d18-b374-33587ead8a59"]}],"mendeley":{"formattedCitation":"(Al-Nimer &amp; Al-sliha, 2015)","manualFormatting":"Al-Nimer &amp; Al-sliha, 2015","plainTextFormattedCitation":"(Al-Nimer &amp; Al-sliha, 2015)","previouslyFormattedCitation":"(Al-Nimer &amp; Al-sliha, 2015)"},"properties":{"noteIndex":0},"schema":"https://github.com/citation-style-language/schema/raw/master/csl-citation.json"}</w:instrText>
      </w:r>
      <w:r w:rsidR="00447B92" w:rsidRPr="0022305D">
        <w:rPr>
          <w:rFonts w:asciiTheme="majorHAnsi" w:hAnsiTheme="majorHAnsi" w:cstheme="majorHAnsi"/>
          <w:sz w:val="24"/>
          <w:szCs w:val="24"/>
        </w:rPr>
        <w:fldChar w:fldCharType="separate"/>
      </w:r>
      <w:r w:rsidR="00447B92" w:rsidRPr="0022305D">
        <w:rPr>
          <w:rFonts w:asciiTheme="majorHAnsi" w:hAnsiTheme="majorHAnsi" w:cstheme="majorHAnsi"/>
          <w:noProof/>
          <w:sz w:val="24"/>
          <w:szCs w:val="24"/>
        </w:rPr>
        <w:t>Al-Nimer &amp; Al-sliha, 2015</w:t>
      </w:r>
      <w:r w:rsidR="00447B92" w:rsidRPr="0022305D">
        <w:rPr>
          <w:rFonts w:asciiTheme="majorHAnsi" w:hAnsiTheme="majorHAnsi" w:cstheme="majorHAnsi"/>
          <w:sz w:val="24"/>
          <w:szCs w:val="24"/>
        </w:rPr>
        <w:fldChar w:fldCharType="end"/>
      </w:r>
      <w:r w:rsidR="00447B92" w:rsidRPr="0022305D">
        <w:rPr>
          <w:rFonts w:asciiTheme="majorHAnsi" w:hAnsiTheme="majorHAnsi" w:cstheme="majorHAnsi"/>
          <w:sz w:val="24"/>
          <w:szCs w:val="24"/>
        </w:rPr>
        <w:t xml:space="preserve">; </w:t>
      </w:r>
      <w:r w:rsidR="00447B92" w:rsidRPr="0022305D">
        <w:rPr>
          <w:rFonts w:asciiTheme="majorHAnsi" w:hAnsiTheme="majorHAnsi" w:cstheme="majorHAnsi"/>
          <w:sz w:val="24"/>
          <w:szCs w:val="24"/>
        </w:rPr>
        <w:fldChar w:fldCharType="begin" w:fldLock="1"/>
      </w:r>
      <w:r w:rsidR="00447B92" w:rsidRPr="0022305D">
        <w:rPr>
          <w:rFonts w:asciiTheme="majorHAnsi" w:hAnsiTheme="majorHAnsi" w:cstheme="majorHAnsi"/>
          <w:sz w:val="24"/>
          <w:szCs w:val="24"/>
        </w:rPr>
        <w:instrText>ADDIN CSL_CITATION {"citationItems":[{"id":"ITEM-1","itemData":{"abstract":"This paper presents an analysis which explains the impact of two distinct forms of leverage that arises due to the financing activities and operational activities, upon the profitability and market performance of a firm. The sample consists of twenty eight listed companies in the manufacturing sector of Colombo Stock Exchange, and data is gathered for the period 2008-2012. Study discusses the explanatory power of Financial Liability Leverage (FLEV), Operating Liability Leverage (OLLEV), and Total Leverage (TLEV) on Profitability and Market Performance. While profitability is measured by Return on Equity (ROE), Return on Assets (ROA) and Return on Net Operating Assets (RONOA), market performance is proxied by Price to Book value ratio (PB), Price Earnings ratio (PE), Market Capitalization (LGMCAP) and Tobin’s Q. Panel regression analysis is employed where fixed effects and random effects are tested to select the best suited model. The findings revealed that relationship between leverage and profitability best describes by the RONOA model and where OLLEV and FLEV exhibit a positive significant impact on the RONOA. While FLEV affects the ROA negatively and significantly, there is a negative significant relationship between TLEV and ROE. Only LGMCAP is captured by OLLEV and TLEV positively and negatively respectively. Accordingly LGMCAP model is the best suited model to explain the relationship between leverage and market performance","author":[{"dropping-particle":"","family":"Kumara","given":"Emil Sudath","non-dropping-particle":"","parse-names":false,"suffix":""},{"dropping-particle":"","family":"Samarakoon","given":"","non-dropping-particle":"","parse-names":false,"suffix":""}],"container-title":"Journal of Accountancy and Finance, 1-1;","id":"ITEM-1","issue":"1","issued":{"date-parts":[["2014"]]},"page":"76-87.","title":"Effect of leverage on profitability and market performance in the manufacturing sector of Sri Lanka: A panel regression analysis.","type":"article-journal","volume":"1"},"uris":["http://www.mendeley.com/documents/?uuid=13904257-29c4-42de-b78b-82d606551ef2"]}],"mendeley":{"formattedCitation":"(Kumara &amp; Samarakoon, 2014)","manualFormatting":"Kumara &amp; Samarakoon, 2014)","plainTextFormattedCitation":"(Kumara &amp; Samarakoon, 2014)","previouslyFormattedCitation":"(Kumara &amp; Samarakoon, 2014)"},"properties":{"noteIndex":0},"schema":"https://github.com/citation-style-language/schema/raw/master/csl-citation.json"}</w:instrText>
      </w:r>
      <w:r w:rsidR="00447B92" w:rsidRPr="0022305D">
        <w:rPr>
          <w:rFonts w:asciiTheme="majorHAnsi" w:hAnsiTheme="majorHAnsi" w:cstheme="majorHAnsi"/>
          <w:sz w:val="24"/>
          <w:szCs w:val="24"/>
        </w:rPr>
        <w:fldChar w:fldCharType="separate"/>
      </w:r>
      <w:r w:rsidR="00447B92" w:rsidRPr="0022305D">
        <w:rPr>
          <w:rFonts w:asciiTheme="majorHAnsi" w:hAnsiTheme="majorHAnsi" w:cstheme="majorHAnsi"/>
          <w:noProof/>
          <w:sz w:val="24"/>
          <w:szCs w:val="24"/>
        </w:rPr>
        <w:t>Kumara &amp; Samarakoon, 2014)</w:t>
      </w:r>
      <w:r w:rsidR="00447B92" w:rsidRPr="0022305D">
        <w:rPr>
          <w:rFonts w:asciiTheme="majorHAnsi" w:hAnsiTheme="majorHAnsi" w:cstheme="majorHAnsi"/>
          <w:sz w:val="24"/>
          <w:szCs w:val="24"/>
        </w:rPr>
        <w:fldChar w:fldCharType="end"/>
      </w:r>
      <w:r w:rsidR="00447B92" w:rsidRPr="0022305D">
        <w:rPr>
          <w:rFonts w:asciiTheme="majorHAnsi" w:hAnsiTheme="majorHAnsi" w:cstheme="majorHAnsi"/>
          <w:sz w:val="24"/>
          <w:szCs w:val="24"/>
        </w:rPr>
        <w:t>. This study calculated return on assets by dividing net profit by assets of commercial banks in Kenya. Return on equity was measured by dividing net profit by shareholders’ equity of commercial banks in Kenya.</w:t>
      </w:r>
    </w:p>
    <w:p w14:paraId="5549F842" w14:textId="77777777" w:rsidR="00AB63A4" w:rsidRDefault="00AB63A4" w:rsidP="00C37718">
      <w:pPr>
        <w:pStyle w:val="Heading2"/>
      </w:pPr>
    </w:p>
    <w:p w14:paraId="08AD0251" w14:textId="4A9F1DE0" w:rsidR="00380296" w:rsidRPr="00C553FC" w:rsidRDefault="00F6208D" w:rsidP="004478B6">
      <w:pPr>
        <w:pStyle w:val="Heading2"/>
        <w:jc w:val="left"/>
        <w:rPr>
          <w:sz w:val="28"/>
          <w:szCs w:val="28"/>
        </w:rPr>
      </w:pPr>
      <w:bookmarkStart w:id="64" w:name="_Toc78205798"/>
      <w:r w:rsidRPr="00C553FC">
        <w:rPr>
          <w:sz w:val="28"/>
          <w:szCs w:val="28"/>
        </w:rPr>
        <w:t>D</w:t>
      </w:r>
      <w:r w:rsidR="00C37718" w:rsidRPr="00C553FC">
        <w:rPr>
          <w:sz w:val="28"/>
          <w:szCs w:val="28"/>
        </w:rPr>
        <w:t>ata analysis</w:t>
      </w:r>
      <w:bookmarkEnd w:id="64"/>
    </w:p>
    <w:p w14:paraId="200D0727" w14:textId="4220E68A" w:rsidR="00447B92" w:rsidRDefault="00380296" w:rsidP="00447B92">
      <w:pPr>
        <w:pStyle w:val="Default"/>
        <w:spacing w:line="480" w:lineRule="auto"/>
        <w:rPr>
          <w:rFonts w:asciiTheme="majorHAnsi" w:hAnsiTheme="majorHAnsi" w:cstheme="majorHAnsi"/>
          <w:color w:val="auto"/>
        </w:rPr>
      </w:pPr>
      <w:r w:rsidRPr="0022305D">
        <w:rPr>
          <w:rFonts w:asciiTheme="majorHAnsi" w:hAnsiTheme="majorHAnsi" w:cstheme="majorHAnsi"/>
          <w:color w:val="auto"/>
        </w:rPr>
        <w:tab/>
      </w:r>
      <w:r w:rsidR="00A41B6E">
        <w:rPr>
          <w:rFonts w:asciiTheme="majorHAnsi" w:hAnsiTheme="majorHAnsi" w:cstheme="majorHAnsi"/>
          <w:color w:val="auto"/>
        </w:rPr>
        <w:t xml:space="preserve">In order to address the research questions of this study, </w:t>
      </w:r>
      <w:r w:rsidR="00447B92" w:rsidRPr="0022305D">
        <w:rPr>
          <w:rFonts w:asciiTheme="majorHAnsi" w:hAnsiTheme="majorHAnsi" w:cstheme="majorHAnsi"/>
          <w:color w:val="auto"/>
        </w:rPr>
        <w:t xml:space="preserve">data was analyzed using the Statistical Package for Social Sciences (SPSS) version 20 </w:t>
      </w:r>
      <w:r w:rsidR="00447B92" w:rsidRPr="0022305D">
        <w:rPr>
          <w:rFonts w:asciiTheme="majorHAnsi" w:hAnsiTheme="majorHAnsi" w:cstheme="majorHAnsi"/>
        </w:rPr>
        <w:t>software</w:t>
      </w:r>
      <w:r w:rsidR="00447B92" w:rsidRPr="0022305D">
        <w:rPr>
          <w:rFonts w:asciiTheme="majorHAnsi" w:hAnsiTheme="majorHAnsi" w:cstheme="majorHAnsi"/>
          <w:color w:val="auto"/>
        </w:rPr>
        <w:t xml:space="preserve">. </w:t>
      </w:r>
      <w:r w:rsidR="00447B92" w:rsidRPr="0022305D">
        <w:rPr>
          <w:rFonts w:asciiTheme="majorHAnsi" w:hAnsiTheme="majorHAnsi" w:cstheme="majorHAnsi"/>
        </w:rPr>
        <w:t>SPSS was preferred because of its ability to cover a wide range of most statistical and graphical data analysis and is systematic. Descriptive statistics, correlations and regressions was used.</w:t>
      </w:r>
      <w:r w:rsidR="00447B92" w:rsidRPr="0022305D">
        <w:rPr>
          <w:rFonts w:asciiTheme="majorHAnsi" w:hAnsiTheme="majorHAnsi" w:cstheme="majorHAnsi"/>
          <w:sz w:val="30"/>
          <w:szCs w:val="30"/>
        </w:rPr>
        <w:t xml:space="preserve"> </w:t>
      </w:r>
      <w:r w:rsidR="00447B92" w:rsidRPr="0022305D">
        <w:rPr>
          <w:rFonts w:asciiTheme="majorHAnsi" w:hAnsiTheme="majorHAnsi" w:cstheme="majorHAnsi"/>
        </w:rPr>
        <w:t>Coefficient of multiple regressions was computed to establish the proportion of variation in return on assets that are explained by selected ratios.</w:t>
      </w:r>
      <w:r w:rsidR="00A41B6E">
        <w:rPr>
          <w:rFonts w:asciiTheme="majorHAnsi" w:hAnsiTheme="majorHAnsi" w:cstheme="majorHAnsi"/>
        </w:rPr>
        <w:t xml:space="preserve"> </w:t>
      </w:r>
      <w:r w:rsidR="00447B92" w:rsidRPr="0022305D">
        <w:rPr>
          <w:rFonts w:asciiTheme="majorHAnsi" w:hAnsiTheme="majorHAnsi" w:cstheme="majorHAnsi"/>
          <w:color w:val="auto"/>
        </w:rPr>
        <w:t>The statistical tool that was used for each research question is indicated below:</w:t>
      </w:r>
    </w:p>
    <w:p w14:paraId="61D8B95A" w14:textId="77777777" w:rsidR="00085B61" w:rsidRPr="0022305D" w:rsidRDefault="00085B61" w:rsidP="00447B92">
      <w:pPr>
        <w:pStyle w:val="Default"/>
        <w:spacing w:line="480" w:lineRule="auto"/>
        <w:rPr>
          <w:rFonts w:asciiTheme="majorHAnsi" w:hAnsiTheme="majorHAnsi" w:cstheme="majorHAnsi"/>
          <w:color w:val="auto"/>
        </w:rPr>
      </w:pPr>
    </w:p>
    <w:p w14:paraId="17823618" w14:textId="5977FE8F" w:rsidR="00447B92" w:rsidRPr="0022305D" w:rsidRDefault="00447B92" w:rsidP="00447B92">
      <w:pPr>
        <w:pStyle w:val="Caption"/>
        <w:keepNext/>
        <w:rPr>
          <w:rFonts w:asciiTheme="majorHAnsi" w:hAnsiTheme="majorHAnsi" w:cstheme="majorHAnsi"/>
          <w:i w:val="0"/>
          <w:iCs w:val="0"/>
          <w:color w:val="auto"/>
          <w:sz w:val="24"/>
          <w:szCs w:val="24"/>
        </w:rPr>
      </w:pPr>
      <w:bookmarkStart w:id="65" w:name="_Toc75805740"/>
      <w:bookmarkStart w:id="66" w:name="_Toc78205369"/>
      <w:r w:rsidRPr="0022305D">
        <w:rPr>
          <w:rFonts w:asciiTheme="majorHAnsi" w:hAnsiTheme="majorHAnsi" w:cstheme="majorHAnsi"/>
          <w:i w:val="0"/>
          <w:iCs w:val="0"/>
          <w:color w:val="auto"/>
          <w:sz w:val="24"/>
          <w:szCs w:val="24"/>
        </w:rPr>
        <w:t xml:space="preserve">Table </w:t>
      </w:r>
      <w:r w:rsidRPr="0022305D">
        <w:rPr>
          <w:rFonts w:asciiTheme="majorHAnsi" w:hAnsiTheme="majorHAnsi" w:cstheme="majorHAnsi"/>
          <w:i w:val="0"/>
          <w:iCs w:val="0"/>
          <w:color w:val="auto"/>
          <w:sz w:val="24"/>
          <w:szCs w:val="24"/>
        </w:rPr>
        <w:fldChar w:fldCharType="begin"/>
      </w:r>
      <w:r w:rsidRPr="0022305D">
        <w:rPr>
          <w:rFonts w:asciiTheme="majorHAnsi" w:hAnsiTheme="majorHAnsi" w:cstheme="majorHAnsi"/>
          <w:i w:val="0"/>
          <w:iCs w:val="0"/>
          <w:color w:val="auto"/>
          <w:sz w:val="24"/>
          <w:szCs w:val="24"/>
        </w:rPr>
        <w:instrText xml:space="preserve"> SEQ Table \* ARABIC </w:instrText>
      </w:r>
      <w:r w:rsidRPr="0022305D">
        <w:rPr>
          <w:rFonts w:asciiTheme="majorHAnsi" w:hAnsiTheme="majorHAnsi" w:cstheme="majorHAnsi"/>
          <w:i w:val="0"/>
          <w:iCs w:val="0"/>
          <w:color w:val="auto"/>
          <w:sz w:val="24"/>
          <w:szCs w:val="24"/>
        </w:rPr>
        <w:fldChar w:fldCharType="separate"/>
      </w:r>
      <w:r w:rsidR="00392CA8">
        <w:rPr>
          <w:rFonts w:asciiTheme="majorHAnsi" w:hAnsiTheme="majorHAnsi" w:cstheme="majorHAnsi"/>
          <w:i w:val="0"/>
          <w:iCs w:val="0"/>
          <w:noProof/>
          <w:color w:val="auto"/>
          <w:sz w:val="24"/>
          <w:szCs w:val="24"/>
        </w:rPr>
        <w:t>3</w:t>
      </w:r>
      <w:r w:rsidRPr="0022305D">
        <w:rPr>
          <w:rFonts w:asciiTheme="majorHAnsi" w:hAnsiTheme="majorHAnsi" w:cstheme="majorHAnsi"/>
          <w:i w:val="0"/>
          <w:iCs w:val="0"/>
          <w:color w:val="auto"/>
          <w:sz w:val="24"/>
          <w:szCs w:val="24"/>
        </w:rPr>
        <w:fldChar w:fldCharType="end"/>
      </w:r>
      <w:r w:rsidRPr="0022305D">
        <w:rPr>
          <w:rFonts w:asciiTheme="majorHAnsi" w:hAnsiTheme="majorHAnsi" w:cstheme="majorHAnsi"/>
          <w:i w:val="0"/>
          <w:iCs w:val="0"/>
          <w:color w:val="auto"/>
          <w:sz w:val="24"/>
          <w:szCs w:val="24"/>
        </w:rPr>
        <w:t>.0</w:t>
      </w:r>
      <w:r w:rsidR="00B173B9">
        <w:rPr>
          <w:rFonts w:asciiTheme="majorHAnsi" w:hAnsiTheme="majorHAnsi" w:cstheme="majorHAnsi"/>
          <w:i w:val="0"/>
          <w:iCs w:val="0"/>
          <w:color w:val="auto"/>
          <w:sz w:val="24"/>
          <w:szCs w:val="24"/>
        </w:rPr>
        <w:t xml:space="preserve"> </w:t>
      </w:r>
      <w:r w:rsidRPr="00C57EC2">
        <w:rPr>
          <w:rFonts w:asciiTheme="majorHAnsi" w:hAnsiTheme="majorHAnsi" w:cstheme="majorHAnsi"/>
          <w:color w:val="auto"/>
          <w:sz w:val="24"/>
          <w:szCs w:val="24"/>
        </w:rPr>
        <w:t>Statistical tool</w:t>
      </w:r>
      <w:bookmarkEnd w:id="65"/>
      <w:bookmarkEnd w:id="66"/>
    </w:p>
    <w:tbl>
      <w:tblPr>
        <w:tblStyle w:val="TableGrid"/>
        <w:tblW w:w="10558" w:type="dxa"/>
        <w:tblInd w:w="-590" w:type="dxa"/>
        <w:tblLook w:val="04A0" w:firstRow="1" w:lastRow="0" w:firstColumn="1" w:lastColumn="0" w:noHBand="0" w:noVBand="1"/>
      </w:tblPr>
      <w:tblGrid>
        <w:gridCol w:w="510"/>
        <w:gridCol w:w="5060"/>
        <w:gridCol w:w="4988"/>
      </w:tblGrid>
      <w:tr w:rsidR="00447B92" w:rsidRPr="0022305D" w14:paraId="7BDA1BB3" w14:textId="77777777" w:rsidTr="00583CA1">
        <w:trPr>
          <w:trHeight w:val="546"/>
        </w:trPr>
        <w:tc>
          <w:tcPr>
            <w:tcW w:w="488" w:type="dxa"/>
          </w:tcPr>
          <w:p w14:paraId="796206BD" w14:textId="77777777" w:rsidR="00447B92" w:rsidRPr="0022305D" w:rsidRDefault="00447B92" w:rsidP="00A52602">
            <w:pPr>
              <w:pStyle w:val="Default"/>
              <w:spacing w:line="480" w:lineRule="auto"/>
              <w:rPr>
                <w:rFonts w:asciiTheme="majorHAnsi" w:hAnsiTheme="majorHAnsi" w:cstheme="majorHAnsi"/>
                <w:color w:val="auto"/>
              </w:rPr>
            </w:pPr>
            <w:r w:rsidRPr="0022305D">
              <w:rPr>
                <w:rFonts w:asciiTheme="majorHAnsi" w:hAnsiTheme="majorHAnsi" w:cstheme="majorHAnsi"/>
                <w:color w:val="auto"/>
              </w:rPr>
              <w:t>No</w:t>
            </w:r>
          </w:p>
        </w:tc>
        <w:tc>
          <w:tcPr>
            <w:tcW w:w="5071" w:type="dxa"/>
          </w:tcPr>
          <w:p w14:paraId="40A98090" w14:textId="77777777" w:rsidR="00447B92" w:rsidRPr="0022305D" w:rsidRDefault="00447B92" w:rsidP="00A52602">
            <w:pPr>
              <w:pStyle w:val="Default"/>
              <w:spacing w:line="480" w:lineRule="auto"/>
              <w:rPr>
                <w:rFonts w:asciiTheme="majorHAnsi" w:hAnsiTheme="majorHAnsi" w:cstheme="majorHAnsi"/>
                <w:color w:val="auto"/>
              </w:rPr>
            </w:pPr>
            <w:r w:rsidRPr="0022305D">
              <w:rPr>
                <w:rFonts w:asciiTheme="majorHAnsi" w:hAnsiTheme="majorHAnsi" w:cstheme="majorHAnsi"/>
                <w:color w:val="auto"/>
              </w:rPr>
              <w:t>Question</w:t>
            </w:r>
          </w:p>
        </w:tc>
        <w:tc>
          <w:tcPr>
            <w:tcW w:w="4999" w:type="dxa"/>
          </w:tcPr>
          <w:p w14:paraId="41B5F08D" w14:textId="77777777" w:rsidR="00447B92" w:rsidRPr="0022305D" w:rsidRDefault="00447B92" w:rsidP="00A52602">
            <w:pPr>
              <w:pStyle w:val="Default"/>
              <w:spacing w:line="480" w:lineRule="auto"/>
              <w:rPr>
                <w:rFonts w:asciiTheme="majorHAnsi" w:hAnsiTheme="majorHAnsi" w:cstheme="majorHAnsi"/>
                <w:color w:val="auto"/>
              </w:rPr>
            </w:pPr>
            <w:r w:rsidRPr="0022305D">
              <w:rPr>
                <w:rFonts w:asciiTheme="majorHAnsi" w:hAnsiTheme="majorHAnsi" w:cstheme="majorHAnsi"/>
                <w:color w:val="auto"/>
              </w:rPr>
              <w:t>Statistical tool</w:t>
            </w:r>
          </w:p>
        </w:tc>
      </w:tr>
      <w:tr w:rsidR="00447B92" w:rsidRPr="0022305D" w14:paraId="0E41B9E2" w14:textId="77777777" w:rsidTr="00583CA1">
        <w:trPr>
          <w:trHeight w:val="1684"/>
        </w:trPr>
        <w:tc>
          <w:tcPr>
            <w:tcW w:w="488" w:type="dxa"/>
          </w:tcPr>
          <w:p w14:paraId="796590FE" w14:textId="77777777" w:rsidR="00447B92" w:rsidRPr="0022305D" w:rsidRDefault="00447B92" w:rsidP="00A52602">
            <w:pPr>
              <w:pStyle w:val="Default"/>
              <w:spacing w:line="480" w:lineRule="auto"/>
              <w:rPr>
                <w:rFonts w:asciiTheme="majorHAnsi" w:hAnsiTheme="majorHAnsi" w:cstheme="majorHAnsi"/>
                <w:color w:val="auto"/>
              </w:rPr>
            </w:pPr>
            <w:r w:rsidRPr="0022305D">
              <w:rPr>
                <w:rFonts w:asciiTheme="majorHAnsi" w:hAnsiTheme="majorHAnsi" w:cstheme="majorHAnsi"/>
                <w:color w:val="auto"/>
              </w:rPr>
              <w:t>1</w:t>
            </w:r>
          </w:p>
        </w:tc>
        <w:tc>
          <w:tcPr>
            <w:tcW w:w="5071" w:type="dxa"/>
          </w:tcPr>
          <w:p w14:paraId="487860ED" w14:textId="1563012C" w:rsidR="00447B92" w:rsidRPr="0022305D" w:rsidRDefault="00447B92" w:rsidP="00A52602">
            <w:pPr>
              <w:pStyle w:val="Default"/>
              <w:spacing w:line="480" w:lineRule="auto"/>
              <w:rPr>
                <w:rFonts w:asciiTheme="majorHAnsi" w:hAnsiTheme="majorHAnsi" w:cstheme="majorHAnsi"/>
                <w:color w:val="auto"/>
              </w:rPr>
            </w:pPr>
            <w:r w:rsidRPr="0022305D">
              <w:rPr>
                <w:rFonts w:asciiTheme="majorHAnsi" w:hAnsiTheme="majorHAnsi" w:cstheme="majorHAnsi"/>
                <w:color w:val="auto"/>
              </w:rPr>
              <w:t xml:space="preserve">What is the level of solvency of commercial banks in Kenya in terms of </w:t>
            </w:r>
            <w:r w:rsidR="00CB2CDC">
              <w:rPr>
                <w:rFonts w:asciiTheme="majorHAnsi" w:hAnsiTheme="majorHAnsi" w:cstheme="majorHAnsi"/>
                <w:color w:val="auto"/>
              </w:rPr>
              <w:t>total debt to total assets ratio</w:t>
            </w:r>
            <w:r w:rsidRPr="0022305D">
              <w:rPr>
                <w:rFonts w:asciiTheme="majorHAnsi" w:hAnsiTheme="majorHAnsi" w:cstheme="majorHAnsi"/>
                <w:color w:val="auto"/>
              </w:rPr>
              <w:t xml:space="preserve"> and </w:t>
            </w:r>
            <w:r w:rsidR="00BE06BC">
              <w:rPr>
                <w:rFonts w:asciiTheme="majorHAnsi" w:hAnsiTheme="majorHAnsi" w:cstheme="majorHAnsi"/>
                <w:color w:val="auto"/>
              </w:rPr>
              <w:t>total debt to equity</w:t>
            </w:r>
            <w:r w:rsidRPr="0022305D">
              <w:rPr>
                <w:rFonts w:asciiTheme="majorHAnsi" w:hAnsiTheme="majorHAnsi" w:cstheme="majorHAnsi"/>
                <w:color w:val="auto"/>
              </w:rPr>
              <w:t xml:space="preserve"> ratio?</w:t>
            </w:r>
          </w:p>
        </w:tc>
        <w:tc>
          <w:tcPr>
            <w:tcW w:w="4999" w:type="dxa"/>
          </w:tcPr>
          <w:p w14:paraId="4D2B394A" w14:textId="77777777" w:rsidR="00447B92" w:rsidRPr="0022305D" w:rsidRDefault="00447B92" w:rsidP="00A52602">
            <w:pPr>
              <w:pStyle w:val="Default"/>
              <w:spacing w:line="480" w:lineRule="auto"/>
              <w:rPr>
                <w:rFonts w:asciiTheme="majorHAnsi" w:hAnsiTheme="majorHAnsi" w:cstheme="majorHAnsi"/>
                <w:color w:val="auto"/>
              </w:rPr>
            </w:pPr>
            <w:r w:rsidRPr="0022305D">
              <w:rPr>
                <w:rFonts w:asciiTheme="majorHAnsi" w:hAnsiTheme="majorHAnsi" w:cstheme="majorHAnsi"/>
                <w:color w:val="auto"/>
              </w:rPr>
              <w:t>Descriptive statistics-mean</w:t>
            </w:r>
          </w:p>
        </w:tc>
      </w:tr>
      <w:tr w:rsidR="00447B92" w:rsidRPr="0022305D" w14:paraId="103C57FF" w14:textId="77777777" w:rsidTr="00583CA1">
        <w:trPr>
          <w:trHeight w:val="1669"/>
        </w:trPr>
        <w:tc>
          <w:tcPr>
            <w:tcW w:w="488" w:type="dxa"/>
          </w:tcPr>
          <w:p w14:paraId="0A84B918" w14:textId="77777777" w:rsidR="00447B92" w:rsidRPr="0022305D" w:rsidRDefault="00447B92" w:rsidP="00A52602">
            <w:pPr>
              <w:pStyle w:val="Default"/>
              <w:spacing w:line="480" w:lineRule="auto"/>
              <w:rPr>
                <w:rFonts w:asciiTheme="majorHAnsi" w:hAnsiTheme="majorHAnsi" w:cstheme="majorHAnsi"/>
                <w:color w:val="auto"/>
              </w:rPr>
            </w:pPr>
            <w:r w:rsidRPr="0022305D">
              <w:rPr>
                <w:rFonts w:asciiTheme="majorHAnsi" w:hAnsiTheme="majorHAnsi" w:cstheme="majorHAnsi"/>
                <w:color w:val="auto"/>
              </w:rPr>
              <w:t>2</w:t>
            </w:r>
          </w:p>
        </w:tc>
        <w:tc>
          <w:tcPr>
            <w:tcW w:w="5071" w:type="dxa"/>
          </w:tcPr>
          <w:p w14:paraId="20BD84B8" w14:textId="77777777" w:rsidR="00447B92" w:rsidRPr="0022305D" w:rsidRDefault="00447B92" w:rsidP="00A52602">
            <w:pPr>
              <w:pStyle w:val="Default"/>
              <w:spacing w:line="480" w:lineRule="auto"/>
              <w:rPr>
                <w:rFonts w:asciiTheme="majorHAnsi" w:hAnsiTheme="majorHAnsi" w:cstheme="majorHAnsi"/>
                <w:color w:val="auto"/>
              </w:rPr>
            </w:pPr>
            <w:r w:rsidRPr="0022305D">
              <w:rPr>
                <w:rFonts w:asciiTheme="majorHAnsi" w:hAnsiTheme="majorHAnsi" w:cstheme="majorHAnsi"/>
                <w:color w:val="auto"/>
              </w:rPr>
              <w:t>What is the level of profitability of commercial banks in Kenya in terms of return on assets and return on equity?</w:t>
            </w:r>
          </w:p>
        </w:tc>
        <w:tc>
          <w:tcPr>
            <w:tcW w:w="4999" w:type="dxa"/>
          </w:tcPr>
          <w:p w14:paraId="219946C3" w14:textId="77777777" w:rsidR="00447B92" w:rsidRPr="0022305D" w:rsidRDefault="00447B92" w:rsidP="00A52602">
            <w:pPr>
              <w:pStyle w:val="Default"/>
              <w:spacing w:line="480" w:lineRule="auto"/>
              <w:rPr>
                <w:rFonts w:asciiTheme="majorHAnsi" w:hAnsiTheme="majorHAnsi" w:cstheme="majorHAnsi"/>
                <w:color w:val="auto"/>
              </w:rPr>
            </w:pPr>
            <w:r w:rsidRPr="0022305D">
              <w:rPr>
                <w:rFonts w:asciiTheme="majorHAnsi" w:hAnsiTheme="majorHAnsi" w:cstheme="majorHAnsi"/>
                <w:color w:val="auto"/>
              </w:rPr>
              <w:t>Descriptive statistics-mean</w:t>
            </w:r>
          </w:p>
        </w:tc>
      </w:tr>
      <w:tr w:rsidR="00447B92" w:rsidRPr="0022305D" w14:paraId="671C4D21" w14:textId="77777777" w:rsidTr="00583CA1">
        <w:trPr>
          <w:trHeight w:val="1108"/>
        </w:trPr>
        <w:tc>
          <w:tcPr>
            <w:tcW w:w="488" w:type="dxa"/>
          </w:tcPr>
          <w:p w14:paraId="76088B1B" w14:textId="77777777" w:rsidR="00447B92" w:rsidRPr="0022305D" w:rsidRDefault="00447B92" w:rsidP="00A52602">
            <w:pPr>
              <w:pStyle w:val="Default"/>
              <w:spacing w:line="480" w:lineRule="auto"/>
              <w:rPr>
                <w:rFonts w:asciiTheme="majorHAnsi" w:hAnsiTheme="majorHAnsi" w:cstheme="majorHAnsi"/>
                <w:color w:val="auto"/>
              </w:rPr>
            </w:pPr>
            <w:r w:rsidRPr="0022305D">
              <w:rPr>
                <w:rFonts w:asciiTheme="majorHAnsi" w:hAnsiTheme="majorHAnsi" w:cstheme="majorHAnsi"/>
                <w:color w:val="auto"/>
              </w:rPr>
              <w:t>3</w:t>
            </w:r>
          </w:p>
        </w:tc>
        <w:tc>
          <w:tcPr>
            <w:tcW w:w="5071" w:type="dxa"/>
          </w:tcPr>
          <w:p w14:paraId="40CD70DC" w14:textId="77777777" w:rsidR="00447B92" w:rsidRPr="0022305D" w:rsidRDefault="00447B92" w:rsidP="00A52602">
            <w:pPr>
              <w:pStyle w:val="Default"/>
              <w:spacing w:line="480" w:lineRule="auto"/>
              <w:rPr>
                <w:rFonts w:asciiTheme="majorHAnsi" w:hAnsiTheme="majorHAnsi" w:cstheme="majorHAnsi"/>
                <w:color w:val="auto"/>
              </w:rPr>
            </w:pPr>
            <w:r w:rsidRPr="0022305D">
              <w:rPr>
                <w:rFonts w:asciiTheme="majorHAnsi" w:hAnsiTheme="majorHAnsi" w:cstheme="majorHAnsi"/>
                <w:color w:val="auto"/>
              </w:rPr>
              <w:t>What is the relationship between solvency and profitability of commercial banks in Kenya?</w:t>
            </w:r>
          </w:p>
        </w:tc>
        <w:tc>
          <w:tcPr>
            <w:tcW w:w="4999" w:type="dxa"/>
          </w:tcPr>
          <w:p w14:paraId="246F910C" w14:textId="77777777" w:rsidR="00447B92" w:rsidRPr="0022305D" w:rsidRDefault="00447B92" w:rsidP="00A52602">
            <w:pPr>
              <w:pStyle w:val="Default"/>
              <w:spacing w:line="480" w:lineRule="auto"/>
              <w:rPr>
                <w:rFonts w:asciiTheme="majorHAnsi" w:hAnsiTheme="majorHAnsi" w:cstheme="majorHAnsi"/>
                <w:color w:val="auto"/>
              </w:rPr>
            </w:pPr>
            <w:r w:rsidRPr="0022305D">
              <w:rPr>
                <w:rFonts w:asciiTheme="majorHAnsi" w:hAnsiTheme="majorHAnsi" w:cstheme="majorHAnsi"/>
                <w:color w:val="auto"/>
              </w:rPr>
              <w:t>Inferential statistic-Correlation and regression</w:t>
            </w:r>
          </w:p>
        </w:tc>
      </w:tr>
    </w:tbl>
    <w:p w14:paraId="703E93AC" w14:textId="777CA746" w:rsidR="00932128" w:rsidRPr="00583CA1" w:rsidRDefault="00447B92" w:rsidP="00EC51E4">
      <w:pPr>
        <w:pStyle w:val="Default"/>
        <w:spacing w:line="480" w:lineRule="auto"/>
        <w:rPr>
          <w:rFonts w:asciiTheme="majorHAnsi" w:hAnsiTheme="majorHAnsi" w:cstheme="majorHAnsi"/>
          <w:bCs/>
          <w:iCs/>
          <w:color w:val="auto"/>
        </w:rPr>
      </w:pPr>
      <w:r w:rsidRPr="0022305D">
        <w:rPr>
          <w:rFonts w:asciiTheme="majorHAnsi" w:hAnsiTheme="majorHAnsi" w:cstheme="majorHAnsi"/>
          <w:bCs/>
          <w:iCs/>
          <w:color w:val="auto"/>
        </w:rPr>
        <w:t>Source: Researcher</w:t>
      </w:r>
      <w:r w:rsidR="008F2614">
        <w:rPr>
          <w:rFonts w:asciiTheme="majorHAnsi" w:hAnsiTheme="majorHAnsi" w:cstheme="majorHAnsi"/>
          <w:bCs/>
          <w:iCs/>
          <w:color w:val="auto"/>
        </w:rPr>
        <w:t xml:space="preserve"> </w:t>
      </w:r>
      <w:r w:rsidR="004B1A2F">
        <w:rPr>
          <w:rFonts w:asciiTheme="majorHAnsi" w:hAnsiTheme="majorHAnsi" w:cstheme="majorHAnsi"/>
          <w:bCs/>
          <w:iCs/>
          <w:color w:val="auto"/>
        </w:rPr>
        <w:t>(2021)</w:t>
      </w:r>
    </w:p>
    <w:p w14:paraId="72FA902E" w14:textId="77777777" w:rsidR="00260D72" w:rsidRPr="00C553FC" w:rsidRDefault="00260D72" w:rsidP="00260D72">
      <w:pPr>
        <w:autoSpaceDE w:val="0"/>
        <w:autoSpaceDN w:val="0"/>
        <w:adjustRightInd w:val="0"/>
        <w:spacing w:after="0" w:line="240" w:lineRule="auto"/>
        <w:rPr>
          <w:rFonts w:asciiTheme="majorHAnsi" w:hAnsiTheme="majorHAnsi" w:cstheme="majorHAnsi"/>
          <w:color w:val="000000"/>
          <w:sz w:val="28"/>
          <w:szCs w:val="28"/>
        </w:rPr>
      </w:pPr>
    </w:p>
    <w:p w14:paraId="6C7247A3" w14:textId="77777777" w:rsidR="00447B92" w:rsidRPr="004478B6" w:rsidRDefault="00447B92" w:rsidP="004478B6">
      <w:pPr>
        <w:pStyle w:val="Heading2"/>
        <w:spacing w:line="480" w:lineRule="auto"/>
        <w:jc w:val="left"/>
        <w:rPr>
          <w:sz w:val="28"/>
          <w:szCs w:val="28"/>
        </w:rPr>
      </w:pPr>
      <w:bookmarkStart w:id="67" w:name="_Toc78205799"/>
      <w:r w:rsidRPr="004478B6">
        <w:rPr>
          <w:sz w:val="28"/>
          <w:szCs w:val="28"/>
        </w:rPr>
        <w:t>Estimated regression model</w:t>
      </w:r>
      <w:bookmarkEnd w:id="67"/>
    </w:p>
    <w:p w14:paraId="773338F0" w14:textId="77777777" w:rsidR="00447B92" w:rsidRPr="0022305D" w:rsidRDefault="00447B92" w:rsidP="00447B92">
      <w:pPr>
        <w:pStyle w:val="Default"/>
        <w:spacing w:line="480" w:lineRule="auto"/>
        <w:rPr>
          <w:rFonts w:asciiTheme="majorHAnsi" w:hAnsiTheme="majorHAnsi" w:cstheme="majorHAnsi"/>
          <w:color w:val="FF0000"/>
        </w:rPr>
      </w:pPr>
      <w:r w:rsidRPr="0022305D">
        <w:rPr>
          <w:rFonts w:asciiTheme="majorHAnsi" w:hAnsiTheme="majorHAnsi" w:cstheme="majorHAnsi"/>
        </w:rPr>
        <w:t>Data for the study was analyzed using multiple regression model.</w:t>
      </w:r>
    </w:p>
    <w:p w14:paraId="031C51CB" w14:textId="77777777" w:rsidR="00447B92" w:rsidRPr="0022305D" w:rsidRDefault="00447B92" w:rsidP="00447B92">
      <w:pPr>
        <w:autoSpaceDE w:val="0"/>
        <w:autoSpaceDN w:val="0"/>
        <w:adjustRightInd w:val="0"/>
        <w:spacing w:after="0" w:line="480" w:lineRule="auto"/>
        <w:rPr>
          <w:rFonts w:asciiTheme="majorHAnsi" w:hAnsiTheme="majorHAnsi" w:cstheme="majorHAnsi"/>
          <w:color w:val="000000"/>
          <w:sz w:val="24"/>
          <w:szCs w:val="24"/>
        </w:rPr>
      </w:pPr>
      <w:r w:rsidRPr="0022305D">
        <w:rPr>
          <w:rFonts w:asciiTheme="majorHAnsi" w:hAnsiTheme="majorHAnsi" w:cstheme="majorHAnsi"/>
          <w:color w:val="000000"/>
          <w:sz w:val="24"/>
          <w:szCs w:val="24"/>
        </w:rPr>
        <w:t xml:space="preserve"> </w:t>
      </w:r>
    </w:p>
    <w:p w14:paraId="707A7CEF" w14:textId="77777777" w:rsidR="00447B92" w:rsidRPr="0022305D" w:rsidRDefault="00447B92" w:rsidP="00447B92">
      <w:pPr>
        <w:autoSpaceDE w:val="0"/>
        <w:autoSpaceDN w:val="0"/>
        <w:adjustRightInd w:val="0"/>
        <w:spacing w:after="0" w:line="480" w:lineRule="auto"/>
        <w:ind w:left="1440"/>
        <w:rPr>
          <w:rFonts w:asciiTheme="majorHAnsi" w:hAnsiTheme="majorHAnsi" w:cstheme="majorHAnsi"/>
          <w:color w:val="000000"/>
          <w:sz w:val="24"/>
          <w:szCs w:val="24"/>
        </w:rPr>
      </w:pPr>
      <w:r w:rsidRPr="0022305D">
        <w:rPr>
          <w:rFonts w:asciiTheme="majorHAnsi" w:hAnsiTheme="majorHAnsi" w:cstheme="majorHAnsi"/>
          <w:color w:val="000000"/>
          <w:sz w:val="24"/>
          <w:szCs w:val="24"/>
        </w:rPr>
        <w:t>Y = β</w:t>
      </w:r>
      <w:r w:rsidRPr="0022305D">
        <w:rPr>
          <w:rFonts w:asciiTheme="majorHAnsi" w:hAnsiTheme="majorHAnsi" w:cstheme="majorHAnsi"/>
          <w:color w:val="000000"/>
          <w:sz w:val="24"/>
          <w:szCs w:val="24"/>
          <w:vertAlign w:val="subscript"/>
        </w:rPr>
        <w:t>0</w:t>
      </w:r>
      <w:r w:rsidRPr="0022305D">
        <w:rPr>
          <w:rFonts w:asciiTheme="majorHAnsi" w:hAnsiTheme="majorHAnsi" w:cstheme="majorHAnsi"/>
          <w:color w:val="000000"/>
          <w:sz w:val="24"/>
          <w:szCs w:val="24"/>
        </w:rPr>
        <w:t>– β</w:t>
      </w:r>
      <w:r w:rsidRPr="0022305D">
        <w:rPr>
          <w:rFonts w:asciiTheme="majorHAnsi" w:hAnsiTheme="majorHAnsi" w:cstheme="majorHAnsi"/>
          <w:color w:val="000000"/>
          <w:sz w:val="24"/>
          <w:szCs w:val="24"/>
          <w:vertAlign w:val="subscript"/>
        </w:rPr>
        <w:t>1</w:t>
      </w:r>
      <w:r w:rsidRPr="0022305D">
        <w:rPr>
          <w:rFonts w:asciiTheme="majorHAnsi" w:hAnsiTheme="majorHAnsi" w:cstheme="majorHAnsi"/>
          <w:color w:val="000000"/>
          <w:sz w:val="24"/>
          <w:szCs w:val="24"/>
        </w:rPr>
        <w:t>(DR) + β</w:t>
      </w:r>
      <w:r w:rsidRPr="0022305D">
        <w:rPr>
          <w:rFonts w:asciiTheme="majorHAnsi" w:hAnsiTheme="majorHAnsi" w:cstheme="majorHAnsi"/>
          <w:color w:val="000000"/>
          <w:sz w:val="24"/>
          <w:szCs w:val="24"/>
          <w:vertAlign w:val="subscript"/>
        </w:rPr>
        <w:t>2</w:t>
      </w:r>
      <w:r w:rsidRPr="0022305D">
        <w:rPr>
          <w:rFonts w:asciiTheme="majorHAnsi" w:hAnsiTheme="majorHAnsi" w:cstheme="majorHAnsi"/>
          <w:color w:val="000000"/>
          <w:sz w:val="24"/>
          <w:szCs w:val="24"/>
        </w:rPr>
        <w:t xml:space="preserve">(DER) + </w:t>
      </w:r>
      <w:r w:rsidRPr="0022305D">
        <w:rPr>
          <w:rFonts w:asciiTheme="majorHAnsi" w:hAnsiTheme="majorHAnsi" w:cstheme="majorHAnsi"/>
          <w:i/>
          <w:iCs/>
          <w:sz w:val="24"/>
          <w:szCs w:val="24"/>
        </w:rPr>
        <w:t>e</w:t>
      </w:r>
    </w:p>
    <w:p w14:paraId="2617D2C4" w14:textId="77777777" w:rsidR="00447B92" w:rsidRPr="0022305D" w:rsidRDefault="00447B92" w:rsidP="00447B92">
      <w:pPr>
        <w:pStyle w:val="Default"/>
        <w:spacing w:line="480" w:lineRule="auto"/>
        <w:rPr>
          <w:rFonts w:asciiTheme="majorHAnsi" w:eastAsiaTheme="minorHAnsi" w:hAnsiTheme="majorHAnsi" w:cstheme="majorHAnsi"/>
        </w:rPr>
      </w:pPr>
      <w:r w:rsidRPr="0022305D">
        <w:rPr>
          <w:rFonts w:asciiTheme="majorHAnsi" w:eastAsiaTheme="minorHAnsi" w:hAnsiTheme="majorHAnsi" w:cstheme="majorHAnsi"/>
        </w:rPr>
        <w:t>Where;</w:t>
      </w:r>
    </w:p>
    <w:p w14:paraId="7AFD7002" w14:textId="77777777" w:rsidR="00447B92" w:rsidRPr="0022305D" w:rsidRDefault="00447B92" w:rsidP="00447B92">
      <w:pPr>
        <w:autoSpaceDE w:val="0"/>
        <w:autoSpaceDN w:val="0"/>
        <w:adjustRightInd w:val="0"/>
        <w:spacing w:after="0" w:line="480" w:lineRule="auto"/>
        <w:rPr>
          <w:rFonts w:asciiTheme="majorHAnsi" w:hAnsiTheme="majorHAnsi" w:cstheme="majorHAnsi"/>
          <w:color w:val="000000"/>
          <w:sz w:val="24"/>
          <w:szCs w:val="24"/>
        </w:rPr>
      </w:pPr>
      <w:r w:rsidRPr="0022305D">
        <w:rPr>
          <w:rFonts w:asciiTheme="majorHAnsi" w:hAnsiTheme="majorHAnsi" w:cstheme="majorHAnsi"/>
          <w:color w:val="000000"/>
          <w:sz w:val="24"/>
          <w:szCs w:val="24"/>
        </w:rPr>
        <w:t>Y= Profitability.</w:t>
      </w:r>
    </w:p>
    <w:p w14:paraId="67BEEF84" w14:textId="77777777" w:rsidR="00447B92" w:rsidRPr="0022305D" w:rsidRDefault="00447B92" w:rsidP="00447B92">
      <w:pPr>
        <w:autoSpaceDE w:val="0"/>
        <w:autoSpaceDN w:val="0"/>
        <w:adjustRightInd w:val="0"/>
        <w:spacing w:after="0" w:line="480" w:lineRule="auto"/>
        <w:rPr>
          <w:rFonts w:asciiTheme="majorHAnsi" w:hAnsiTheme="majorHAnsi" w:cstheme="majorHAnsi"/>
          <w:color w:val="000000"/>
          <w:sz w:val="24"/>
          <w:szCs w:val="24"/>
        </w:rPr>
      </w:pPr>
      <w:r w:rsidRPr="0022305D">
        <w:rPr>
          <w:rFonts w:asciiTheme="majorHAnsi" w:hAnsiTheme="majorHAnsi" w:cstheme="majorHAnsi"/>
          <w:color w:val="000000"/>
          <w:sz w:val="24"/>
          <w:szCs w:val="24"/>
        </w:rPr>
        <w:t>β</w:t>
      </w:r>
      <w:r w:rsidRPr="0022305D">
        <w:rPr>
          <w:rFonts w:asciiTheme="majorHAnsi" w:hAnsiTheme="majorHAnsi" w:cstheme="majorHAnsi"/>
          <w:color w:val="000000"/>
          <w:sz w:val="24"/>
          <w:szCs w:val="24"/>
          <w:vertAlign w:val="subscript"/>
        </w:rPr>
        <w:t>0</w:t>
      </w:r>
      <w:r w:rsidRPr="0022305D">
        <w:rPr>
          <w:rFonts w:asciiTheme="majorHAnsi" w:hAnsiTheme="majorHAnsi" w:cstheme="majorHAnsi"/>
          <w:color w:val="000000"/>
          <w:sz w:val="24"/>
          <w:szCs w:val="24"/>
        </w:rPr>
        <w:t xml:space="preserve"> = constant term.</w:t>
      </w:r>
    </w:p>
    <w:p w14:paraId="22F77F49" w14:textId="15DF3F53" w:rsidR="00447B92" w:rsidRPr="0022305D" w:rsidRDefault="00447B92" w:rsidP="00447B92">
      <w:pPr>
        <w:autoSpaceDE w:val="0"/>
        <w:autoSpaceDN w:val="0"/>
        <w:adjustRightInd w:val="0"/>
        <w:spacing w:after="0" w:line="480" w:lineRule="auto"/>
        <w:rPr>
          <w:rFonts w:asciiTheme="majorHAnsi" w:hAnsiTheme="majorHAnsi" w:cstheme="majorHAnsi"/>
          <w:color w:val="000000"/>
          <w:sz w:val="24"/>
          <w:szCs w:val="24"/>
        </w:rPr>
      </w:pPr>
      <w:r w:rsidRPr="0022305D">
        <w:rPr>
          <w:rFonts w:asciiTheme="majorHAnsi" w:hAnsiTheme="majorHAnsi" w:cstheme="majorHAnsi"/>
          <w:color w:val="000000"/>
          <w:sz w:val="24"/>
          <w:szCs w:val="24"/>
        </w:rPr>
        <w:t>β</w:t>
      </w:r>
      <w:r w:rsidRPr="0022305D">
        <w:rPr>
          <w:rFonts w:asciiTheme="majorHAnsi" w:hAnsiTheme="majorHAnsi" w:cstheme="majorHAnsi"/>
          <w:color w:val="000000"/>
          <w:sz w:val="24"/>
          <w:szCs w:val="24"/>
          <w:vertAlign w:val="subscript"/>
        </w:rPr>
        <w:t>1</w:t>
      </w:r>
      <w:r w:rsidRPr="0022305D">
        <w:rPr>
          <w:rFonts w:asciiTheme="majorHAnsi" w:hAnsiTheme="majorHAnsi" w:cstheme="majorHAnsi"/>
          <w:color w:val="000000"/>
          <w:sz w:val="24"/>
          <w:szCs w:val="24"/>
        </w:rPr>
        <w:t xml:space="preserve"> </w:t>
      </w:r>
      <w:r w:rsidRPr="0022305D">
        <w:rPr>
          <w:rFonts w:asciiTheme="majorHAnsi" w:hAnsiTheme="majorHAnsi" w:cstheme="majorHAnsi"/>
          <w:color w:val="000000"/>
          <w:sz w:val="24"/>
          <w:szCs w:val="24"/>
          <w:vertAlign w:val="subscript"/>
        </w:rPr>
        <w:t xml:space="preserve">= </w:t>
      </w:r>
      <w:r w:rsidRPr="0022305D">
        <w:rPr>
          <w:rFonts w:asciiTheme="majorHAnsi" w:hAnsiTheme="majorHAnsi" w:cstheme="majorHAnsi"/>
          <w:color w:val="000000"/>
          <w:sz w:val="24"/>
          <w:szCs w:val="24"/>
        </w:rPr>
        <w:t xml:space="preserve">Coefficient of </w:t>
      </w:r>
      <w:r w:rsidR="00CB2CDC">
        <w:rPr>
          <w:rFonts w:asciiTheme="majorHAnsi" w:hAnsiTheme="majorHAnsi" w:cstheme="majorHAnsi"/>
          <w:color w:val="000000"/>
          <w:sz w:val="24"/>
          <w:szCs w:val="24"/>
        </w:rPr>
        <w:t>total debt to total assets ratio</w:t>
      </w:r>
      <w:r w:rsidRPr="0022305D">
        <w:rPr>
          <w:rFonts w:asciiTheme="majorHAnsi" w:hAnsiTheme="majorHAnsi" w:cstheme="majorHAnsi"/>
          <w:color w:val="000000"/>
          <w:sz w:val="24"/>
          <w:szCs w:val="24"/>
        </w:rPr>
        <w:t>.</w:t>
      </w:r>
    </w:p>
    <w:p w14:paraId="0BDACF51" w14:textId="6F0390D0" w:rsidR="00447B92" w:rsidRPr="0022305D" w:rsidRDefault="00447B92" w:rsidP="00447B92">
      <w:pPr>
        <w:autoSpaceDE w:val="0"/>
        <w:autoSpaceDN w:val="0"/>
        <w:adjustRightInd w:val="0"/>
        <w:spacing w:after="0" w:line="480" w:lineRule="auto"/>
        <w:rPr>
          <w:rFonts w:asciiTheme="majorHAnsi" w:hAnsiTheme="majorHAnsi" w:cstheme="majorHAnsi"/>
          <w:color w:val="000000"/>
          <w:sz w:val="24"/>
          <w:szCs w:val="24"/>
        </w:rPr>
      </w:pPr>
      <w:r w:rsidRPr="0022305D">
        <w:rPr>
          <w:rFonts w:asciiTheme="majorHAnsi" w:hAnsiTheme="majorHAnsi" w:cstheme="majorHAnsi"/>
          <w:color w:val="000000"/>
          <w:sz w:val="24"/>
          <w:szCs w:val="24"/>
        </w:rPr>
        <w:t>β</w:t>
      </w:r>
      <w:r w:rsidRPr="0022305D">
        <w:rPr>
          <w:rFonts w:asciiTheme="majorHAnsi" w:hAnsiTheme="majorHAnsi" w:cstheme="majorHAnsi"/>
          <w:color w:val="000000"/>
          <w:sz w:val="24"/>
          <w:szCs w:val="24"/>
          <w:vertAlign w:val="subscript"/>
        </w:rPr>
        <w:t xml:space="preserve">2 </w:t>
      </w:r>
      <w:r w:rsidRPr="0022305D">
        <w:rPr>
          <w:rFonts w:asciiTheme="majorHAnsi" w:hAnsiTheme="majorHAnsi" w:cstheme="majorHAnsi"/>
          <w:color w:val="000000"/>
          <w:sz w:val="24"/>
          <w:szCs w:val="24"/>
        </w:rPr>
        <w:t xml:space="preserve">= Coefficient of </w:t>
      </w:r>
      <w:r w:rsidR="00BE06BC">
        <w:rPr>
          <w:rFonts w:asciiTheme="majorHAnsi" w:hAnsiTheme="majorHAnsi" w:cstheme="majorHAnsi"/>
          <w:color w:val="000000"/>
          <w:sz w:val="24"/>
          <w:szCs w:val="24"/>
        </w:rPr>
        <w:t>total debt to equity</w:t>
      </w:r>
      <w:r w:rsidRPr="0022305D">
        <w:rPr>
          <w:rFonts w:asciiTheme="majorHAnsi" w:hAnsiTheme="majorHAnsi" w:cstheme="majorHAnsi"/>
          <w:color w:val="000000"/>
          <w:sz w:val="24"/>
          <w:szCs w:val="24"/>
        </w:rPr>
        <w:t xml:space="preserve"> ratio.</w:t>
      </w:r>
    </w:p>
    <w:p w14:paraId="645007F4" w14:textId="77777777" w:rsidR="00447B92" w:rsidRPr="0022305D" w:rsidRDefault="00447B92" w:rsidP="00447B92">
      <w:pPr>
        <w:autoSpaceDE w:val="0"/>
        <w:autoSpaceDN w:val="0"/>
        <w:adjustRightInd w:val="0"/>
        <w:spacing w:after="0" w:line="480" w:lineRule="auto"/>
        <w:rPr>
          <w:rFonts w:asciiTheme="majorHAnsi" w:hAnsiTheme="majorHAnsi" w:cstheme="majorHAnsi"/>
          <w:color w:val="FF0000"/>
          <w:sz w:val="30"/>
          <w:szCs w:val="30"/>
        </w:rPr>
      </w:pPr>
      <w:r w:rsidRPr="0022305D">
        <w:rPr>
          <w:rFonts w:asciiTheme="majorHAnsi" w:hAnsiTheme="majorHAnsi" w:cstheme="majorHAnsi"/>
          <w:i/>
          <w:iCs/>
          <w:color w:val="000000"/>
          <w:sz w:val="24"/>
          <w:szCs w:val="24"/>
        </w:rPr>
        <w:t>e</w:t>
      </w:r>
      <w:r w:rsidRPr="0022305D">
        <w:rPr>
          <w:rFonts w:asciiTheme="majorHAnsi" w:hAnsiTheme="majorHAnsi" w:cstheme="majorHAnsi"/>
          <w:color w:val="000000"/>
          <w:sz w:val="24"/>
          <w:szCs w:val="24"/>
        </w:rPr>
        <w:t xml:space="preserve">= </w:t>
      </w:r>
      <w:r w:rsidRPr="0022305D">
        <w:rPr>
          <w:rFonts w:asciiTheme="majorHAnsi" w:hAnsiTheme="majorHAnsi" w:cstheme="majorHAnsi"/>
          <w:sz w:val="24"/>
          <w:szCs w:val="24"/>
        </w:rPr>
        <w:t>error term.</w:t>
      </w:r>
    </w:p>
    <w:p w14:paraId="7202CE76" w14:textId="77777777" w:rsidR="0015526C" w:rsidRPr="0022305D" w:rsidRDefault="0015526C" w:rsidP="004B7696">
      <w:pPr>
        <w:pStyle w:val="Default"/>
        <w:spacing w:line="480" w:lineRule="auto"/>
        <w:jc w:val="center"/>
        <w:rPr>
          <w:rFonts w:asciiTheme="majorHAnsi" w:hAnsiTheme="majorHAnsi" w:cstheme="majorHAnsi"/>
          <w:b/>
          <w:iCs/>
          <w:color w:val="auto"/>
          <w:u w:val="single"/>
        </w:rPr>
      </w:pPr>
    </w:p>
    <w:p w14:paraId="1E5B12A5" w14:textId="120BF71A" w:rsidR="00F72251" w:rsidRPr="00C553FC" w:rsidRDefault="009F794B" w:rsidP="004478B6">
      <w:pPr>
        <w:pStyle w:val="Heading2"/>
        <w:spacing w:line="480" w:lineRule="auto"/>
        <w:jc w:val="left"/>
        <w:rPr>
          <w:rFonts w:asciiTheme="majorHAnsi" w:hAnsiTheme="majorHAnsi" w:cstheme="majorHAnsi"/>
          <w:sz w:val="28"/>
          <w:szCs w:val="28"/>
        </w:rPr>
      </w:pPr>
      <w:bookmarkStart w:id="68" w:name="_Toc78205800"/>
      <w:r w:rsidRPr="00C553FC">
        <w:rPr>
          <w:rFonts w:asciiTheme="majorHAnsi" w:hAnsiTheme="majorHAnsi" w:cstheme="majorHAnsi"/>
          <w:sz w:val="28"/>
          <w:szCs w:val="28"/>
        </w:rPr>
        <w:t>Ethical</w:t>
      </w:r>
      <w:r w:rsidR="00C1023E" w:rsidRPr="00C553FC">
        <w:rPr>
          <w:rFonts w:asciiTheme="majorHAnsi" w:hAnsiTheme="majorHAnsi" w:cstheme="majorHAnsi"/>
          <w:sz w:val="28"/>
          <w:szCs w:val="28"/>
        </w:rPr>
        <w:t xml:space="preserve"> </w:t>
      </w:r>
      <w:r w:rsidR="004B1A2F" w:rsidRPr="00C553FC">
        <w:rPr>
          <w:rFonts w:asciiTheme="majorHAnsi" w:hAnsiTheme="majorHAnsi" w:cstheme="majorHAnsi"/>
          <w:sz w:val="28"/>
          <w:szCs w:val="28"/>
        </w:rPr>
        <w:t>c</w:t>
      </w:r>
      <w:r w:rsidR="00C1023E" w:rsidRPr="00C553FC">
        <w:rPr>
          <w:rFonts w:asciiTheme="majorHAnsi" w:hAnsiTheme="majorHAnsi" w:cstheme="majorHAnsi"/>
          <w:sz w:val="28"/>
          <w:szCs w:val="28"/>
        </w:rPr>
        <w:t>onsideration</w:t>
      </w:r>
      <w:bookmarkEnd w:id="68"/>
    </w:p>
    <w:p w14:paraId="260239B2" w14:textId="7365FD61" w:rsidR="00724D10" w:rsidRDefault="00724D10" w:rsidP="00724D10">
      <w:pPr>
        <w:spacing w:after="0" w:line="480" w:lineRule="auto"/>
        <w:ind w:firstLine="720"/>
        <w:rPr>
          <w:rFonts w:asciiTheme="majorHAnsi" w:hAnsiTheme="majorHAnsi" w:cstheme="majorHAnsi"/>
          <w:sz w:val="24"/>
          <w:szCs w:val="24"/>
        </w:rPr>
      </w:pPr>
      <w:r w:rsidRPr="0022305D">
        <w:rPr>
          <w:rFonts w:asciiTheme="majorHAnsi" w:hAnsiTheme="majorHAnsi" w:cstheme="majorHAnsi"/>
          <w:sz w:val="24"/>
          <w:szCs w:val="24"/>
        </w:rPr>
        <w:t>This study was conducted on ethical background. High level of objectivity was maintained in the entire process of this research. To avoid violation of the rights, this study was conducted while taking into account the following ethical issues:</w:t>
      </w:r>
    </w:p>
    <w:p w14:paraId="2AB661F5" w14:textId="77777777" w:rsidR="00583CA1" w:rsidRPr="0022305D" w:rsidRDefault="00583CA1" w:rsidP="00724D10">
      <w:pPr>
        <w:spacing w:after="0" w:line="480" w:lineRule="auto"/>
        <w:ind w:firstLine="720"/>
        <w:rPr>
          <w:rFonts w:asciiTheme="majorHAnsi" w:hAnsiTheme="majorHAnsi" w:cstheme="majorHAnsi"/>
          <w:sz w:val="24"/>
          <w:szCs w:val="24"/>
        </w:rPr>
      </w:pPr>
    </w:p>
    <w:p w14:paraId="3E6C312A" w14:textId="77777777" w:rsidR="00724D10" w:rsidRPr="00C553FC" w:rsidRDefault="00724D10" w:rsidP="004478B6">
      <w:pPr>
        <w:pStyle w:val="Heading2"/>
        <w:spacing w:line="480" w:lineRule="auto"/>
        <w:jc w:val="left"/>
        <w:rPr>
          <w:rFonts w:asciiTheme="majorHAnsi" w:hAnsiTheme="majorHAnsi" w:cstheme="majorHAnsi"/>
          <w:sz w:val="28"/>
          <w:szCs w:val="28"/>
        </w:rPr>
      </w:pPr>
      <w:bookmarkStart w:id="69" w:name="_Toc76494408"/>
      <w:bookmarkStart w:id="70" w:name="_Toc78205801"/>
      <w:r w:rsidRPr="00C553FC">
        <w:rPr>
          <w:rFonts w:asciiTheme="majorHAnsi" w:hAnsiTheme="majorHAnsi" w:cstheme="majorHAnsi"/>
          <w:sz w:val="28"/>
          <w:szCs w:val="28"/>
        </w:rPr>
        <w:t>Authorizations</w:t>
      </w:r>
      <w:bookmarkEnd w:id="69"/>
      <w:bookmarkEnd w:id="70"/>
    </w:p>
    <w:p w14:paraId="57A6E762" w14:textId="77777777" w:rsidR="00724D10" w:rsidRPr="0022305D" w:rsidRDefault="00724D10" w:rsidP="00724D10">
      <w:pPr>
        <w:spacing w:after="0" w:line="480" w:lineRule="auto"/>
        <w:ind w:firstLine="720"/>
        <w:rPr>
          <w:rFonts w:asciiTheme="majorHAnsi" w:hAnsiTheme="majorHAnsi" w:cstheme="majorHAnsi"/>
          <w:sz w:val="24"/>
          <w:szCs w:val="24"/>
        </w:rPr>
      </w:pPr>
      <w:r w:rsidRPr="0022305D">
        <w:rPr>
          <w:rFonts w:asciiTheme="majorHAnsi" w:hAnsiTheme="majorHAnsi" w:cstheme="majorHAnsi"/>
          <w:sz w:val="24"/>
          <w:szCs w:val="24"/>
        </w:rPr>
        <w:t>Authorization to collect data was obtained from the University of Eastern Africa Baraton ethical committee. Also, a research permit was obtained from National Commission for Science, Technology and Innovation (appendix 4) before data collection began. All these authorizations gave the researcher rights to conduct the study with strict observation of ethical issues.</w:t>
      </w:r>
    </w:p>
    <w:p w14:paraId="6460B485" w14:textId="77777777" w:rsidR="00583CA1" w:rsidRDefault="00583CA1" w:rsidP="00724D10">
      <w:pPr>
        <w:pStyle w:val="Heading2"/>
        <w:spacing w:line="480" w:lineRule="auto"/>
        <w:rPr>
          <w:rFonts w:asciiTheme="majorHAnsi" w:hAnsiTheme="majorHAnsi" w:cstheme="majorHAnsi"/>
          <w:sz w:val="24"/>
          <w:szCs w:val="24"/>
        </w:rPr>
      </w:pPr>
      <w:bookmarkStart w:id="71" w:name="_Toc76494409"/>
    </w:p>
    <w:p w14:paraId="39076D40" w14:textId="31D8C740" w:rsidR="00724D10" w:rsidRPr="00C553FC" w:rsidRDefault="00724D10" w:rsidP="004478B6">
      <w:pPr>
        <w:pStyle w:val="Heading2"/>
        <w:spacing w:line="480" w:lineRule="auto"/>
        <w:jc w:val="left"/>
        <w:rPr>
          <w:rFonts w:asciiTheme="majorHAnsi" w:hAnsiTheme="majorHAnsi" w:cstheme="majorHAnsi"/>
          <w:sz w:val="28"/>
          <w:szCs w:val="28"/>
        </w:rPr>
      </w:pPr>
      <w:bookmarkStart w:id="72" w:name="_Toc78205802"/>
      <w:r w:rsidRPr="00C553FC">
        <w:rPr>
          <w:rFonts w:asciiTheme="majorHAnsi" w:hAnsiTheme="majorHAnsi" w:cstheme="majorHAnsi"/>
          <w:sz w:val="28"/>
          <w:szCs w:val="28"/>
        </w:rPr>
        <w:t>Privacy</w:t>
      </w:r>
      <w:bookmarkEnd w:id="71"/>
      <w:bookmarkEnd w:id="72"/>
    </w:p>
    <w:p w14:paraId="6CF6F123" w14:textId="77777777" w:rsidR="00724D10" w:rsidRPr="0022305D" w:rsidRDefault="00724D10" w:rsidP="00724D10">
      <w:pPr>
        <w:spacing w:after="0" w:line="480" w:lineRule="auto"/>
        <w:rPr>
          <w:rFonts w:asciiTheme="majorHAnsi" w:hAnsiTheme="majorHAnsi" w:cstheme="majorHAnsi"/>
          <w:sz w:val="24"/>
          <w:szCs w:val="24"/>
        </w:rPr>
      </w:pPr>
      <w:r w:rsidRPr="0022305D">
        <w:rPr>
          <w:rFonts w:asciiTheme="majorHAnsi" w:hAnsiTheme="majorHAnsi" w:cstheme="majorHAnsi"/>
          <w:sz w:val="24"/>
          <w:szCs w:val="24"/>
        </w:rPr>
        <w:tab/>
        <w:t xml:space="preserve">The identity of each bank’s data was kept private and confidential. The name of each bank was not revealed in the data collection sheet (Appendix 3) used for data collection. The schedule was coded so as to conceal the identity of individual bank. Once the data collection sheets were filled, they were kept in a safe place where third party could not access them. </w:t>
      </w:r>
    </w:p>
    <w:p w14:paraId="588DB117" w14:textId="77777777" w:rsidR="00724D10" w:rsidRPr="00C553FC" w:rsidRDefault="00724D10" w:rsidP="004478B6">
      <w:pPr>
        <w:pStyle w:val="Heading2"/>
        <w:spacing w:line="480" w:lineRule="auto"/>
        <w:jc w:val="left"/>
        <w:rPr>
          <w:rFonts w:asciiTheme="majorHAnsi" w:hAnsiTheme="majorHAnsi" w:cstheme="majorHAnsi"/>
          <w:sz w:val="28"/>
          <w:szCs w:val="28"/>
        </w:rPr>
      </w:pPr>
      <w:bookmarkStart w:id="73" w:name="_Toc69162562"/>
      <w:bookmarkStart w:id="74" w:name="_Toc76494410"/>
      <w:bookmarkStart w:id="75" w:name="_Toc78205803"/>
      <w:r w:rsidRPr="00C553FC">
        <w:rPr>
          <w:rFonts w:asciiTheme="majorHAnsi" w:hAnsiTheme="majorHAnsi" w:cstheme="majorHAnsi"/>
          <w:sz w:val="28"/>
          <w:szCs w:val="28"/>
        </w:rPr>
        <w:t>Academic integrity and objectivity</w:t>
      </w:r>
      <w:bookmarkEnd w:id="73"/>
      <w:bookmarkEnd w:id="74"/>
      <w:bookmarkEnd w:id="75"/>
    </w:p>
    <w:p w14:paraId="4ECFB66A" w14:textId="013C8998" w:rsidR="00724D10" w:rsidRDefault="00724D10" w:rsidP="00724D10">
      <w:pPr>
        <w:spacing w:after="0" w:line="480" w:lineRule="auto"/>
        <w:rPr>
          <w:rFonts w:asciiTheme="majorHAnsi" w:hAnsiTheme="majorHAnsi" w:cstheme="majorHAnsi"/>
          <w:sz w:val="24"/>
          <w:szCs w:val="24"/>
        </w:rPr>
      </w:pPr>
      <w:r w:rsidRPr="0022305D">
        <w:rPr>
          <w:rFonts w:asciiTheme="majorHAnsi" w:hAnsiTheme="majorHAnsi" w:cstheme="majorHAnsi"/>
          <w:sz w:val="24"/>
          <w:szCs w:val="24"/>
        </w:rPr>
        <w:tab/>
        <w:t>The financial information provided was used exclusively for academic purposes. Data generated from the financial reports was analyzed, as they were, without alteration and falsifying of information. To avoid plagiarism, the researcher gave credit to the work of other scholars cited in this study by the use of APA referencing style and the University of Eastern Africa, Baraton thesis writing guidelines.</w:t>
      </w:r>
    </w:p>
    <w:p w14:paraId="0A7733A2" w14:textId="1A049629" w:rsidR="000B0996" w:rsidRDefault="000B0996" w:rsidP="00724D10">
      <w:pPr>
        <w:spacing w:after="0" w:line="480" w:lineRule="auto"/>
        <w:rPr>
          <w:rFonts w:asciiTheme="majorHAnsi" w:hAnsiTheme="majorHAnsi" w:cstheme="majorHAnsi"/>
          <w:sz w:val="24"/>
          <w:szCs w:val="24"/>
        </w:rPr>
      </w:pPr>
    </w:p>
    <w:p w14:paraId="3653A0B4" w14:textId="4148D928" w:rsidR="00EC53C3" w:rsidRPr="0022305D" w:rsidRDefault="00EC53C3" w:rsidP="00724D10">
      <w:pPr>
        <w:spacing w:after="0" w:line="480" w:lineRule="auto"/>
        <w:rPr>
          <w:rFonts w:asciiTheme="majorHAnsi" w:hAnsiTheme="majorHAnsi" w:cstheme="majorHAnsi"/>
          <w:sz w:val="24"/>
          <w:szCs w:val="24"/>
        </w:rPr>
      </w:pPr>
    </w:p>
    <w:p w14:paraId="22BF9D1D" w14:textId="6CFA3D16" w:rsidR="00EC53C3" w:rsidRDefault="00EC53C3" w:rsidP="00724D10">
      <w:pPr>
        <w:spacing w:after="0" w:line="480" w:lineRule="auto"/>
        <w:rPr>
          <w:rFonts w:asciiTheme="majorHAnsi" w:hAnsiTheme="majorHAnsi" w:cstheme="majorHAnsi"/>
          <w:sz w:val="24"/>
          <w:szCs w:val="24"/>
        </w:rPr>
      </w:pPr>
    </w:p>
    <w:p w14:paraId="57066EF9" w14:textId="735494BF" w:rsidR="00583CA1" w:rsidRDefault="00583CA1" w:rsidP="00724D10">
      <w:pPr>
        <w:spacing w:after="0" w:line="480" w:lineRule="auto"/>
        <w:rPr>
          <w:rFonts w:asciiTheme="majorHAnsi" w:hAnsiTheme="majorHAnsi" w:cstheme="majorHAnsi"/>
          <w:sz w:val="24"/>
          <w:szCs w:val="24"/>
        </w:rPr>
      </w:pPr>
    </w:p>
    <w:p w14:paraId="0EDB46E5" w14:textId="408D27E4" w:rsidR="00583CA1" w:rsidRDefault="00583CA1" w:rsidP="00724D10">
      <w:pPr>
        <w:spacing w:after="0" w:line="480" w:lineRule="auto"/>
        <w:rPr>
          <w:rFonts w:asciiTheme="majorHAnsi" w:hAnsiTheme="majorHAnsi" w:cstheme="majorHAnsi"/>
          <w:sz w:val="24"/>
          <w:szCs w:val="24"/>
        </w:rPr>
      </w:pPr>
    </w:p>
    <w:p w14:paraId="024027A7" w14:textId="73B75352" w:rsidR="00583CA1" w:rsidRDefault="00583CA1" w:rsidP="00724D10">
      <w:pPr>
        <w:spacing w:after="0" w:line="480" w:lineRule="auto"/>
        <w:rPr>
          <w:rFonts w:asciiTheme="majorHAnsi" w:hAnsiTheme="majorHAnsi" w:cstheme="majorHAnsi"/>
          <w:sz w:val="24"/>
          <w:szCs w:val="24"/>
        </w:rPr>
      </w:pPr>
    </w:p>
    <w:p w14:paraId="5B0459FD" w14:textId="2A5FB250" w:rsidR="00583CA1" w:rsidRDefault="00583CA1" w:rsidP="00724D10">
      <w:pPr>
        <w:spacing w:after="0" w:line="480" w:lineRule="auto"/>
        <w:rPr>
          <w:rFonts w:asciiTheme="majorHAnsi" w:hAnsiTheme="majorHAnsi" w:cstheme="majorHAnsi"/>
          <w:sz w:val="24"/>
          <w:szCs w:val="24"/>
        </w:rPr>
      </w:pPr>
    </w:p>
    <w:p w14:paraId="344879C9" w14:textId="595F74D9" w:rsidR="00583CA1" w:rsidRDefault="00583CA1" w:rsidP="00724D10">
      <w:pPr>
        <w:spacing w:after="0" w:line="480" w:lineRule="auto"/>
        <w:rPr>
          <w:rFonts w:asciiTheme="majorHAnsi" w:hAnsiTheme="majorHAnsi" w:cstheme="majorHAnsi"/>
          <w:sz w:val="24"/>
          <w:szCs w:val="24"/>
        </w:rPr>
      </w:pPr>
    </w:p>
    <w:p w14:paraId="3E12903C" w14:textId="1B58DDAA" w:rsidR="00583CA1" w:rsidRDefault="00583CA1" w:rsidP="00724D10">
      <w:pPr>
        <w:spacing w:after="0" w:line="480" w:lineRule="auto"/>
        <w:rPr>
          <w:rFonts w:asciiTheme="majorHAnsi" w:hAnsiTheme="majorHAnsi" w:cstheme="majorHAnsi"/>
          <w:sz w:val="24"/>
          <w:szCs w:val="24"/>
        </w:rPr>
      </w:pPr>
    </w:p>
    <w:p w14:paraId="3B3C76E9" w14:textId="1BDD3C99" w:rsidR="00583CA1" w:rsidRDefault="00583CA1" w:rsidP="00724D10">
      <w:pPr>
        <w:spacing w:after="0" w:line="480" w:lineRule="auto"/>
        <w:rPr>
          <w:rFonts w:asciiTheme="majorHAnsi" w:hAnsiTheme="majorHAnsi" w:cstheme="majorHAnsi"/>
          <w:sz w:val="24"/>
          <w:szCs w:val="24"/>
        </w:rPr>
      </w:pPr>
    </w:p>
    <w:p w14:paraId="116A8C02" w14:textId="3BEF78A3" w:rsidR="00583CA1" w:rsidRDefault="00583CA1" w:rsidP="00724D10">
      <w:pPr>
        <w:spacing w:after="0" w:line="480" w:lineRule="auto"/>
        <w:rPr>
          <w:rFonts w:asciiTheme="majorHAnsi" w:hAnsiTheme="majorHAnsi" w:cstheme="majorHAnsi"/>
          <w:sz w:val="24"/>
          <w:szCs w:val="24"/>
        </w:rPr>
      </w:pPr>
    </w:p>
    <w:p w14:paraId="6CF3D456" w14:textId="261F99C0" w:rsidR="00583CA1" w:rsidRDefault="00583CA1" w:rsidP="00724D10">
      <w:pPr>
        <w:spacing w:after="0" w:line="480" w:lineRule="auto"/>
        <w:rPr>
          <w:rFonts w:asciiTheme="majorHAnsi" w:hAnsiTheme="majorHAnsi" w:cstheme="majorHAnsi"/>
          <w:sz w:val="24"/>
          <w:szCs w:val="24"/>
        </w:rPr>
      </w:pPr>
    </w:p>
    <w:p w14:paraId="255A2741" w14:textId="77777777" w:rsidR="00583CA1" w:rsidRPr="0022305D" w:rsidRDefault="00583CA1" w:rsidP="00724D10">
      <w:pPr>
        <w:spacing w:after="0" w:line="480" w:lineRule="auto"/>
        <w:rPr>
          <w:rFonts w:asciiTheme="majorHAnsi" w:hAnsiTheme="majorHAnsi" w:cstheme="majorHAnsi"/>
          <w:sz w:val="24"/>
          <w:szCs w:val="24"/>
        </w:rPr>
      </w:pPr>
    </w:p>
    <w:p w14:paraId="536B0A52" w14:textId="371392E3" w:rsidR="00724D10" w:rsidRDefault="00724D10" w:rsidP="004B1A2F">
      <w:pPr>
        <w:pStyle w:val="Heading1"/>
        <w:spacing w:line="480" w:lineRule="auto"/>
        <w:rPr>
          <w:rFonts w:asciiTheme="majorHAnsi" w:hAnsiTheme="majorHAnsi" w:cstheme="majorHAnsi"/>
          <w:u w:val="none"/>
        </w:rPr>
      </w:pPr>
      <w:bookmarkStart w:id="76" w:name="_Toc76494411"/>
      <w:bookmarkStart w:id="77" w:name="_Toc78205804"/>
      <w:r w:rsidRPr="0022305D">
        <w:rPr>
          <w:rFonts w:asciiTheme="majorHAnsi" w:hAnsiTheme="majorHAnsi" w:cstheme="majorHAnsi"/>
          <w:u w:val="none"/>
        </w:rPr>
        <w:t>CHAPTER FOUR</w:t>
      </w:r>
      <w:bookmarkEnd w:id="76"/>
      <w:bookmarkEnd w:id="77"/>
    </w:p>
    <w:p w14:paraId="2C8BE4A4" w14:textId="070C725B" w:rsidR="00724D10" w:rsidRPr="00C553FC" w:rsidRDefault="00724D10" w:rsidP="002E707F">
      <w:pPr>
        <w:pStyle w:val="Heading1"/>
        <w:spacing w:line="480" w:lineRule="auto"/>
        <w:rPr>
          <w:szCs w:val="28"/>
          <w:u w:val="none"/>
        </w:rPr>
      </w:pPr>
      <w:bookmarkStart w:id="78" w:name="_Toc76494412"/>
      <w:bookmarkStart w:id="79" w:name="_Toc78205805"/>
      <w:r w:rsidRPr="00C553FC">
        <w:rPr>
          <w:szCs w:val="28"/>
          <w:u w:val="none"/>
        </w:rPr>
        <w:t xml:space="preserve">PRESENTATION OF </w:t>
      </w:r>
      <w:r w:rsidR="000B6A12" w:rsidRPr="00C553FC">
        <w:rPr>
          <w:szCs w:val="28"/>
          <w:u w:val="none"/>
        </w:rPr>
        <w:t>FINDINGS</w:t>
      </w:r>
      <w:r w:rsidRPr="00C553FC">
        <w:rPr>
          <w:szCs w:val="28"/>
          <w:u w:val="none"/>
        </w:rPr>
        <w:t>, ANALYSIS AND INTERPRETATION</w:t>
      </w:r>
      <w:bookmarkEnd w:id="78"/>
      <w:bookmarkEnd w:id="79"/>
    </w:p>
    <w:p w14:paraId="7A69280E" w14:textId="2C009A41" w:rsidR="004B1A2F" w:rsidRPr="004478B6" w:rsidRDefault="004B1A2F" w:rsidP="004478B6">
      <w:pPr>
        <w:pStyle w:val="Heading2"/>
        <w:spacing w:line="480" w:lineRule="auto"/>
        <w:jc w:val="left"/>
        <w:rPr>
          <w:sz w:val="28"/>
          <w:szCs w:val="28"/>
        </w:rPr>
      </w:pPr>
      <w:bookmarkStart w:id="80" w:name="_Toc78205806"/>
      <w:r w:rsidRPr="004478B6">
        <w:rPr>
          <w:sz w:val="28"/>
          <w:szCs w:val="28"/>
        </w:rPr>
        <w:t>Introduction</w:t>
      </w:r>
      <w:bookmarkEnd w:id="80"/>
    </w:p>
    <w:p w14:paraId="0DCF337C" w14:textId="73B39809" w:rsidR="00724D10" w:rsidRPr="0022305D" w:rsidRDefault="00724D10" w:rsidP="0022305D">
      <w:pPr>
        <w:pStyle w:val="Default"/>
        <w:spacing w:line="480" w:lineRule="auto"/>
        <w:ind w:firstLine="720"/>
        <w:rPr>
          <w:rFonts w:asciiTheme="majorHAnsi" w:hAnsiTheme="majorHAnsi" w:cstheme="majorHAnsi"/>
        </w:rPr>
      </w:pPr>
      <w:r w:rsidRPr="0022305D">
        <w:rPr>
          <w:rFonts w:asciiTheme="majorHAnsi" w:hAnsiTheme="majorHAnsi" w:cstheme="majorHAnsi"/>
        </w:rPr>
        <w:t xml:space="preserve">This chapter presents the results, analysis and interpretation of the study. </w:t>
      </w:r>
      <w:r w:rsidR="004B1A2F">
        <w:rPr>
          <w:rFonts w:asciiTheme="majorHAnsi" w:hAnsiTheme="majorHAnsi" w:cstheme="majorHAnsi"/>
        </w:rPr>
        <w:t xml:space="preserve">Descriptive statistics as well as inferential statistics such as correlation and regressions will be presented here. </w:t>
      </w:r>
      <w:r w:rsidR="00100772" w:rsidRPr="00100772">
        <w:rPr>
          <w:rFonts w:asciiTheme="majorHAnsi" w:hAnsiTheme="majorHAnsi" w:cstheme="majorHAnsi"/>
        </w:rPr>
        <w:t xml:space="preserve">The findings are </w:t>
      </w:r>
      <w:r w:rsidR="00100772">
        <w:rPr>
          <w:rFonts w:asciiTheme="majorHAnsi" w:hAnsiTheme="majorHAnsi" w:cstheme="majorHAnsi"/>
        </w:rPr>
        <w:t xml:space="preserve">also </w:t>
      </w:r>
      <w:r w:rsidR="00100772" w:rsidRPr="00100772">
        <w:rPr>
          <w:rFonts w:asciiTheme="majorHAnsi" w:hAnsiTheme="majorHAnsi" w:cstheme="majorHAnsi"/>
        </w:rPr>
        <w:t>discussed in the last section.</w:t>
      </w:r>
    </w:p>
    <w:p w14:paraId="60F6CF99" w14:textId="77777777" w:rsidR="00724D10" w:rsidRPr="00C553FC" w:rsidRDefault="00724D10" w:rsidP="00724D10">
      <w:pPr>
        <w:pStyle w:val="Default"/>
        <w:spacing w:line="480" w:lineRule="auto"/>
        <w:ind w:firstLine="720"/>
        <w:jc w:val="center"/>
        <w:rPr>
          <w:rFonts w:asciiTheme="majorHAnsi" w:hAnsiTheme="majorHAnsi" w:cstheme="majorHAnsi"/>
          <w:b/>
          <w:bCs/>
          <w:sz w:val="28"/>
          <w:szCs w:val="28"/>
        </w:rPr>
      </w:pPr>
    </w:p>
    <w:p w14:paraId="7786F938" w14:textId="77777777" w:rsidR="00724D10" w:rsidRPr="00C553FC" w:rsidRDefault="00724D10" w:rsidP="004478B6">
      <w:pPr>
        <w:pStyle w:val="Heading2"/>
        <w:spacing w:line="480" w:lineRule="auto"/>
        <w:jc w:val="left"/>
        <w:rPr>
          <w:rFonts w:asciiTheme="majorHAnsi" w:hAnsiTheme="majorHAnsi" w:cstheme="majorHAnsi"/>
          <w:sz w:val="28"/>
          <w:szCs w:val="28"/>
        </w:rPr>
      </w:pPr>
      <w:bookmarkStart w:id="81" w:name="_Toc76494413"/>
      <w:bookmarkStart w:id="82" w:name="_Toc78205807"/>
      <w:r w:rsidRPr="00C553FC">
        <w:rPr>
          <w:rFonts w:asciiTheme="majorHAnsi" w:hAnsiTheme="majorHAnsi" w:cstheme="majorHAnsi"/>
          <w:sz w:val="28"/>
          <w:szCs w:val="28"/>
        </w:rPr>
        <w:t>Descriptive Statistics</w:t>
      </w:r>
      <w:bookmarkEnd w:id="81"/>
      <w:bookmarkEnd w:id="82"/>
    </w:p>
    <w:p w14:paraId="1013D4FB" w14:textId="770A9FE9" w:rsidR="00724D10" w:rsidRPr="0022305D" w:rsidRDefault="00724D10" w:rsidP="00724D10">
      <w:pPr>
        <w:pStyle w:val="Default"/>
        <w:spacing w:line="480" w:lineRule="auto"/>
        <w:ind w:firstLine="720"/>
        <w:rPr>
          <w:rFonts w:asciiTheme="majorHAnsi" w:hAnsiTheme="majorHAnsi" w:cstheme="majorHAnsi"/>
        </w:rPr>
      </w:pPr>
      <w:r w:rsidRPr="0022305D">
        <w:rPr>
          <w:rFonts w:asciiTheme="majorHAnsi" w:hAnsiTheme="majorHAnsi" w:cstheme="majorHAnsi"/>
        </w:rPr>
        <w:t xml:space="preserve">The descriptive characteristics such as the minimum, maximum, mean and standard deviation are discussed in this section. These descriptive statistics provided information on the </w:t>
      </w:r>
      <w:r w:rsidR="00100772" w:rsidRPr="0022305D">
        <w:rPr>
          <w:rFonts w:asciiTheme="majorHAnsi" w:hAnsiTheme="majorHAnsi" w:cstheme="majorHAnsi"/>
        </w:rPr>
        <w:t>features</w:t>
      </w:r>
      <w:r w:rsidRPr="0022305D">
        <w:rPr>
          <w:rFonts w:asciiTheme="majorHAnsi" w:hAnsiTheme="majorHAnsi" w:cstheme="majorHAnsi"/>
        </w:rPr>
        <w:t xml:space="preserve"> of each variable, how they are </w:t>
      </w:r>
      <w:r w:rsidR="00100772">
        <w:rPr>
          <w:rFonts w:asciiTheme="majorHAnsi" w:hAnsiTheme="majorHAnsi" w:cstheme="majorHAnsi"/>
        </w:rPr>
        <w:t>distributed</w:t>
      </w:r>
      <w:r w:rsidRPr="0022305D">
        <w:rPr>
          <w:rFonts w:asciiTheme="majorHAnsi" w:hAnsiTheme="majorHAnsi" w:cstheme="majorHAnsi"/>
        </w:rPr>
        <w:t xml:space="preserve"> across all banks, and the </w:t>
      </w:r>
      <w:r w:rsidR="00100772" w:rsidRPr="0022305D">
        <w:rPr>
          <w:rFonts w:asciiTheme="majorHAnsi" w:hAnsiTheme="majorHAnsi" w:cstheme="majorHAnsi"/>
        </w:rPr>
        <w:t>detected</w:t>
      </w:r>
      <w:r w:rsidRPr="0022305D">
        <w:rPr>
          <w:rFonts w:asciiTheme="majorHAnsi" w:hAnsiTheme="majorHAnsi" w:cstheme="majorHAnsi"/>
        </w:rPr>
        <w:t xml:space="preserve"> </w:t>
      </w:r>
      <w:r w:rsidR="00100772">
        <w:rPr>
          <w:rFonts w:asciiTheme="majorHAnsi" w:hAnsiTheme="majorHAnsi" w:cstheme="majorHAnsi"/>
        </w:rPr>
        <w:t>trend</w:t>
      </w:r>
      <w:r w:rsidRPr="0022305D">
        <w:rPr>
          <w:rFonts w:asciiTheme="majorHAnsi" w:hAnsiTheme="majorHAnsi" w:cstheme="majorHAnsi"/>
        </w:rPr>
        <w:t xml:space="preserve"> for the study period of 2011-2020. </w:t>
      </w:r>
      <w:r w:rsidRPr="0022305D">
        <w:rPr>
          <w:rFonts w:asciiTheme="majorHAnsi" w:hAnsiTheme="majorHAnsi" w:cstheme="majorHAnsi"/>
          <w:color w:val="auto"/>
        </w:rPr>
        <w:t xml:space="preserve">The </w:t>
      </w:r>
      <w:r w:rsidR="00C461B6">
        <w:rPr>
          <w:rFonts w:asciiTheme="majorHAnsi" w:hAnsiTheme="majorHAnsi" w:cstheme="majorHAnsi"/>
          <w:color w:val="auto"/>
        </w:rPr>
        <w:t xml:space="preserve">degree of inconsistency will be expressed through standard deviation, </w:t>
      </w:r>
      <w:r w:rsidRPr="0022305D">
        <w:rPr>
          <w:rFonts w:asciiTheme="majorHAnsi" w:hAnsiTheme="majorHAnsi" w:cstheme="majorHAnsi"/>
          <w:color w:val="auto"/>
        </w:rPr>
        <w:t>while the</w:t>
      </w:r>
      <w:r w:rsidR="00C461B6" w:rsidRPr="0022305D">
        <w:rPr>
          <w:rFonts w:asciiTheme="majorHAnsi" w:hAnsiTheme="majorHAnsi" w:cstheme="majorHAnsi"/>
          <w:color w:val="auto"/>
        </w:rPr>
        <w:t xml:space="preserve"> average of the variable over the study period </w:t>
      </w:r>
      <w:r w:rsidR="00C461B6">
        <w:rPr>
          <w:rFonts w:asciiTheme="majorHAnsi" w:hAnsiTheme="majorHAnsi" w:cstheme="majorHAnsi"/>
          <w:color w:val="auto"/>
        </w:rPr>
        <w:t xml:space="preserve">will be expressed by the </w:t>
      </w:r>
      <w:r w:rsidRPr="0022305D">
        <w:rPr>
          <w:rFonts w:asciiTheme="majorHAnsi" w:hAnsiTheme="majorHAnsi" w:cstheme="majorHAnsi"/>
          <w:color w:val="auto"/>
        </w:rPr>
        <w:t>mean</w:t>
      </w:r>
      <w:r w:rsidR="00C461B6">
        <w:rPr>
          <w:rFonts w:asciiTheme="majorHAnsi" w:hAnsiTheme="majorHAnsi" w:cstheme="majorHAnsi"/>
          <w:color w:val="auto"/>
        </w:rPr>
        <w:t>.</w:t>
      </w:r>
      <w:r w:rsidRPr="0022305D">
        <w:rPr>
          <w:rFonts w:asciiTheme="majorHAnsi" w:hAnsiTheme="majorHAnsi" w:cstheme="majorHAnsi"/>
          <w:color w:val="auto"/>
        </w:rPr>
        <w:t xml:space="preserve"> </w:t>
      </w:r>
      <w:r w:rsidRPr="0022305D">
        <w:rPr>
          <w:rFonts w:asciiTheme="majorHAnsi" w:hAnsiTheme="majorHAnsi" w:cstheme="majorHAnsi"/>
        </w:rPr>
        <w:t xml:space="preserve">The minimum and maximum will show the least and the highest value respectively for the period. </w:t>
      </w:r>
    </w:p>
    <w:p w14:paraId="1A4792C0" w14:textId="2B6B7675" w:rsidR="00724D10" w:rsidRDefault="00724D10" w:rsidP="00724D10">
      <w:pPr>
        <w:pStyle w:val="Caption"/>
        <w:keepNext/>
        <w:spacing w:line="480" w:lineRule="auto"/>
        <w:jc w:val="center"/>
        <w:rPr>
          <w:rFonts w:asciiTheme="majorHAnsi" w:hAnsiTheme="majorHAnsi" w:cstheme="majorHAnsi"/>
          <w:b/>
          <w:bCs/>
          <w:i w:val="0"/>
          <w:iCs w:val="0"/>
          <w:color w:val="auto"/>
          <w:sz w:val="24"/>
          <w:szCs w:val="24"/>
        </w:rPr>
      </w:pPr>
    </w:p>
    <w:p w14:paraId="54AC3F4B" w14:textId="6F050373" w:rsidR="00583CA1" w:rsidRDefault="00583CA1" w:rsidP="00583CA1"/>
    <w:p w14:paraId="2E623F80" w14:textId="4C92E7AC" w:rsidR="00583CA1" w:rsidRDefault="00583CA1" w:rsidP="00583CA1"/>
    <w:p w14:paraId="3ACE9EE1" w14:textId="6F459124" w:rsidR="00583CA1" w:rsidRDefault="00583CA1" w:rsidP="00583CA1"/>
    <w:p w14:paraId="5ADE05D7" w14:textId="56EE3F3D" w:rsidR="00583CA1" w:rsidRDefault="00583CA1" w:rsidP="00583CA1"/>
    <w:p w14:paraId="0CFCDC6F" w14:textId="77777777" w:rsidR="00583CA1" w:rsidRPr="00583CA1" w:rsidRDefault="00583CA1" w:rsidP="00583CA1"/>
    <w:tbl>
      <w:tblPr>
        <w:tblW w:w="9609" w:type="dxa"/>
        <w:tblLook w:val="04A0" w:firstRow="1" w:lastRow="0" w:firstColumn="1" w:lastColumn="0" w:noHBand="0" w:noVBand="1"/>
      </w:tblPr>
      <w:tblGrid>
        <w:gridCol w:w="2053"/>
        <w:gridCol w:w="1243"/>
        <w:gridCol w:w="1639"/>
        <w:gridCol w:w="1272"/>
        <w:gridCol w:w="3402"/>
      </w:tblGrid>
      <w:tr w:rsidR="00724D10" w:rsidRPr="0022305D" w14:paraId="098AE910" w14:textId="77777777" w:rsidTr="006E6AAA">
        <w:trPr>
          <w:trHeight w:val="80"/>
        </w:trPr>
        <w:tc>
          <w:tcPr>
            <w:tcW w:w="9609" w:type="dxa"/>
            <w:gridSpan w:val="5"/>
            <w:tcBorders>
              <w:top w:val="nil"/>
              <w:left w:val="nil"/>
              <w:bottom w:val="nil"/>
              <w:right w:val="nil"/>
            </w:tcBorders>
            <w:shd w:val="clear" w:color="auto" w:fill="auto"/>
            <w:vAlign w:val="center"/>
            <w:hideMark/>
          </w:tcPr>
          <w:p w14:paraId="46D58CE4" w14:textId="67D247FE" w:rsidR="00724D10" w:rsidRPr="0022305D" w:rsidRDefault="00724D10" w:rsidP="00B173B9">
            <w:pPr>
              <w:spacing w:after="0" w:line="480" w:lineRule="auto"/>
              <w:rPr>
                <w:rFonts w:asciiTheme="majorHAnsi" w:eastAsia="Times New Roman" w:hAnsiTheme="majorHAnsi" w:cstheme="majorHAnsi"/>
                <w:b/>
                <w:bCs/>
                <w:color w:val="000000"/>
                <w:sz w:val="24"/>
                <w:szCs w:val="24"/>
              </w:rPr>
            </w:pPr>
            <w:bookmarkStart w:id="83" w:name="_Toc75805741"/>
            <w:bookmarkStart w:id="84" w:name="_Toc78205370"/>
            <w:r w:rsidRPr="0022305D">
              <w:rPr>
                <w:rFonts w:asciiTheme="majorHAnsi" w:hAnsiTheme="majorHAnsi" w:cstheme="majorHAnsi"/>
                <w:sz w:val="24"/>
                <w:szCs w:val="24"/>
              </w:rPr>
              <w:t xml:space="preserve">Table </w:t>
            </w:r>
            <w:r w:rsidRPr="0022305D">
              <w:rPr>
                <w:rFonts w:asciiTheme="majorHAnsi" w:hAnsiTheme="majorHAnsi" w:cstheme="majorHAnsi"/>
                <w:sz w:val="24"/>
                <w:szCs w:val="24"/>
              </w:rPr>
              <w:fldChar w:fldCharType="begin"/>
            </w:r>
            <w:r w:rsidRPr="0022305D">
              <w:rPr>
                <w:rFonts w:asciiTheme="majorHAnsi" w:hAnsiTheme="majorHAnsi" w:cstheme="majorHAnsi"/>
                <w:sz w:val="24"/>
                <w:szCs w:val="24"/>
              </w:rPr>
              <w:instrText xml:space="preserve"> SEQ Table \* ARABIC </w:instrText>
            </w:r>
            <w:r w:rsidRPr="0022305D">
              <w:rPr>
                <w:rFonts w:asciiTheme="majorHAnsi" w:hAnsiTheme="majorHAnsi" w:cstheme="majorHAnsi"/>
                <w:sz w:val="24"/>
                <w:szCs w:val="24"/>
              </w:rPr>
              <w:fldChar w:fldCharType="separate"/>
            </w:r>
            <w:r w:rsidR="00392CA8">
              <w:rPr>
                <w:rFonts w:asciiTheme="majorHAnsi" w:hAnsiTheme="majorHAnsi" w:cstheme="majorHAnsi"/>
                <w:noProof/>
                <w:sz w:val="24"/>
                <w:szCs w:val="24"/>
              </w:rPr>
              <w:t>4</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xml:space="preserve">.0 </w:t>
            </w:r>
            <w:r w:rsidRPr="00C57EC2">
              <w:rPr>
                <w:rFonts w:asciiTheme="majorHAnsi" w:hAnsiTheme="majorHAnsi" w:cstheme="majorHAnsi"/>
                <w:i/>
                <w:iCs/>
                <w:sz w:val="24"/>
                <w:szCs w:val="24"/>
              </w:rPr>
              <w:t>Descriptive statistics</w:t>
            </w:r>
            <w:bookmarkEnd w:id="83"/>
            <w:bookmarkEnd w:id="84"/>
          </w:p>
        </w:tc>
      </w:tr>
      <w:tr w:rsidR="00724D10" w:rsidRPr="0022305D" w14:paraId="46D8FA3E" w14:textId="77777777" w:rsidTr="004B1A2F">
        <w:trPr>
          <w:trHeight w:val="328"/>
        </w:trPr>
        <w:tc>
          <w:tcPr>
            <w:tcW w:w="2053" w:type="dxa"/>
            <w:tcBorders>
              <w:top w:val="single" w:sz="4" w:space="0" w:color="auto"/>
              <w:left w:val="nil"/>
              <w:bottom w:val="single" w:sz="4" w:space="0" w:color="auto"/>
              <w:right w:val="nil"/>
            </w:tcBorders>
            <w:shd w:val="clear" w:color="auto" w:fill="auto"/>
            <w:vAlign w:val="bottom"/>
            <w:hideMark/>
          </w:tcPr>
          <w:p w14:paraId="311BC34F" w14:textId="77777777" w:rsidR="00724D10" w:rsidRPr="0022305D" w:rsidRDefault="00724D10" w:rsidP="00A52602">
            <w:pPr>
              <w:spacing w:after="0" w:line="480" w:lineRule="auto"/>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 </w:t>
            </w:r>
          </w:p>
        </w:tc>
        <w:tc>
          <w:tcPr>
            <w:tcW w:w="1243" w:type="dxa"/>
            <w:tcBorders>
              <w:top w:val="single" w:sz="4" w:space="0" w:color="auto"/>
              <w:left w:val="nil"/>
              <w:bottom w:val="single" w:sz="4" w:space="0" w:color="auto"/>
              <w:right w:val="nil"/>
            </w:tcBorders>
            <w:shd w:val="clear" w:color="auto" w:fill="auto"/>
            <w:vAlign w:val="bottom"/>
            <w:hideMark/>
          </w:tcPr>
          <w:p w14:paraId="112085E5" w14:textId="77777777" w:rsidR="00724D10" w:rsidRPr="0022305D" w:rsidRDefault="00724D10" w:rsidP="00A52602">
            <w:pPr>
              <w:spacing w:after="0" w:line="480" w:lineRule="auto"/>
              <w:jc w:val="center"/>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Minimum</w:t>
            </w:r>
          </w:p>
        </w:tc>
        <w:tc>
          <w:tcPr>
            <w:tcW w:w="1639" w:type="dxa"/>
            <w:tcBorders>
              <w:top w:val="single" w:sz="4" w:space="0" w:color="auto"/>
              <w:left w:val="nil"/>
              <w:bottom w:val="single" w:sz="4" w:space="0" w:color="auto"/>
              <w:right w:val="nil"/>
            </w:tcBorders>
            <w:shd w:val="clear" w:color="auto" w:fill="auto"/>
            <w:vAlign w:val="bottom"/>
            <w:hideMark/>
          </w:tcPr>
          <w:p w14:paraId="27BD4DA7" w14:textId="77777777" w:rsidR="00724D10" w:rsidRPr="0022305D" w:rsidRDefault="00724D10" w:rsidP="00A52602">
            <w:pPr>
              <w:spacing w:after="0" w:line="480" w:lineRule="auto"/>
              <w:jc w:val="center"/>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 xml:space="preserve">       Maximum</w:t>
            </w:r>
          </w:p>
        </w:tc>
        <w:tc>
          <w:tcPr>
            <w:tcW w:w="1272" w:type="dxa"/>
            <w:tcBorders>
              <w:top w:val="single" w:sz="4" w:space="0" w:color="auto"/>
              <w:left w:val="nil"/>
              <w:bottom w:val="single" w:sz="4" w:space="0" w:color="auto"/>
              <w:right w:val="nil"/>
            </w:tcBorders>
            <w:shd w:val="clear" w:color="auto" w:fill="auto"/>
            <w:vAlign w:val="bottom"/>
            <w:hideMark/>
          </w:tcPr>
          <w:p w14:paraId="2458C0A2" w14:textId="77777777" w:rsidR="00724D10" w:rsidRPr="0022305D" w:rsidRDefault="00724D10" w:rsidP="00A52602">
            <w:pPr>
              <w:spacing w:after="0" w:line="480" w:lineRule="auto"/>
              <w:jc w:val="center"/>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Mean</w:t>
            </w:r>
          </w:p>
        </w:tc>
        <w:tc>
          <w:tcPr>
            <w:tcW w:w="3402" w:type="dxa"/>
            <w:tcBorders>
              <w:top w:val="single" w:sz="4" w:space="0" w:color="auto"/>
              <w:left w:val="nil"/>
              <w:bottom w:val="single" w:sz="4" w:space="0" w:color="auto"/>
              <w:right w:val="nil"/>
            </w:tcBorders>
            <w:shd w:val="clear" w:color="auto" w:fill="auto"/>
            <w:vAlign w:val="bottom"/>
            <w:hideMark/>
          </w:tcPr>
          <w:p w14:paraId="7BE2CCD5" w14:textId="77777777" w:rsidR="00724D10" w:rsidRPr="0022305D" w:rsidRDefault="00724D10" w:rsidP="00A52602">
            <w:pPr>
              <w:spacing w:after="0" w:line="480" w:lineRule="auto"/>
              <w:jc w:val="center"/>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Std. Deviation</w:t>
            </w:r>
          </w:p>
        </w:tc>
      </w:tr>
      <w:tr w:rsidR="00724D10" w:rsidRPr="0022305D" w14:paraId="4D8F7D35" w14:textId="77777777" w:rsidTr="004B1A2F">
        <w:trPr>
          <w:trHeight w:val="328"/>
        </w:trPr>
        <w:tc>
          <w:tcPr>
            <w:tcW w:w="2053" w:type="dxa"/>
            <w:tcBorders>
              <w:top w:val="single" w:sz="4" w:space="0" w:color="auto"/>
              <w:left w:val="nil"/>
              <w:bottom w:val="nil"/>
              <w:right w:val="nil"/>
            </w:tcBorders>
            <w:shd w:val="clear" w:color="auto" w:fill="auto"/>
            <w:hideMark/>
          </w:tcPr>
          <w:p w14:paraId="0D0507E6" w14:textId="2EF06CE4" w:rsidR="00724D10" w:rsidRPr="0022305D" w:rsidRDefault="00CB2CDC" w:rsidP="00A52602">
            <w:pPr>
              <w:spacing w:after="0" w:line="48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Total debt to total assets ratio</w:t>
            </w:r>
          </w:p>
        </w:tc>
        <w:tc>
          <w:tcPr>
            <w:tcW w:w="1243" w:type="dxa"/>
            <w:tcBorders>
              <w:top w:val="single" w:sz="4" w:space="0" w:color="auto"/>
              <w:left w:val="nil"/>
              <w:bottom w:val="nil"/>
              <w:right w:val="nil"/>
            </w:tcBorders>
            <w:shd w:val="clear" w:color="auto" w:fill="auto"/>
            <w:noWrap/>
            <w:hideMark/>
          </w:tcPr>
          <w:p w14:paraId="150CC133"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7.38</w:t>
            </w:r>
          </w:p>
        </w:tc>
        <w:tc>
          <w:tcPr>
            <w:tcW w:w="1639" w:type="dxa"/>
            <w:tcBorders>
              <w:top w:val="single" w:sz="4" w:space="0" w:color="auto"/>
              <w:left w:val="nil"/>
              <w:bottom w:val="nil"/>
              <w:right w:val="nil"/>
            </w:tcBorders>
            <w:shd w:val="clear" w:color="auto" w:fill="auto"/>
            <w:noWrap/>
            <w:hideMark/>
          </w:tcPr>
          <w:p w14:paraId="255C6F4F"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8.91</w:t>
            </w:r>
          </w:p>
        </w:tc>
        <w:tc>
          <w:tcPr>
            <w:tcW w:w="1272" w:type="dxa"/>
            <w:tcBorders>
              <w:top w:val="single" w:sz="4" w:space="0" w:color="auto"/>
              <w:left w:val="nil"/>
              <w:bottom w:val="nil"/>
              <w:right w:val="nil"/>
            </w:tcBorders>
            <w:shd w:val="clear" w:color="auto" w:fill="auto"/>
            <w:noWrap/>
            <w:hideMark/>
          </w:tcPr>
          <w:p w14:paraId="662702DD"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8.2084</w:t>
            </w:r>
          </w:p>
        </w:tc>
        <w:tc>
          <w:tcPr>
            <w:tcW w:w="3402" w:type="dxa"/>
            <w:tcBorders>
              <w:top w:val="single" w:sz="4" w:space="0" w:color="auto"/>
              <w:left w:val="nil"/>
              <w:bottom w:val="nil"/>
              <w:right w:val="nil"/>
            </w:tcBorders>
            <w:shd w:val="clear" w:color="auto" w:fill="auto"/>
            <w:noWrap/>
            <w:hideMark/>
          </w:tcPr>
          <w:p w14:paraId="01A5B7F9" w14:textId="77777777" w:rsidR="00724D10" w:rsidRPr="0022305D" w:rsidRDefault="00724D10" w:rsidP="00A52602">
            <w:pPr>
              <w:spacing w:after="0" w:line="480" w:lineRule="auto"/>
              <w:jc w:val="center"/>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.28039</w:t>
            </w:r>
          </w:p>
        </w:tc>
      </w:tr>
      <w:tr w:rsidR="00724D10" w:rsidRPr="0022305D" w14:paraId="2369F15D" w14:textId="77777777" w:rsidTr="00A52602">
        <w:trPr>
          <w:trHeight w:val="525"/>
        </w:trPr>
        <w:tc>
          <w:tcPr>
            <w:tcW w:w="2053" w:type="dxa"/>
            <w:tcBorders>
              <w:top w:val="nil"/>
              <w:left w:val="nil"/>
              <w:bottom w:val="nil"/>
              <w:right w:val="nil"/>
            </w:tcBorders>
            <w:shd w:val="clear" w:color="auto" w:fill="auto"/>
            <w:hideMark/>
          </w:tcPr>
          <w:p w14:paraId="14C34B7A"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Debt equity ratio</w:t>
            </w:r>
          </w:p>
        </w:tc>
        <w:tc>
          <w:tcPr>
            <w:tcW w:w="1243" w:type="dxa"/>
            <w:tcBorders>
              <w:top w:val="nil"/>
              <w:left w:val="nil"/>
              <w:bottom w:val="nil"/>
              <w:right w:val="nil"/>
            </w:tcBorders>
            <w:shd w:val="clear" w:color="auto" w:fill="auto"/>
            <w:noWrap/>
            <w:hideMark/>
          </w:tcPr>
          <w:p w14:paraId="23333182"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16.73</w:t>
            </w:r>
          </w:p>
        </w:tc>
        <w:tc>
          <w:tcPr>
            <w:tcW w:w="1639" w:type="dxa"/>
            <w:tcBorders>
              <w:top w:val="nil"/>
              <w:left w:val="nil"/>
              <w:bottom w:val="nil"/>
              <w:right w:val="nil"/>
            </w:tcBorders>
            <w:shd w:val="clear" w:color="auto" w:fill="auto"/>
            <w:noWrap/>
            <w:hideMark/>
          </w:tcPr>
          <w:p w14:paraId="7DFF05D0"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29.88</w:t>
            </w:r>
          </w:p>
        </w:tc>
        <w:tc>
          <w:tcPr>
            <w:tcW w:w="1272" w:type="dxa"/>
            <w:tcBorders>
              <w:top w:val="nil"/>
              <w:left w:val="nil"/>
              <w:bottom w:val="nil"/>
              <w:right w:val="nil"/>
            </w:tcBorders>
            <w:shd w:val="clear" w:color="auto" w:fill="auto"/>
            <w:noWrap/>
            <w:hideMark/>
          </w:tcPr>
          <w:p w14:paraId="3B8F089B"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 xml:space="preserve">    22.7068</w:t>
            </w:r>
          </w:p>
        </w:tc>
        <w:tc>
          <w:tcPr>
            <w:tcW w:w="3402" w:type="dxa"/>
            <w:tcBorders>
              <w:top w:val="nil"/>
              <w:left w:val="nil"/>
              <w:bottom w:val="nil"/>
              <w:right w:val="nil"/>
            </w:tcBorders>
            <w:shd w:val="clear" w:color="auto" w:fill="auto"/>
            <w:noWrap/>
            <w:hideMark/>
          </w:tcPr>
          <w:p w14:paraId="7949E883" w14:textId="77777777" w:rsidR="00724D10" w:rsidRPr="0022305D" w:rsidRDefault="00724D10" w:rsidP="00A52602">
            <w:pPr>
              <w:spacing w:after="0" w:line="480" w:lineRule="auto"/>
              <w:jc w:val="center"/>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3.24761</w:t>
            </w:r>
          </w:p>
        </w:tc>
      </w:tr>
      <w:tr w:rsidR="00724D10" w:rsidRPr="0022305D" w14:paraId="78C69CBE" w14:textId="77777777" w:rsidTr="00A52602">
        <w:trPr>
          <w:trHeight w:val="525"/>
        </w:trPr>
        <w:tc>
          <w:tcPr>
            <w:tcW w:w="2053" w:type="dxa"/>
            <w:tcBorders>
              <w:top w:val="nil"/>
              <w:left w:val="nil"/>
              <w:bottom w:val="nil"/>
              <w:right w:val="nil"/>
            </w:tcBorders>
            <w:shd w:val="clear" w:color="auto" w:fill="auto"/>
            <w:hideMark/>
          </w:tcPr>
          <w:p w14:paraId="325D355B"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Return on assets</w:t>
            </w:r>
          </w:p>
        </w:tc>
        <w:tc>
          <w:tcPr>
            <w:tcW w:w="1243" w:type="dxa"/>
            <w:tcBorders>
              <w:top w:val="nil"/>
              <w:left w:val="nil"/>
              <w:bottom w:val="nil"/>
              <w:right w:val="nil"/>
            </w:tcBorders>
            <w:shd w:val="clear" w:color="auto" w:fill="auto"/>
            <w:noWrap/>
            <w:hideMark/>
          </w:tcPr>
          <w:p w14:paraId="3CD4C338"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4.96</w:t>
            </w:r>
          </w:p>
        </w:tc>
        <w:tc>
          <w:tcPr>
            <w:tcW w:w="1639" w:type="dxa"/>
            <w:tcBorders>
              <w:top w:val="nil"/>
              <w:left w:val="nil"/>
              <w:bottom w:val="nil"/>
              <w:right w:val="nil"/>
            </w:tcBorders>
            <w:shd w:val="clear" w:color="auto" w:fill="auto"/>
            <w:noWrap/>
            <w:hideMark/>
          </w:tcPr>
          <w:p w14:paraId="4952090B"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16.46</w:t>
            </w:r>
          </w:p>
        </w:tc>
        <w:tc>
          <w:tcPr>
            <w:tcW w:w="1272" w:type="dxa"/>
            <w:tcBorders>
              <w:top w:val="nil"/>
              <w:left w:val="nil"/>
              <w:bottom w:val="nil"/>
              <w:right w:val="nil"/>
            </w:tcBorders>
            <w:shd w:val="clear" w:color="auto" w:fill="auto"/>
            <w:noWrap/>
            <w:hideMark/>
          </w:tcPr>
          <w:p w14:paraId="6B31D2B2"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7.8197</w:t>
            </w:r>
          </w:p>
        </w:tc>
        <w:tc>
          <w:tcPr>
            <w:tcW w:w="3402" w:type="dxa"/>
            <w:tcBorders>
              <w:top w:val="nil"/>
              <w:left w:val="nil"/>
              <w:bottom w:val="nil"/>
              <w:right w:val="nil"/>
            </w:tcBorders>
            <w:shd w:val="clear" w:color="auto" w:fill="auto"/>
            <w:noWrap/>
            <w:hideMark/>
          </w:tcPr>
          <w:p w14:paraId="716CDF7C" w14:textId="77777777" w:rsidR="00724D10" w:rsidRPr="0022305D" w:rsidRDefault="00724D10" w:rsidP="00A52602">
            <w:pPr>
              <w:spacing w:after="0" w:line="480" w:lineRule="auto"/>
              <w:jc w:val="center"/>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1.95327</w:t>
            </w:r>
          </w:p>
        </w:tc>
      </w:tr>
      <w:tr w:rsidR="00724D10" w:rsidRPr="0022305D" w14:paraId="05A2C423" w14:textId="77777777" w:rsidTr="00A52602">
        <w:trPr>
          <w:trHeight w:val="525"/>
        </w:trPr>
        <w:tc>
          <w:tcPr>
            <w:tcW w:w="2053" w:type="dxa"/>
            <w:tcBorders>
              <w:top w:val="nil"/>
              <w:left w:val="nil"/>
              <w:bottom w:val="single" w:sz="4" w:space="0" w:color="auto"/>
              <w:right w:val="nil"/>
            </w:tcBorders>
            <w:shd w:val="clear" w:color="auto" w:fill="auto"/>
            <w:hideMark/>
          </w:tcPr>
          <w:p w14:paraId="7678193C"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Return on equity</w:t>
            </w:r>
          </w:p>
        </w:tc>
        <w:tc>
          <w:tcPr>
            <w:tcW w:w="1243" w:type="dxa"/>
            <w:tcBorders>
              <w:top w:val="nil"/>
              <w:left w:val="nil"/>
              <w:bottom w:val="single" w:sz="4" w:space="0" w:color="auto"/>
              <w:right w:val="nil"/>
            </w:tcBorders>
            <w:shd w:val="clear" w:color="auto" w:fill="auto"/>
            <w:noWrap/>
            <w:hideMark/>
          </w:tcPr>
          <w:p w14:paraId="786D0882"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1.01</w:t>
            </w:r>
          </w:p>
        </w:tc>
        <w:tc>
          <w:tcPr>
            <w:tcW w:w="1639" w:type="dxa"/>
            <w:tcBorders>
              <w:top w:val="nil"/>
              <w:left w:val="nil"/>
              <w:bottom w:val="single" w:sz="4" w:space="0" w:color="auto"/>
              <w:right w:val="nil"/>
            </w:tcBorders>
            <w:shd w:val="clear" w:color="auto" w:fill="auto"/>
            <w:noWrap/>
            <w:hideMark/>
          </w:tcPr>
          <w:p w14:paraId="09EC4ADB"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5.83</w:t>
            </w:r>
          </w:p>
        </w:tc>
        <w:tc>
          <w:tcPr>
            <w:tcW w:w="1272" w:type="dxa"/>
            <w:tcBorders>
              <w:top w:val="nil"/>
              <w:left w:val="nil"/>
              <w:bottom w:val="single" w:sz="4" w:space="0" w:color="auto"/>
              <w:right w:val="nil"/>
            </w:tcBorders>
            <w:shd w:val="clear" w:color="auto" w:fill="auto"/>
            <w:noWrap/>
            <w:hideMark/>
          </w:tcPr>
          <w:p w14:paraId="49006F20"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3.6878</w:t>
            </w:r>
          </w:p>
        </w:tc>
        <w:tc>
          <w:tcPr>
            <w:tcW w:w="3402" w:type="dxa"/>
            <w:tcBorders>
              <w:top w:val="nil"/>
              <w:left w:val="nil"/>
              <w:bottom w:val="single" w:sz="4" w:space="0" w:color="auto"/>
              <w:right w:val="nil"/>
            </w:tcBorders>
            <w:shd w:val="clear" w:color="auto" w:fill="auto"/>
            <w:noWrap/>
            <w:hideMark/>
          </w:tcPr>
          <w:p w14:paraId="30B407FA" w14:textId="77777777" w:rsidR="00724D10" w:rsidRPr="0022305D" w:rsidRDefault="00724D10" w:rsidP="00A52602">
            <w:pPr>
              <w:spacing w:after="0" w:line="480" w:lineRule="auto"/>
              <w:jc w:val="center"/>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1.32522</w:t>
            </w:r>
          </w:p>
        </w:tc>
      </w:tr>
    </w:tbl>
    <w:p w14:paraId="6C97E7E5" w14:textId="50B6843B" w:rsidR="00724D10" w:rsidRDefault="00724D10" w:rsidP="00085B61">
      <w:pPr>
        <w:pStyle w:val="Default"/>
        <w:spacing w:line="480" w:lineRule="auto"/>
        <w:ind w:firstLine="720"/>
        <w:rPr>
          <w:rFonts w:asciiTheme="majorHAnsi" w:hAnsiTheme="majorHAnsi" w:cstheme="majorHAnsi"/>
        </w:rPr>
      </w:pPr>
      <w:r w:rsidRPr="0022305D">
        <w:rPr>
          <w:rFonts w:asciiTheme="majorHAnsi" w:hAnsiTheme="majorHAnsi" w:cstheme="majorHAnsi"/>
        </w:rPr>
        <w:t xml:space="preserve">Source: </w:t>
      </w:r>
      <w:r w:rsidR="004B1A2F">
        <w:rPr>
          <w:rFonts w:asciiTheme="majorHAnsi" w:hAnsiTheme="majorHAnsi" w:cstheme="majorHAnsi"/>
        </w:rPr>
        <w:t>Study data (2021)</w:t>
      </w:r>
    </w:p>
    <w:p w14:paraId="04FBAE31" w14:textId="77777777" w:rsidR="00583CA1" w:rsidRPr="0022305D" w:rsidRDefault="00583CA1" w:rsidP="00085B61">
      <w:pPr>
        <w:pStyle w:val="Default"/>
        <w:spacing w:line="480" w:lineRule="auto"/>
        <w:ind w:firstLine="720"/>
        <w:rPr>
          <w:rFonts w:asciiTheme="majorHAnsi" w:hAnsiTheme="majorHAnsi" w:cstheme="majorHAnsi"/>
        </w:rPr>
      </w:pPr>
    </w:p>
    <w:p w14:paraId="16E71B95" w14:textId="42EAA901" w:rsidR="00724D10" w:rsidRDefault="0022305D" w:rsidP="00085B61">
      <w:pPr>
        <w:spacing w:line="480" w:lineRule="auto"/>
        <w:ind w:firstLine="720"/>
        <w:rPr>
          <w:rFonts w:asciiTheme="majorHAnsi" w:hAnsiTheme="majorHAnsi" w:cstheme="majorHAnsi"/>
          <w:color w:val="000000"/>
          <w:sz w:val="24"/>
          <w:szCs w:val="24"/>
        </w:rPr>
      </w:pPr>
      <w:r w:rsidRPr="0022305D">
        <w:rPr>
          <w:rFonts w:asciiTheme="majorHAnsi" w:hAnsiTheme="majorHAnsi" w:cstheme="majorHAnsi"/>
          <w:sz w:val="24"/>
          <w:szCs w:val="24"/>
        </w:rPr>
        <w:t xml:space="preserve">Table 4.0 shows descriptive statistics summary of the variables included in the regression models. The </w:t>
      </w:r>
      <w:r w:rsidR="00E3769B">
        <w:rPr>
          <w:rFonts w:asciiTheme="majorHAnsi" w:hAnsiTheme="majorHAnsi" w:cstheme="majorHAnsi"/>
          <w:sz w:val="24"/>
          <w:szCs w:val="24"/>
        </w:rPr>
        <w:t>mean for</w:t>
      </w:r>
      <w:r w:rsidRPr="0022305D">
        <w:rPr>
          <w:rFonts w:asciiTheme="majorHAnsi" w:hAnsiTheme="majorHAnsi" w:cstheme="majorHAnsi"/>
          <w:sz w:val="24"/>
          <w:szCs w:val="24"/>
        </w:rPr>
        <w:t xml:space="preserve"> </w:t>
      </w:r>
      <w:r w:rsidR="00CB2CDC">
        <w:rPr>
          <w:rFonts w:asciiTheme="majorHAnsi" w:hAnsiTheme="majorHAnsi" w:cstheme="majorHAnsi"/>
          <w:sz w:val="24"/>
          <w:szCs w:val="24"/>
        </w:rPr>
        <w:t>total debt to total assets ratio</w:t>
      </w:r>
      <w:r w:rsidRPr="0022305D">
        <w:rPr>
          <w:rFonts w:asciiTheme="majorHAnsi" w:hAnsiTheme="majorHAnsi" w:cstheme="majorHAnsi"/>
          <w:sz w:val="24"/>
          <w:szCs w:val="24"/>
        </w:rPr>
        <w:t xml:space="preserve"> over the </w:t>
      </w:r>
      <w:r w:rsidR="00E3769B">
        <w:rPr>
          <w:rFonts w:asciiTheme="majorHAnsi" w:hAnsiTheme="majorHAnsi" w:cstheme="majorHAnsi"/>
          <w:sz w:val="24"/>
          <w:szCs w:val="24"/>
        </w:rPr>
        <w:t xml:space="preserve">study </w:t>
      </w:r>
      <w:r w:rsidRPr="0022305D">
        <w:rPr>
          <w:rFonts w:asciiTheme="majorHAnsi" w:hAnsiTheme="majorHAnsi" w:cstheme="majorHAnsi"/>
          <w:sz w:val="24"/>
          <w:szCs w:val="24"/>
        </w:rPr>
        <w:t xml:space="preserve">period was 8.208, with a minimum value of </w:t>
      </w:r>
      <w:r w:rsidRPr="0022305D">
        <w:rPr>
          <w:rFonts w:asciiTheme="majorHAnsi" w:hAnsiTheme="majorHAnsi" w:cstheme="majorHAnsi"/>
          <w:color w:val="000000"/>
          <w:sz w:val="24"/>
          <w:szCs w:val="24"/>
        </w:rPr>
        <w:t>7.38</w:t>
      </w:r>
      <w:r w:rsidRPr="0022305D">
        <w:rPr>
          <w:rFonts w:asciiTheme="majorHAnsi" w:hAnsiTheme="majorHAnsi" w:cstheme="majorHAnsi"/>
          <w:sz w:val="24"/>
          <w:szCs w:val="24"/>
        </w:rPr>
        <w:t xml:space="preserve">, maximum value of </w:t>
      </w:r>
      <w:r w:rsidRPr="0022305D">
        <w:rPr>
          <w:rFonts w:asciiTheme="majorHAnsi" w:hAnsiTheme="majorHAnsi" w:cstheme="majorHAnsi"/>
          <w:color w:val="000000"/>
          <w:sz w:val="24"/>
          <w:szCs w:val="24"/>
        </w:rPr>
        <w:t xml:space="preserve">8.91 </w:t>
      </w:r>
      <w:r w:rsidRPr="0022305D">
        <w:rPr>
          <w:rFonts w:asciiTheme="majorHAnsi" w:hAnsiTheme="majorHAnsi" w:cstheme="majorHAnsi"/>
          <w:sz w:val="24"/>
          <w:szCs w:val="24"/>
        </w:rPr>
        <w:t xml:space="preserve">and a standard deviation of </w:t>
      </w:r>
      <w:r w:rsidRPr="0022305D">
        <w:rPr>
          <w:rFonts w:asciiTheme="majorHAnsi" w:hAnsiTheme="majorHAnsi" w:cstheme="majorHAnsi"/>
          <w:color w:val="000000"/>
          <w:sz w:val="24"/>
          <w:szCs w:val="24"/>
        </w:rPr>
        <w:t>0.28</w:t>
      </w:r>
      <w:r w:rsidRPr="0022305D">
        <w:rPr>
          <w:rFonts w:asciiTheme="majorHAnsi" w:hAnsiTheme="majorHAnsi" w:cstheme="majorHAnsi"/>
          <w:sz w:val="24"/>
          <w:szCs w:val="24"/>
        </w:rPr>
        <w:t xml:space="preserve">.  This implies that all banks operated with a </w:t>
      </w:r>
      <w:r w:rsidR="00CB2CDC">
        <w:rPr>
          <w:rFonts w:asciiTheme="majorHAnsi" w:hAnsiTheme="majorHAnsi" w:cstheme="majorHAnsi"/>
          <w:sz w:val="24"/>
          <w:szCs w:val="24"/>
        </w:rPr>
        <w:t>total debt to total assets ratio</w:t>
      </w:r>
      <w:r w:rsidRPr="0022305D">
        <w:rPr>
          <w:rFonts w:asciiTheme="majorHAnsi" w:hAnsiTheme="majorHAnsi" w:cstheme="majorHAnsi"/>
          <w:sz w:val="24"/>
          <w:szCs w:val="24"/>
        </w:rPr>
        <w:t xml:space="preserve"> as shown in the table. The average </w:t>
      </w:r>
      <w:r w:rsidR="00BE06BC">
        <w:rPr>
          <w:rFonts w:asciiTheme="majorHAnsi" w:hAnsiTheme="majorHAnsi" w:cstheme="majorHAnsi"/>
          <w:sz w:val="24"/>
          <w:szCs w:val="24"/>
        </w:rPr>
        <w:t>total debt to equity</w:t>
      </w:r>
      <w:r w:rsidRPr="0022305D">
        <w:rPr>
          <w:rFonts w:asciiTheme="majorHAnsi" w:hAnsiTheme="majorHAnsi" w:cstheme="majorHAnsi"/>
          <w:sz w:val="24"/>
          <w:szCs w:val="24"/>
        </w:rPr>
        <w:t xml:space="preserve"> over the study period was </w:t>
      </w:r>
      <w:r w:rsidRPr="0022305D">
        <w:rPr>
          <w:rFonts w:asciiTheme="majorHAnsi" w:eastAsia="Times New Roman" w:hAnsiTheme="majorHAnsi" w:cstheme="majorHAnsi"/>
          <w:color w:val="000000"/>
          <w:sz w:val="24"/>
          <w:szCs w:val="24"/>
        </w:rPr>
        <w:t xml:space="preserve">    22.7 </w:t>
      </w:r>
      <w:r w:rsidRPr="0022305D">
        <w:rPr>
          <w:rFonts w:asciiTheme="majorHAnsi" w:hAnsiTheme="majorHAnsi" w:cstheme="majorHAnsi"/>
          <w:sz w:val="24"/>
          <w:szCs w:val="24"/>
        </w:rPr>
        <w:t xml:space="preserve">with a minimum value of </w:t>
      </w:r>
      <w:r w:rsidRPr="0022305D">
        <w:rPr>
          <w:rFonts w:asciiTheme="majorHAnsi" w:eastAsia="Times New Roman" w:hAnsiTheme="majorHAnsi" w:cstheme="majorHAnsi"/>
          <w:color w:val="000000"/>
          <w:sz w:val="24"/>
          <w:szCs w:val="24"/>
        </w:rPr>
        <w:t>16.73</w:t>
      </w:r>
      <w:r w:rsidRPr="0022305D">
        <w:rPr>
          <w:rFonts w:asciiTheme="majorHAnsi" w:hAnsiTheme="majorHAnsi" w:cstheme="majorHAnsi"/>
          <w:sz w:val="24"/>
          <w:szCs w:val="24"/>
        </w:rPr>
        <w:t xml:space="preserve">, maximum value of </w:t>
      </w:r>
      <w:r w:rsidRPr="0022305D">
        <w:rPr>
          <w:rFonts w:asciiTheme="majorHAnsi" w:eastAsia="Times New Roman" w:hAnsiTheme="majorHAnsi" w:cstheme="majorHAnsi"/>
          <w:color w:val="000000"/>
          <w:sz w:val="24"/>
          <w:szCs w:val="24"/>
        </w:rPr>
        <w:t>29.88</w:t>
      </w:r>
      <w:r w:rsidRPr="0022305D">
        <w:rPr>
          <w:rFonts w:asciiTheme="majorHAnsi" w:hAnsiTheme="majorHAnsi" w:cstheme="majorHAnsi"/>
          <w:color w:val="000000"/>
          <w:sz w:val="24"/>
          <w:szCs w:val="24"/>
        </w:rPr>
        <w:t xml:space="preserve"> </w:t>
      </w:r>
      <w:r w:rsidRPr="0022305D">
        <w:rPr>
          <w:rFonts w:asciiTheme="majorHAnsi" w:hAnsiTheme="majorHAnsi" w:cstheme="majorHAnsi"/>
          <w:sz w:val="24"/>
          <w:szCs w:val="24"/>
        </w:rPr>
        <w:t xml:space="preserve">and a standard deviation of </w:t>
      </w:r>
      <w:r w:rsidRPr="0022305D">
        <w:rPr>
          <w:rFonts w:asciiTheme="majorHAnsi" w:eastAsia="Times New Roman" w:hAnsiTheme="majorHAnsi" w:cstheme="majorHAnsi"/>
          <w:color w:val="000000"/>
          <w:sz w:val="24"/>
          <w:szCs w:val="24"/>
        </w:rPr>
        <w:t>3.24761</w:t>
      </w:r>
      <w:r w:rsidRPr="0022305D">
        <w:rPr>
          <w:rFonts w:asciiTheme="majorHAnsi" w:hAnsiTheme="majorHAnsi" w:cstheme="majorHAnsi"/>
          <w:sz w:val="24"/>
          <w:szCs w:val="24"/>
        </w:rPr>
        <w:t xml:space="preserve">. Return on assets and return on equity recorded mean of </w:t>
      </w:r>
      <w:r w:rsidRPr="0022305D">
        <w:rPr>
          <w:rFonts w:asciiTheme="majorHAnsi" w:hAnsiTheme="majorHAnsi" w:cstheme="majorHAnsi"/>
          <w:color w:val="000000"/>
          <w:sz w:val="24"/>
          <w:szCs w:val="24"/>
        </w:rPr>
        <w:t>7.82 and 3.69 with minimum value of 4.96 and 1.01; and maximum value of 16.46 and 5.83; and standard deviation of 1.96 and 1.33 respectively. This further shows that all banks operated at a positive value of return on assets and return on equity.</w:t>
      </w:r>
    </w:p>
    <w:p w14:paraId="347931A5" w14:textId="77777777" w:rsidR="00085B61" w:rsidRPr="00085B61" w:rsidRDefault="00085B61" w:rsidP="00085B61">
      <w:pPr>
        <w:spacing w:line="480" w:lineRule="auto"/>
        <w:ind w:firstLine="720"/>
        <w:rPr>
          <w:rFonts w:asciiTheme="majorHAnsi" w:hAnsiTheme="majorHAnsi" w:cstheme="majorHAnsi"/>
          <w:sz w:val="24"/>
          <w:szCs w:val="24"/>
        </w:rPr>
      </w:pPr>
    </w:p>
    <w:p w14:paraId="3B19EF08" w14:textId="5885FD86" w:rsidR="00724D10" w:rsidRPr="00C553FC" w:rsidRDefault="0022305D" w:rsidP="004478B6">
      <w:pPr>
        <w:pStyle w:val="Heading2"/>
        <w:spacing w:line="480" w:lineRule="auto"/>
        <w:jc w:val="left"/>
        <w:rPr>
          <w:rFonts w:asciiTheme="majorHAnsi" w:hAnsiTheme="majorHAnsi" w:cstheme="majorHAnsi"/>
          <w:sz w:val="28"/>
          <w:szCs w:val="28"/>
        </w:rPr>
      </w:pPr>
      <w:bookmarkStart w:id="85" w:name="_Toc76494414"/>
      <w:bookmarkStart w:id="86" w:name="_Toc78205808"/>
      <w:r w:rsidRPr="00C553FC">
        <w:rPr>
          <w:rFonts w:asciiTheme="majorHAnsi" w:hAnsiTheme="majorHAnsi" w:cstheme="majorHAnsi"/>
          <w:bCs/>
          <w:sz w:val="28"/>
          <w:szCs w:val="28"/>
        </w:rPr>
        <w:t>Diagnostic</w:t>
      </w:r>
      <w:r w:rsidR="00724D10" w:rsidRPr="00C553FC">
        <w:rPr>
          <w:rFonts w:asciiTheme="majorHAnsi" w:hAnsiTheme="majorHAnsi" w:cstheme="majorHAnsi"/>
          <w:sz w:val="28"/>
          <w:szCs w:val="28"/>
        </w:rPr>
        <w:t xml:space="preserve"> </w:t>
      </w:r>
      <w:r w:rsidRPr="00C553FC">
        <w:rPr>
          <w:rFonts w:asciiTheme="majorHAnsi" w:hAnsiTheme="majorHAnsi" w:cstheme="majorHAnsi"/>
          <w:sz w:val="28"/>
          <w:szCs w:val="28"/>
        </w:rPr>
        <w:t>t</w:t>
      </w:r>
      <w:r w:rsidR="00724D10" w:rsidRPr="00C553FC">
        <w:rPr>
          <w:rFonts w:asciiTheme="majorHAnsi" w:hAnsiTheme="majorHAnsi" w:cstheme="majorHAnsi"/>
          <w:sz w:val="28"/>
          <w:szCs w:val="28"/>
        </w:rPr>
        <w:t>ests</w:t>
      </w:r>
      <w:bookmarkEnd w:id="85"/>
      <w:bookmarkEnd w:id="86"/>
    </w:p>
    <w:p w14:paraId="5F7A0267" w14:textId="5E488B58" w:rsidR="00724D10" w:rsidRPr="006E6AAA" w:rsidRDefault="00484A0B" w:rsidP="006E6AAA">
      <w:pPr>
        <w:autoSpaceDE w:val="0"/>
        <w:autoSpaceDN w:val="0"/>
        <w:adjustRightInd w:val="0"/>
        <w:spacing w:after="0" w:line="480" w:lineRule="auto"/>
        <w:ind w:firstLine="720"/>
        <w:rPr>
          <w:rFonts w:asciiTheme="majorHAnsi" w:eastAsia="TimesNewRomanPSMT" w:hAnsiTheme="majorHAnsi" w:cstheme="majorHAnsi"/>
          <w:sz w:val="24"/>
          <w:szCs w:val="24"/>
        </w:rPr>
      </w:pPr>
      <w:r w:rsidRPr="00484A0B">
        <w:rPr>
          <w:rFonts w:asciiTheme="majorHAnsi" w:eastAsia="TimesNewRomanPSMT" w:hAnsiTheme="majorHAnsi" w:cstheme="majorHAnsi"/>
          <w:sz w:val="24"/>
          <w:szCs w:val="24"/>
        </w:rPr>
        <w:t xml:space="preserve">In order to ensure that linear regression model assumptions were not violated, this study conducted various diagnostic tests. </w:t>
      </w:r>
      <w:r w:rsidRPr="00484A0B">
        <w:rPr>
          <w:rFonts w:asciiTheme="majorHAnsi" w:hAnsiTheme="majorHAnsi" w:cstheme="majorHAnsi"/>
          <w:sz w:val="24"/>
          <w:szCs w:val="24"/>
        </w:rPr>
        <w:t>The</w:t>
      </w:r>
      <w:r w:rsidR="006E6AAA">
        <w:rPr>
          <w:rFonts w:asciiTheme="majorHAnsi" w:hAnsiTheme="majorHAnsi" w:cstheme="majorHAnsi"/>
          <w:sz w:val="24"/>
          <w:szCs w:val="24"/>
        </w:rPr>
        <w:t>se</w:t>
      </w:r>
      <w:r w:rsidRPr="00484A0B">
        <w:rPr>
          <w:rFonts w:asciiTheme="majorHAnsi" w:hAnsiTheme="majorHAnsi" w:cstheme="majorHAnsi"/>
          <w:sz w:val="24"/>
          <w:szCs w:val="24"/>
        </w:rPr>
        <w:t xml:space="preserve"> tests include: normality test, linearity test</w:t>
      </w:r>
      <w:r w:rsidR="00FA0074">
        <w:rPr>
          <w:rFonts w:asciiTheme="majorHAnsi" w:hAnsiTheme="majorHAnsi" w:cstheme="majorHAnsi"/>
          <w:sz w:val="24"/>
          <w:szCs w:val="24"/>
        </w:rPr>
        <w:t xml:space="preserve"> and </w:t>
      </w:r>
      <w:r w:rsidRPr="00484A0B">
        <w:rPr>
          <w:rFonts w:asciiTheme="majorHAnsi" w:hAnsiTheme="majorHAnsi" w:cstheme="majorHAnsi"/>
          <w:sz w:val="24"/>
          <w:szCs w:val="24"/>
        </w:rPr>
        <w:t>multicollinearity test.</w:t>
      </w:r>
      <w:r>
        <w:rPr>
          <w:rFonts w:asciiTheme="majorHAnsi" w:hAnsiTheme="majorHAnsi" w:cstheme="majorHAnsi"/>
          <w:sz w:val="24"/>
          <w:szCs w:val="24"/>
        </w:rPr>
        <w:t xml:space="preserve"> Before normality test was done, the data was transformed through square root because they were not normally distributed.</w:t>
      </w:r>
      <w:r>
        <w:rPr>
          <w:rFonts w:asciiTheme="majorHAnsi" w:eastAsia="TimesNewRomanPSMT" w:hAnsiTheme="majorHAnsi" w:cstheme="majorHAnsi"/>
          <w:sz w:val="24"/>
          <w:szCs w:val="24"/>
        </w:rPr>
        <w:t xml:space="preserve"> </w:t>
      </w:r>
      <w:r w:rsidR="00724D10" w:rsidRPr="00484A0B">
        <w:rPr>
          <w:rFonts w:asciiTheme="majorHAnsi" w:hAnsiTheme="majorHAnsi" w:cstheme="majorHAnsi"/>
          <w:sz w:val="24"/>
          <w:szCs w:val="24"/>
        </w:rPr>
        <w:t xml:space="preserve">This study tested normality by </w:t>
      </w:r>
      <w:r w:rsidR="003F2B2F">
        <w:rPr>
          <w:rFonts w:asciiTheme="majorHAnsi" w:hAnsiTheme="majorHAnsi" w:cstheme="majorHAnsi"/>
          <w:sz w:val="24"/>
          <w:szCs w:val="24"/>
        </w:rPr>
        <w:t>Q-Q plots and histograms</w:t>
      </w:r>
      <w:r w:rsidR="00724D10" w:rsidRPr="00484A0B">
        <w:rPr>
          <w:rFonts w:asciiTheme="majorHAnsi" w:hAnsiTheme="majorHAnsi" w:cstheme="majorHAnsi"/>
          <w:sz w:val="24"/>
          <w:szCs w:val="24"/>
        </w:rPr>
        <w:t xml:space="preserve"> while multi collinearity was tested by the use of Variation Inflation Factor and correlation coefficient.</w:t>
      </w:r>
    </w:p>
    <w:p w14:paraId="5E51DBDF" w14:textId="77777777" w:rsidR="006E6AAA" w:rsidRPr="00C553FC" w:rsidRDefault="006E6AAA" w:rsidP="00724D10">
      <w:pPr>
        <w:pStyle w:val="Heading2"/>
        <w:spacing w:line="480" w:lineRule="auto"/>
        <w:rPr>
          <w:rFonts w:asciiTheme="majorHAnsi" w:hAnsiTheme="majorHAnsi" w:cstheme="majorHAnsi"/>
          <w:sz w:val="28"/>
          <w:szCs w:val="28"/>
        </w:rPr>
      </w:pPr>
      <w:bookmarkStart w:id="87" w:name="_Toc76494415"/>
    </w:p>
    <w:bookmarkEnd w:id="87"/>
    <w:p w14:paraId="38F08CFB" w14:textId="77777777" w:rsidR="00724D10" w:rsidRPr="0022305D" w:rsidRDefault="00724D10" w:rsidP="00724D10">
      <w:pPr>
        <w:autoSpaceDE w:val="0"/>
        <w:autoSpaceDN w:val="0"/>
        <w:adjustRightInd w:val="0"/>
        <w:spacing w:after="0" w:line="480" w:lineRule="auto"/>
        <w:jc w:val="center"/>
        <w:rPr>
          <w:rFonts w:asciiTheme="majorHAnsi" w:hAnsiTheme="majorHAnsi" w:cstheme="majorHAnsi"/>
          <w:b/>
          <w:bCs/>
          <w:sz w:val="24"/>
          <w:szCs w:val="24"/>
        </w:rPr>
      </w:pPr>
    </w:p>
    <w:p w14:paraId="7F5D43E2" w14:textId="77777777" w:rsidR="00724D10" w:rsidRPr="0022305D" w:rsidRDefault="00724D10" w:rsidP="00724D10">
      <w:pPr>
        <w:autoSpaceDE w:val="0"/>
        <w:autoSpaceDN w:val="0"/>
        <w:adjustRightInd w:val="0"/>
        <w:spacing w:after="0" w:line="480" w:lineRule="auto"/>
        <w:jc w:val="center"/>
        <w:rPr>
          <w:rFonts w:asciiTheme="majorHAnsi" w:hAnsiTheme="majorHAnsi" w:cstheme="majorHAnsi"/>
          <w:b/>
          <w:bCs/>
          <w:sz w:val="24"/>
          <w:szCs w:val="24"/>
        </w:rPr>
      </w:pPr>
    </w:p>
    <w:p w14:paraId="380238FA" w14:textId="77777777" w:rsidR="00724D10" w:rsidRPr="0022305D" w:rsidRDefault="00724D10" w:rsidP="00724D10">
      <w:pPr>
        <w:keepNext/>
        <w:autoSpaceDE w:val="0"/>
        <w:autoSpaceDN w:val="0"/>
        <w:adjustRightInd w:val="0"/>
        <w:spacing w:after="0" w:line="240" w:lineRule="auto"/>
        <w:rPr>
          <w:rFonts w:asciiTheme="majorHAnsi" w:hAnsiTheme="majorHAnsi" w:cstheme="majorHAnsi"/>
        </w:rPr>
      </w:pPr>
      <w:r w:rsidRPr="0022305D">
        <w:rPr>
          <w:rFonts w:asciiTheme="majorHAnsi" w:hAnsiTheme="majorHAnsi" w:cstheme="majorHAnsi"/>
          <w:noProof/>
          <w:sz w:val="24"/>
          <w:szCs w:val="24"/>
        </w:rPr>
        <w:drawing>
          <wp:inline distT="0" distB="0" distL="0" distR="0" wp14:anchorId="2048C1D1" wp14:editId="22404372">
            <wp:extent cx="5943600" cy="47529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4752975"/>
                    </a:xfrm>
                    <a:prstGeom prst="rect">
                      <a:avLst/>
                    </a:prstGeom>
                    <a:noFill/>
                    <a:ln>
                      <a:noFill/>
                    </a:ln>
                  </pic:spPr>
                </pic:pic>
              </a:graphicData>
            </a:graphic>
          </wp:inline>
        </w:drawing>
      </w:r>
    </w:p>
    <w:p w14:paraId="48509CAC" w14:textId="18832C21" w:rsidR="00724D10" w:rsidRPr="0022305D" w:rsidRDefault="00724D10" w:rsidP="00724D10">
      <w:pPr>
        <w:pStyle w:val="Caption"/>
        <w:rPr>
          <w:rFonts w:asciiTheme="majorHAnsi" w:hAnsiTheme="majorHAnsi" w:cstheme="majorHAnsi"/>
          <w:i w:val="0"/>
          <w:iCs w:val="0"/>
          <w:color w:val="auto"/>
          <w:sz w:val="24"/>
          <w:szCs w:val="24"/>
        </w:rPr>
      </w:pPr>
      <w:bookmarkStart w:id="88" w:name="_Toc75805882"/>
      <w:bookmarkStart w:id="89" w:name="_Toc78179810"/>
      <w:r w:rsidRPr="00486F63">
        <w:rPr>
          <w:rFonts w:asciiTheme="majorHAnsi" w:hAnsiTheme="majorHAnsi" w:cstheme="majorHAnsi"/>
          <w:iCs w:val="0"/>
          <w:color w:val="auto"/>
          <w:sz w:val="24"/>
          <w:szCs w:val="24"/>
        </w:rPr>
        <w:t xml:space="preserve">Figure </w:t>
      </w:r>
      <w:r w:rsidRPr="00486F63">
        <w:rPr>
          <w:rFonts w:asciiTheme="majorHAnsi" w:hAnsiTheme="majorHAnsi" w:cstheme="majorHAnsi"/>
          <w:iCs w:val="0"/>
          <w:color w:val="auto"/>
          <w:sz w:val="24"/>
          <w:szCs w:val="24"/>
        </w:rPr>
        <w:fldChar w:fldCharType="begin"/>
      </w:r>
      <w:r w:rsidRPr="00486F63">
        <w:rPr>
          <w:rFonts w:asciiTheme="majorHAnsi" w:hAnsiTheme="majorHAnsi" w:cstheme="majorHAnsi"/>
          <w:iCs w:val="0"/>
          <w:color w:val="auto"/>
          <w:sz w:val="24"/>
          <w:szCs w:val="24"/>
        </w:rPr>
        <w:instrText xml:space="preserve"> SEQ Figure \* ARABIC </w:instrText>
      </w:r>
      <w:r w:rsidRPr="00486F63">
        <w:rPr>
          <w:rFonts w:asciiTheme="majorHAnsi" w:hAnsiTheme="majorHAnsi" w:cstheme="majorHAnsi"/>
          <w:iCs w:val="0"/>
          <w:color w:val="auto"/>
          <w:sz w:val="24"/>
          <w:szCs w:val="24"/>
        </w:rPr>
        <w:fldChar w:fldCharType="separate"/>
      </w:r>
      <w:r w:rsidR="00B64A79" w:rsidRPr="00486F63">
        <w:rPr>
          <w:rFonts w:asciiTheme="majorHAnsi" w:hAnsiTheme="majorHAnsi" w:cstheme="majorHAnsi"/>
          <w:iCs w:val="0"/>
          <w:noProof/>
          <w:color w:val="auto"/>
          <w:sz w:val="24"/>
          <w:szCs w:val="24"/>
        </w:rPr>
        <w:t>2</w:t>
      </w:r>
      <w:r w:rsidRPr="00486F63">
        <w:rPr>
          <w:rFonts w:asciiTheme="majorHAnsi" w:hAnsiTheme="majorHAnsi" w:cstheme="majorHAnsi"/>
          <w:iCs w:val="0"/>
          <w:color w:val="auto"/>
          <w:sz w:val="24"/>
          <w:szCs w:val="24"/>
        </w:rPr>
        <w:fldChar w:fldCharType="end"/>
      </w:r>
      <w:r w:rsidRPr="0022305D">
        <w:rPr>
          <w:rFonts w:asciiTheme="majorHAnsi" w:hAnsiTheme="majorHAnsi" w:cstheme="majorHAnsi"/>
          <w:i w:val="0"/>
          <w:iCs w:val="0"/>
          <w:color w:val="auto"/>
          <w:sz w:val="24"/>
          <w:szCs w:val="24"/>
        </w:rPr>
        <w:t>:</w:t>
      </w:r>
      <w:r w:rsidR="00CB2CDC">
        <w:rPr>
          <w:rFonts w:asciiTheme="majorHAnsi" w:hAnsiTheme="majorHAnsi" w:cstheme="majorHAnsi"/>
          <w:i w:val="0"/>
          <w:iCs w:val="0"/>
          <w:color w:val="auto"/>
          <w:sz w:val="24"/>
          <w:szCs w:val="24"/>
        </w:rPr>
        <w:t>Total debt to total assets ratio</w:t>
      </w:r>
      <w:r w:rsidRPr="0022305D">
        <w:rPr>
          <w:rFonts w:asciiTheme="majorHAnsi" w:hAnsiTheme="majorHAnsi" w:cstheme="majorHAnsi"/>
          <w:i w:val="0"/>
          <w:iCs w:val="0"/>
          <w:color w:val="auto"/>
          <w:sz w:val="24"/>
          <w:szCs w:val="24"/>
        </w:rPr>
        <w:t xml:space="preserve"> data distribution</w:t>
      </w:r>
      <w:bookmarkEnd w:id="88"/>
      <w:r w:rsidR="00486F63">
        <w:rPr>
          <w:rFonts w:asciiTheme="majorHAnsi" w:hAnsiTheme="majorHAnsi" w:cstheme="majorHAnsi"/>
          <w:i w:val="0"/>
          <w:iCs w:val="0"/>
          <w:color w:val="auto"/>
          <w:sz w:val="24"/>
          <w:szCs w:val="24"/>
        </w:rPr>
        <w:t>.</w:t>
      </w:r>
      <w:bookmarkEnd w:id="89"/>
    </w:p>
    <w:p w14:paraId="579741C2" w14:textId="16F99D0D" w:rsidR="00724D10" w:rsidRPr="0022305D" w:rsidRDefault="00F527AF" w:rsidP="00724D10">
      <w:pPr>
        <w:autoSpaceDE w:val="0"/>
        <w:autoSpaceDN w:val="0"/>
        <w:adjustRightInd w:val="0"/>
        <w:spacing w:after="0" w:line="480" w:lineRule="auto"/>
        <w:rPr>
          <w:rFonts w:asciiTheme="majorHAnsi" w:hAnsiTheme="majorHAnsi" w:cstheme="majorHAnsi"/>
          <w:sz w:val="24"/>
          <w:szCs w:val="24"/>
        </w:rPr>
      </w:pPr>
      <w:r>
        <w:rPr>
          <w:rFonts w:asciiTheme="majorHAnsi" w:hAnsiTheme="majorHAnsi" w:cstheme="majorHAnsi"/>
          <w:sz w:val="24"/>
          <w:szCs w:val="24"/>
        </w:rPr>
        <w:t>Source: Research findings</w:t>
      </w:r>
    </w:p>
    <w:p w14:paraId="60C2900F" w14:textId="77777777" w:rsidR="00724D10" w:rsidRPr="00C21202" w:rsidRDefault="00724D10" w:rsidP="00724D10">
      <w:pPr>
        <w:autoSpaceDE w:val="0"/>
        <w:autoSpaceDN w:val="0"/>
        <w:adjustRightInd w:val="0"/>
        <w:spacing w:after="0" w:line="480" w:lineRule="auto"/>
        <w:rPr>
          <w:rFonts w:asciiTheme="majorHAnsi" w:hAnsiTheme="majorHAnsi" w:cstheme="majorHAnsi"/>
          <w:sz w:val="24"/>
          <w:szCs w:val="24"/>
        </w:rPr>
      </w:pPr>
    </w:p>
    <w:p w14:paraId="43181805" w14:textId="664E3B79" w:rsidR="00B912AC" w:rsidRDefault="00B912AC" w:rsidP="00C21202">
      <w:pPr>
        <w:autoSpaceDE w:val="0"/>
        <w:autoSpaceDN w:val="0"/>
        <w:adjustRightInd w:val="0"/>
        <w:spacing w:after="0" w:line="480" w:lineRule="auto"/>
        <w:rPr>
          <w:rFonts w:asciiTheme="majorHAnsi" w:hAnsiTheme="majorHAnsi" w:cstheme="majorHAnsi"/>
          <w:sz w:val="24"/>
          <w:szCs w:val="24"/>
        </w:rPr>
      </w:pPr>
      <w:r w:rsidRPr="00B912AC">
        <w:rPr>
          <w:rFonts w:asciiTheme="majorHAnsi" w:hAnsiTheme="majorHAnsi" w:cstheme="majorHAnsi"/>
          <w:sz w:val="24"/>
          <w:szCs w:val="24"/>
        </w:rPr>
        <w:t xml:space="preserve">The histogram above (figure </w:t>
      </w:r>
      <w:r>
        <w:rPr>
          <w:rFonts w:asciiTheme="majorHAnsi" w:hAnsiTheme="majorHAnsi" w:cstheme="majorHAnsi"/>
          <w:sz w:val="24"/>
          <w:szCs w:val="24"/>
        </w:rPr>
        <w:t>2</w:t>
      </w:r>
      <w:r w:rsidRPr="00B912AC">
        <w:rPr>
          <w:rFonts w:asciiTheme="majorHAnsi" w:hAnsiTheme="majorHAnsi" w:cstheme="majorHAnsi"/>
          <w:sz w:val="24"/>
          <w:szCs w:val="24"/>
        </w:rPr>
        <w:t xml:space="preserve">) shows data distribution for </w:t>
      </w:r>
      <w:r w:rsidR="00CB2CDC">
        <w:rPr>
          <w:rFonts w:asciiTheme="majorHAnsi" w:hAnsiTheme="majorHAnsi" w:cstheme="majorHAnsi"/>
          <w:sz w:val="24"/>
          <w:szCs w:val="24"/>
        </w:rPr>
        <w:t>total debt to total assets ratio</w:t>
      </w:r>
      <w:r>
        <w:rPr>
          <w:rFonts w:asciiTheme="majorHAnsi" w:hAnsiTheme="majorHAnsi" w:cstheme="majorHAnsi"/>
          <w:sz w:val="24"/>
          <w:szCs w:val="24"/>
        </w:rPr>
        <w:t>. It can be observed that t</w:t>
      </w:r>
      <w:r w:rsidRPr="00B912AC">
        <w:rPr>
          <w:rFonts w:asciiTheme="majorHAnsi" w:hAnsiTheme="majorHAnsi" w:cstheme="majorHAnsi"/>
          <w:sz w:val="24"/>
          <w:szCs w:val="24"/>
        </w:rPr>
        <w:t>he histogram is approximately bell-shaped and symmetrical about the mean.</w:t>
      </w:r>
      <w:r>
        <w:rPr>
          <w:rFonts w:asciiTheme="majorHAnsi" w:hAnsiTheme="majorHAnsi" w:cstheme="majorHAnsi"/>
          <w:sz w:val="24"/>
          <w:szCs w:val="24"/>
        </w:rPr>
        <w:t xml:space="preserve"> </w:t>
      </w:r>
      <w:r w:rsidRPr="00B912AC">
        <w:rPr>
          <w:rFonts w:asciiTheme="majorHAnsi" w:hAnsiTheme="majorHAnsi" w:cstheme="majorHAnsi"/>
          <w:sz w:val="24"/>
          <w:szCs w:val="24"/>
        </w:rPr>
        <w:t>This suggests that the data is normally distributed and the assumptions of normality are not violated.</w:t>
      </w:r>
    </w:p>
    <w:p w14:paraId="231D6E76" w14:textId="7359477A" w:rsidR="00724D10" w:rsidRPr="00C21202" w:rsidRDefault="00C21202" w:rsidP="00C21202">
      <w:pPr>
        <w:autoSpaceDE w:val="0"/>
        <w:autoSpaceDN w:val="0"/>
        <w:adjustRightInd w:val="0"/>
        <w:spacing w:after="0" w:line="480" w:lineRule="auto"/>
        <w:rPr>
          <w:rFonts w:asciiTheme="majorHAnsi" w:hAnsiTheme="majorHAnsi" w:cstheme="majorHAnsi"/>
          <w:sz w:val="24"/>
          <w:szCs w:val="24"/>
        </w:rPr>
      </w:pPr>
      <w:r w:rsidRPr="00C21202">
        <w:rPr>
          <w:rFonts w:asciiTheme="majorHAnsi" w:hAnsiTheme="majorHAnsi" w:cstheme="majorHAnsi"/>
          <w:sz w:val="24"/>
          <w:szCs w:val="24"/>
        </w:rPr>
        <w:t>ta is normally distributed.</w:t>
      </w:r>
    </w:p>
    <w:p w14:paraId="3B2364A2" w14:textId="77777777" w:rsidR="00724D10" w:rsidRPr="0022305D" w:rsidRDefault="00724D10" w:rsidP="00724D10">
      <w:pPr>
        <w:keepNext/>
        <w:autoSpaceDE w:val="0"/>
        <w:autoSpaceDN w:val="0"/>
        <w:adjustRightInd w:val="0"/>
        <w:spacing w:after="0" w:line="240" w:lineRule="auto"/>
        <w:rPr>
          <w:rFonts w:asciiTheme="majorHAnsi" w:hAnsiTheme="majorHAnsi" w:cstheme="majorHAnsi"/>
        </w:rPr>
      </w:pPr>
      <w:r w:rsidRPr="0022305D">
        <w:rPr>
          <w:rFonts w:asciiTheme="majorHAnsi" w:hAnsiTheme="majorHAnsi" w:cstheme="majorHAnsi"/>
          <w:noProof/>
          <w:sz w:val="24"/>
          <w:szCs w:val="24"/>
        </w:rPr>
        <w:drawing>
          <wp:inline distT="0" distB="0" distL="0" distR="0" wp14:anchorId="1668420F" wp14:editId="38BB0487">
            <wp:extent cx="5943600" cy="4752975"/>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4752975"/>
                    </a:xfrm>
                    <a:prstGeom prst="rect">
                      <a:avLst/>
                    </a:prstGeom>
                    <a:noFill/>
                    <a:ln>
                      <a:noFill/>
                    </a:ln>
                  </pic:spPr>
                </pic:pic>
              </a:graphicData>
            </a:graphic>
          </wp:inline>
        </w:drawing>
      </w:r>
    </w:p>
    <w:p w14:paraId="57D8646E" w14:textId="42EC5594" w:rsidR="00724D10" w:rsidRPr="0022305D" w:rsidRDefault="00724D10" w:rsidP="00724D10">
      <w:pPr>
        <w:pStyle w:val="Caption"/>
        <w:rPr>
          <w:rFonts w:asciiTheme="majorHAnsi" w:hAnsiTheme="majorHAnsi" w:cstheme="majorHAnsi"/>
          <w:i w:val="0"/>
          <w:iCs w:val="0"/>
          <w:color w:val="auto"/>
          <w:sz w:val="24"/>
          <w:szCs w:val="24"/>
        </w:rPr>
      </w:pPr>
      <w:bookmarkStart w:id="90" w:name="_Toc75805883"/>
      <w:bookmarkStart w:id="91" w:name="_Toc78179811"/>
      <w:r w:rsidRPr="00C57EC2">
        <w:rPr>
          <w:rFonts w:asciiTheme="majorHAnsi" w:hAnsiTheme="majorHAnsi" w:cstheme="majorHAnsi"/>
          <w:color w:val="auto"/>
          <w:sz w:val="24"/>
          <w:szCs w:val="24"/>
        </w:rPr>
        <w:t xml:space="preserve">Figure </w:t>
      </w:r>
      <w:r w:rsidRPr="00C57EC2">
        <w:rPr>
          <w:rFonts w:asciiTheme="majorHAnsi" w:hAnsiTheme="majorHAnsi" w:cstheme="majorHAnsi"/>
          <w:color w:val="auto"/>
          <w:sz w:val="24"/>
          <w:szCs w:val="24"/>
        </w:rPr>
        <w:fldChar w:fldCharType="begin"/>
      </w:r>
      <w:r w:rsidRPr="00C57EC2">
        <w:rPr>
          <w:rFonts w:asciiTheme="majorHAnsi" w:hAnsiTheme="majorHAnsi" w:cstheme="majorHAnsi"/>
          <w:color w:val="auto"/>
          <w:sz w:val="24"/>
          <w:szCs w:val="24"/>
        </w:rPr>
        <w:instrText xml:space="preserve"> SEQ Figure \* ARABIC </w:instrText>
      </w:r>
      <w:r w:rsidRPr="00C57EC2">
        <w:rPr>
          <w:rFonts w:asciiTheme="majorHAnsi" w:hAnsiTheme="majorHAnsi" w:cstheme="majorHAnsi"/>
          <w:color w:val="auto"/>
          <w:sz w:val="24"/>
          <w:szCs w:val="24"/>
        </w:rPr>
        <w:fldChar w:fldCharType="separate"/>
      </w:r>
      <w:r w:rsidR="00B64A79" w:rsidRPr="00C57EC2">
        <w:rPr>
          <w:rFonts w:asciiTheme="majorHAnsi" w:hAnsiTheme="majorHAnsi" w:cstheme="majorHAnsi"/>
          <w:noProof/>
          <w:color w:val="auto"/>
          <w:sz w:val="24"/>
          <w:szCs w:val="24"/>
        </w:rPr>
        <w:t>3</w:t>
      </w:r>
      <w:r w:rsidRPr="00C57EC2">
        <w:rPr>
          <w:rFonts w:asciiTheme="majorHAnsi" w:hAnsiTheme="majorHAnsi" w:cstheme="majorHAnsi"/>
          <w:color w:val="auto"/>
          <w:sz w:val="24"/>
          <w:szCs w:val="24"/>
        </w:rPr>
        <w:fldChar w:fldCharType="end"/>
      </w:r>
      <w:r w:rsidRPr="0022305D">
        <w:rPr>
          <w:rFonts w:asciiTheme="majorHAnsi" w:hAnsiTheme="majorHAnsi" w:cstheme="majorHAnsi"/>
          <w:i w:val="0"/>
          <w:iCs w:val="0"/>
          <w:color w:val="auto"/>
          <w:sz w:val="24"/>
          <w:szCs w:val="24"/>
        </w:rPr>
        <w:t>:</w:t>
      </w:r>
      <w:r w:rsidR="00BE06BC">
        <w:rPr>
          <w:rFonts w:asciiTheme="majorHAnsi" w:hAnsiTheme="majorHAnsi" w:cstheme="majorHAnsi"/>
          <w:i w:val="0"/>
          <w:iCs w:val="0"/>
          <w:color w:val="auto"/>
          <w:sz w:val="24"/>
          <w:szCs w:val="24"/>
        </w:rPr>
        <w:t>Total debt to equity</w:t>
      </w:r>
      <w:r w:rsidRPr="0022305D">
        <w:rPr>
          <w:rFonts w:asciiTheme="majorHAnsi" w:hAnsiTheme="majorHAnsi" w:cstheme="majorHAnsi"/>
          <w:i w:val="0"/>
          <w:iCs w:val="0"/>
          <w:color w:val="auto"/>
          <w:sz w:val="24"/>
          <w:szCs w:val="24"/>
        </w:rPr>
        <w:t xml:space="preserve"> ratio data distribution</w:t>
      </w:r>
      <w:bookmarkEnd w:id="90"/>
      <w:bookmarkEnd w:id="91"/>
    </w:p>
    <w:p w14:paraId="2391B80A" w14:textId="029C9AC5" w:rsidR="00724D10" w:rsidRPr="0022305D" w:rsidRDefault="00F527AF" w:rsidP="00724D10">
      <w:pPr>
        <w:autoSpaceDE w:val="0"/>
        <w:autoSpaceDN w:val="0"/>
        <w:adjustRightInd w:val="0"/>
        <w:spacing w:after="0" w:line="240" w:lineRule="auto"/>
        <w:rPr>
          <w:rFonts w:asciiTheme="majorHAnsi" w:hAnsiTheme="majorHAnsi" w:cstheme="majorHAnsi"/>
          <w:sz w:val="24"/>
          <w:szCs w:val="24"/>
        </w:rPr>
      </w:pPr>
      <w:r>
        <w:rPr>
          <w:rFonts w:asciiTheme="majorHAnsi" w:hAnsiTheme="majorHAnsi" w:cstheme="majorHAnsi"/>
          <w:sz w:val="24"/>
          <w:szCs w:val="24"/>
        </w:rPr>
        <w:t>Source: Research findings</w:t>
      </w:r>
    </w:p>
    <w:p w14:paraId="284E1693" w14:textId="77777777" w:rsidR="00724D10" w:rsidRPr="0022305D" w:rsidRDefault="00724D10" w:rsidP="00724D10">
      <w:pPr>
        <w:autoSpaceDE w:val="0"/>
        <w:autoSpaceDN w:val="0"/>
        <w:adjustRightInd w:val="0"/>
        <w:spacing w:after="0" w:line="480" w:lineRule="auto"/>
        <w:rPr>
          <w:rFonts w:asciiTheme="majorHAnsi" w:hAnsiTheme="majorHAnsi" w:cstheme="majorHAnsi"/>
          <w:sz w:val="24"/>
          <w:szCs w:val="24"/>
        </w:rPr>
      </w:pPr>
    </w:p>
    <w:p w14:paraId="56C4CF0E" w14:textId="3A358B4D" w:rsidR="00724D10" w:rsidRPr="00B912AC" w:rsidRDefault="00724D10" w:rsidP="00B912AC">
      <w:pPr>
        <w:autoSpaceDE w:val="0"/>
        <w:autoSpaceDN w:val="0"/>
        <w:adjustRightInd w:val="0"/>
        <w:spacing w:after="0" w:line="480" w:lineRule="auto"/>
        <w:rPr>
          <w:rFonts w:asciiTheme="majorHAnsi" w:hAnsiTheme="majorHAnsi" w:cstheme="majorHAnsi"/>
          <w:b/>
          <w:bCs/>
          <w:sz w:val="24"/>
          <w:szCs w:val="24"/>
        </w:rPr>
      </w:pPr>
    </w:p>
    <w:p w14:paraId="0309CFBD" w14:textId="3FD46BF4" w:rsidR="00C21202" w:rsidRPr="00B912AC" w:rsidRDefault="00B912AC" w:rsidP="00B912AC">
      <w:pPr>
        <w:autoSpaceDE w:val="0"/>
        <w:autoSpaceDN w:val="0"/>
        <w:adjustRightInd w:val="0"/>
        <w:spacing w:after="0" w:line="480" w:lineRule="auto"/>
        <w:rPr>
          <w:rFonts w:asciiTheme="majorHAnsi" w:hAnsiTheme="majorHAnsi" w:cstheme="majorHAnsi"/>
          <w:sz w:val="24"/>
          <w:szCs w:val="24"/>
        </w:rPr>
      </w:pPr>
      <w:r w:rsidRPr="00B912AC">
        <w:rPr>
          <w:rFonts w:asciiTheme="majorHAnsi" w:hAnsiTheme="majorHAnsi" w:cstheme="majorHAnsi"/>
          <w:sz w:val="24"/>
          <w:szCs w:val="24"/>
        </w:rPr>
        <w:t xml:space="preserve">The histogram above (figure 3) shows data distribution for </w:t>
      </w:r>
      <w:r w:rsidR="00BE06BC">
        <w:rPr>
          <w:rFonts w:asciiTheme="majorHAnsi" w:hAnsiTheme="majorHAnsi" w:cstheme="majorHAnsi"/>
          <w:sz w:val="24"/>
          <w:szCs w:val="24"/>
        </w:rPr>
        <w:t>total debt to equity</w:t>
      </w:r>
      <w:r w:rsidRPr="00B912AC">
        <w:rPr>
          <w:rFonts w:asciiTheme="majorHAnsi" w:hAnsiTheme="majorHAnsi" w:cstheme="majorHAnsi"/>
          <w:sz w:val="24"/>
          <w:szCs w:val="24"/>
        </w:rPr>
        <w:t xml:space="preserve"> ratio. The histogram is approximately bell-shaped and symmetric about the mean.</w:t>
      </w:r>
      <w:r>
        <w:rPr>
          <w:rFonts w:asciiTheme="majorHAnsi" w:hAnsiTheme="majorHAnsi" w:cstheme="majorHAnsi"/>
          <w:sz w:val="24"/>
          <w:szCs w:val="24"/>
        </w:rPr>
        <w:t xml:space="preserve"> </w:t>
      </w:r>
      <w:r w:rsidR="00C21202" w:rsidRPr="00B912AC">
        <w:rPr>
          <w:rFonts w:asciiTheme="majorHAnsi" w:hAnsiTheme="majorHAnsi" w:cstheme="majorHAnsi"/>
          <w:sz w:val="24"/>
          <w:szCs w:val="24"/>
        </w:rPr>
        <w:t>This suggests that the data is normally distributed and the assumptions of normality are not violated.</w:t>
      </w:r>
    </w:p>
    <w:p w14:paraId="332DE729" w14:textId="77777777" w:rsidR="00C21202" w:rsidRPr="0022305D" w:rsidRDefault="00C21202" w:rsidP="00C21202">
      <w:pPr>
        <w:autoSpaceDE w:val="0"/>
        <w:autoSpaceDN w:val="0"/>
        <w:adjustRightInd w:val="0"/>
        <w:spacing w:after="0" w:line="480" w:lineRule="auto"/>
        <w:rPr>
          <w:rFonts w:asciiTheme="majorHAnsi" w:hAnsiTheme="majorHAnsi" w:cstheme="majorHAnsi"/>
          <w:b/>
          <w:bCs/>
          <w:sz w:val="24"/>
          <w:szCs w:val="24"/>
        </w:rPr>
      </w:pPr>
    </w:p>
    <w:p w14:paraId="57483B21" w14:textId="77777777" w:rsidR="00724D10" w:rsidRPr="0022305D" w:rsidRDefault="00724D10" w:rsidP="00724D10">
      <w:pPr>
        <w:keepNext/>
        <w:autoSpaceDE w:val="0"/>
        <w:autoSpaceDN w:val="0"/>
        <w:adjustRightInd w:val="0"/>
        <w:spacing w:after="0" w:line="240" w:lineRule="auto"/>
        <w:rPr>
          <w:rFonts w:asciiTheme="majorHAnsi" w:hAnsiTheme="majorHAnsi" w:cstheme="majorHAnsi"/>
        </w:rPr>
      </w:pPr>
      <w:r w:rsidRPr="0022305D">
        <w:rPr>
          <w:rFonts w:asciiTheme="majorHAnsi" w:hAnsiTheme="majorHAnsi" w:cstheme="majorHAnsi"/>
          <w:noProof/>
          <w:sz w:val="24"/>
          <w:szCs w:val="24"/>
        </w:rPr>
        <w:drawing>
          <wp:inline distT="0" distB="0" distL="0" distR="0" wp14:anchorId="79A98907" wp14:editId="77FAD783">
            <wp:extent cx="5943600" cy="475297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4752975"/>
                    </a:xfrm>
                    <a:prstGeom prst="rect">
                      <a:avLst/>
                    </a:prstGeom>
                    <a:noFill/>
                    <a:ln>
                      <a:noFill/>
                    </a:ln>
                  </pic:spPr>
                </pic:pic>
              </a:graphicData>
            </a:graphic>
          </wp:inline>
        </w:drawing>
      </w:r>
    </w:p>
    <w:p w14:paraId="0911422D" w14:textId="1CBCD03F" w:rsidR="00724D10" w:rsidRPr="0022305D" w:rsidRDefault="00724D10" w:rsidP="00724D10">
      <w:pPr>
        <w:pStyle w:val="Caption"/>
        <w:rPr>
          <w:rFonts w:asciiTheme="majorHAnsi" w:hAnsiTheme="majorHAnsi" w:cstheme="majorHAnsi"/>
          <w:i w:val="0"/>
          <w:iCs w:val="0"/>
          <w:color w:val="auto"/>
          <w:sz w:val="24"/>
          <w:szCs w:val="24"/>
        </w:rPr>
      </w:pPr>
      <w:bookmarkStart w:id="92" w:name="_Toc75805884"/>
      <w:bookmarkStart w:id="93" w:name="_Toc78179812"/>
      <w:r w:rsidRPr="00C57EC2">
        <w:rPr>
          <w:rFonts w:asciiTheme="majorHAnsi" w:hAnsiTheme="majorHAnsi" w:cstheme="majorHAnsi"/>
          <w:color w:val="auto"/>
          <w:sz w:val="24"/>
          <w:szCs w:val="24"/>
        </w:rPr>
        <w:t xml:space="preserve">Figure </w:t>
      </w:r>
      <w:r w:rsidRPr="00C57EC2">
        <w:rPr>
          <w:rFonts w:asciiTheme="majorHAnsi" w:hAnsiTheme="majorHAnsi" w:cstheme="majorHAnsi"/>
          <w:color w:val="auto"/>
          <w:sz w:val="24"/>
          <w:szCs w:val="24"/>
        </w:rPr>
        <w:fldChar w:fldCharType="begin"/>
      </w:r>
      <w:r w:rsidRPr="00C57EC2">
        <w:rPr>
          <w:rFonts w:asciiTheme="majorHAnsi" w:hAnsiTheme="majorHAnsi" w:cstheme="majorHAnsi"/>
          <w:color w:val="auto"/>
          <w:sz w:val="24"/>
          <w:szCs w:val="24"/>
        </w:rPr>
        <w:instrText xml:space="preserve"> SEQ Figure \* ARABIC </w:instrText>
      </w:r>
      <w:r w:rsidRPr="00C57EC2">
        <w:rPr>
          <w:rFonts w:asciiTheme="majorHAnsi" w:hAnsiTheme="majorHAnsi" w:cstheme="majorHAnsi"/>
          <w:color w:val="auto"/>
          <w:sz w:val="24"/>
          <w:szCs w:val="24"/>
        </w:rPr>
        <w:fldChar w:fldCharType="separate"/>
      </w:r>
      <w:r w:rsidR="00B64A79" w:rsidRPr="00C57EC2">
        <w:rPr>
          <w:rFonts w:asciiTheme="majorHAnsi" w:hAnsiTheme="majorHAnsi" w:cstheme="majorHAnsi"/>
          <w:noProof/>
          <w:color w:val="auto"/>
          <w:sz w:val="24"/>
          <w:szCs w:val="24"/>
        </w:rPr>
        <w:t>4</w:t>
      </w:r>
      <w:r w:rsidRPr="00C57EC2">
        <w:rPr>
          <w:rFonts w:asciiTheme="majorHAnsi" w:hAnsiTheme="majorHAnsi" w:cstheme="majorHAnsi"/>
          <w:color w:val="auto"/>
          <w:sz w:val="24"/>
          <w:szCs w:val="24"/>
        </w:rPr>
        <w:fldChar w:fldCharType="end"/>
      </w:r>
      <w:r w:rsidRPr="0022305D">
        <w:rPr>
          <w:rFonts w:asciiTheme="majorHAnsi" w:hAnsiTheme="majorHAnsi" w:cstheme="majorHAnsi"/>
          <w:i w:val="0"/>
          <w:iCs w:val="0"/>
          <w:color w:val="auto"/>
          <w:sz w:val="24"/>
          <w:szCs w:val="24"/>
        </w:rPr>
        <w:t>:Return on assets data distribution</w:t>
      </w:r>
      <w:bookmarkEnd w:id="92"/>
      <w:bookmarkEnd w:id="93"/>
    </w:p>
    <w:p w14:paraId="6BEACA9C" w14:textId="253EA66F" w:rsidR="00724D10" w:rsidRPr="0022305D" w:rsidRDefault="00F527AF" w:rsidP="00724D10">
      <w:pPr>
        <w:autoSpaceDE w:val="0"/>
        <w:autoSpaceDN w:val="0"/>
        <w:adjustRightInd w:val="0"/>
        <w:spacing w:after="0" w:line="480" w:lineRule="auto"/>
        <w:rPr>
          <w:rFonts w:asciiTheme="majorHAnsi" w:hAnsiTheme="majorHAnsi" w:cstheme="majorHAnsi"/>
          <w:sz w:val="24"/>
          <w:szCs w:val="24"/>
        </w:rPr>
      </w:pPr>
      <w:r>
        <w:rPr>
          <w:rFonts w:asciiTheme="majorHAnsi" w:hAnsiTheme="majorHAnsi" w:cstheme="majorHAnsi"/>
          <w:sz w:val="24"/>
          <w:szCs w:val="24"/>
        </w:rPr>
        <w:t>Source: Research findings</w:t>
      </w:r>
    </w:p>
    <w:p w14:paraId="296BB5B0" w14:textId="6B5CBF38" w:rsidR="00724D10" w:rsidRDefault="00724D10" w:rsidP="00C21202">
      <w:pPr>
        <w:autoSpaceDE w:val="0"/>
        <w:autoSpaceDN w:val="0"/>
        <w:adjustRightInd w:val="0"/>
        <w:spacing w:after="0" w:line="480" w:lineRule="auto"/>
        <w:rPr>
          <w:rFonts w:asciiTheme="majorHAnsi" w:hAnsiTheme="majorHAnsi" w:cstheme="majorHAnsi"/>
          <w:b/>
          <w:bCs/>
          <w:sz w:val="24"/>
          <w:szCs w:val="24"/>
        </w:rPr>
      </w:pPr>
    </w:p>
    <w:p w14:paraId="2B84BA0A" w14:textId="523ED293" w:rsidR="00B912AC" w:rsidRDefault="00B912AC" w:rsidP="00B912AC">
      <w:pPr>
        <w:autoSpaceDE w:val="0"/>
        <w:autoSpaceDN w:val="0"/>
        <w:adjustRightInd w:val="0"/>
        <w:spacing w:after="0" w:line="480" w:lineRule="auto"/>
        <w:rPr>
          <w:rFonts w:asciiTheme="majorHAnsi" w:hAnsiTheme="majorHAnsi" w:cstheme="majorHAnsi"/>
          <w:sz w:val="24"/>
          <w:szCs w:val="24"/>
        </w:rPr>
      </w:pPr>
      <w:r w:rsidRPr="00B912AC">
        <w:rPr>
          <w:rFonts w:asciiTheme="majorHAnsi" w:hAnsiTheme="majorHAnsi" w:cstheme="majorHAnsi"/>
          <w:sz w:val="24"/>
          <w:szCs w:val="24"/>
        </w:rPr>
        <w:t xml:space="preserve">The histogram above (figure </w:t>
      </w:r>
      <w:r>
        <w:rPr>
          <w:rFonts w:asciiTheme="majorHAnsi" w:hAnsiTheme="majorHAnsi" w:cstheme="majorHAnsi"/>
          <w:sz w:val="24"/>
          <w:szCs w:val="24"/>
        </w:rPr>
        <w:t>4</w:t>
      </w:r>
      <w:r w:rsidRPr="00B912AC">
        <w:rPr>
          <w:rFonts w:asciiTheme="majorHAnsi" w:hAnsiTheme="majorHAnsi" w:cstheme="majorHAnsi"/>
          <w:sz w:val="24"/>
          <w:szCs w:val="24"/>
        </w:rPr>
        <w:t xml:space="preserve">) shows data distribution for </w:t>
      </w:r>
      <w:r>
        <w:rPr>
          <w:rFonts w:asciiTheme="majorHAnsi" w:hAnsiTheme="majorHAnsi" w:cstheme="majorHAnsi"/>
          <w:sz w:val="24"/>
          <w:szCs w:val="24"/>
        </w:rPr>
        <w:t>return on assets. It can be seen that t</w:t>
      </w:r>
      <w:r w:rsidRPr="00B912AC">
        <w:rPr>
          <w:rFonts w:asciiTheme="majorHAnsi" w:hAnsiTheme="majorHAnsi" w:cstheme="majorHAnsi"/>
          <w:sz w:val="24"/>
          <w:szCs w:val="24"/>
        </w:rPr>
        <w:t>he histogram is approximately bell-shaped and symmetrical about the mean.</w:t>
      </w:r>
      <w:r>
        <w:rPr>
          <w:rFonts w:asciiTheme="majorHAnsi" w:hAnsiTheme="majorHAnsi" w:cstheme="majorHAnsi"/>
          <w:sz w:val="24"/>
          <w:szCs w:val="24"/>
        </w:rPr>
        <w:t xml:space="preserve"> </w:t>
      </w:r>
      <w:r w:rsidRPr="00B912AC">
        <w:rPr>
          <w:rFonts w:asciiTheme="majorHAnsi" w:hAnsiTheme="majorHAnsi" w:cstheme="majorHAnsi"/>
          <w:sz w:val="24"/>
          <w:szCs w:val="24"/>
        </w:rPr>
        <w:t>This suggests that the data is normally distributed and the assumptions of normality are not violated.</w:t>
      </w:r>
    </w:p>
    <w:p w14:paraId="6020C945" w14:textId="77777777" w:rsidR="00C21202" w:rsidRPr="0022305D" w:rsidRDefault="00C21202" w:rsidP="00C21202">
      <w:pPr>
        <w:autoSpaceDE w:val="0"/>
        <w:autoSpaceDN w:val="0"/>
        <w:adjustRightInd w:val="0"/>
        <w:spacing w:after="0" w:line="480" w:lineRule="auto"/>
        <w:rPr>
          <w:rFonts w:asciiTheme="majorHAnsi" w:hAnsiTheme="majorHAnsi" w:cstheme="majorHAnsi"/>
          <w:b/>
          <w:bCs/>
          <w:sz w:val="24"/>
          <w:szCs w:val="24"/>
        </w:rPr>
      </w:pPr>
    </w:p>
    <w:p w14:paraId="2425F3E3" w14:textId="77777777" w:rsidR="00724D10" w:rsidRPr="0022305D" w:rsidRDefault="00724D10" w:rsidP="00724D10">
      <w:pPr>
        <w:keepNext/>
        <w:autoSpaceDE w:val="0"/>
        <w:autoSpaceDN w:val="0"/>
        <w:adjustRightInd w:val="0"/>
        <w:spacing w:after="0" w:line="240" w:lineRule="auto"/>
        <w:rPr>
          <w:rFonts w:asciiTheme="majorHAnsi" w:hAnsiTheme="majorHAnsi" w:cstheme="majorHAnsi"/>
        </w:rPr>
      </w:pPr>
      <w:r w:rsidRPr="0022305D">
        <w:rPr>
          <w:rFonts w:asciiTheme="majorHAnsi" w:hAnsiTheme="majorHAnsi" w:cstheme="majorHAnsi"/>
          <w:noProof/>
          <w:sz w:val="24"/>
          <w:szCs w:val="24"/>
        </w:rPr>
        <w:drawing>
          <wp:inline distT="0" distB="0" distL="0" distR="0" wp14:anchorId="6D2AB419" wp14:editId="1A4C187F">
            <wp:extent cx="5943600" cy="475297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4752975"/>
                    </a:xfrm>
                    <a:prstGeom prst="rect">
                      <a:avLst/>
                    </a:prstGeom>
                    <a:noFill/>
                    <a:ln>
                      <a:noFill/>
                    </a:ln>
                  </pic:spPr>
                </pic:pic>
              </a:graphicData>
            </a:graphic>
          </wp:inline>
        </w:drawing>
      </w:r>
    </w:p>
    <w:p w14:paraId="5F0A01DC" w14:textId="38D336CB" w:rsidR="00724D10" w:rsidRPr="0022305D" w:rsidRDefault="00724D10" w:rsidP="00724D10">
      <w:pPr>
        <w:pStyle w:val="Caption"/>
        <w:rPr>
          <w:rFonts w:asciiTheme="majorHAnsi" w:hAnsiTheme="majorHAnsi" w:cstheme="majorHAnsi"/>
          <w:i w:val="0"/>
          <w:iCs w:val="0"/>
          <w:color w:val="auto"/>
          <w:sz w:val="24"/>
          <w:szCs w:val="24"/>
        </w:rPr>
      </w:pPr>
      <w:bookmarkStart w:id="94" w:name="_Toc75805885"/>
      <w:bookmarkStart w:id="95" w:name="_Toc78179813"/>
      <w:r w:rsidRPr="00C57EC2">
        <w:rPr>
          <w:rFonts w:asciiTheme="majorHAnsi" w:hAnsiTheme="majorHAnsi" w:cstheme="majorHAnsi"/>
          <w:color w:val="auto"/>
          <w:sz w:val="24"/>
          <w:szCs w:val="24"/>
        </w:rPr>
        <w:t xml:space="preserve">Figure </w:t>
      </w:r>
      <w:r w:rsidRPr="00C57EC2">
        <w:rPr>
          <w:rFonts w:asciiTheme="majorHAnsi" w:hAnsiTheme="majorHAnsi" w:cstheme="majorHAnsi"/>
          <w:color w:val="auto"/>
          <w:sz w:val="24"/>
          <w:szCs w:val="24"/>
        </w:rPr>
        <w:fldChar w:fldCharType="begin"/>
      </w:r>
      <w:r w:rsidRPr="00C57EC2">
        <w:rPr>
          <w:rFonts w:asciiTheme="majorHAnsi" w:hAnsiTheme="majorHAnsi" w:cstheme="majorHAnsi"/>
          <w:color w:val="auto"/>
          <w:sz w:val="24"/>
          <w:szCs w:val="24"/>
        </w:rPr>
        <w:instrText xml:space="preserve"> SEQ Figure \* ARABIC </w:instrText>
      </w:r>
      <w:r w:rsidRPr="00C57EC2">
        <w:rPr>
          <w:rFonts w:asciiTheme="majorHAnsi" w:hAnsiTheme="majorHAnsi" w:cstheme="majorHAnsi"/>
          <w:color w:val="auto"/>
          <w:sz w:val="24"/>
          <w:szCs w:val="24"/>
        </w:rPr>
        <w:fldChar w:fldCharType="separate"/>
      </w:r>
      <w:r w:rsidR="00B64A79" w:rsidRPr="00C57EC2">
        <w:rPr>
          <w:rFonts w:asciiTheme="majorHAnsi" w:hAnsiTheme="majorHAnsi" w:cstheme="majorHAnsi"/>
          <w:noProof/>
          <w:color w:val="auto"/>
          <w:sz w:val="24"/>
          <w:szCs w:val="24"/>
        </w:rPr>
        <w:t>5</w:t>
      </w:r>
      <w:r w:rsidRPr="00C57EC2">
        <w:rPr>
          <w:rFonts w:asciiTheme="majorHAnsi" w:hAnsiTheme="majorHAnsi" w:cstheme="majorHAnsi"/>
          <w:color w:val="auto"/>
          <w:sz w:val="24"/>
          <w:szCs w:val="24"/>
        </w:rPr>
        <w:fldChar w:fldCharType="end"/>
      </w:r>
      <w:r w:rsidRPr="0022305D">
        <w:rPr>
          <w:rFonts w:asciiTheme="majorHAnsi" w:hAnsiTheme="majorHAnsi" w:cstheme="majorHAnsi"/>
          <w:i w:val="0"/>
          <w:iCs w:val="0"/>
          <w:color w:val="auto"/>
          <w:sz w:val="24"/>
          <w:szCs w:val="24"/>
        </w:rPr>
        <w:t>:</w:t>
      </w:r>
      <w:r w:rsidR="00F527AF">
        <w:rPr>
          <w:rFonts w:asciiTheme="majorHAnsi" w:hAnsiTheme="majorHAnsi" w:cstheme="majorHAnsi"/>
          <w:i w:val="0"/>
          <w:iCs w:val="0"/>
          <w:color w:val="auto"/>
          <w:sz w:val="24"/>
          <w:szCs w:val="24"/>
        </w:rPr>
        <w:t xml:space="preserve"> </w:t>
      </w:r>
      <w:r w:rsidRPr="0022305D">
        <w:rPr>
          <w:rFonts w:asciiTheme="majorHAnsi" w:hAnsiTheme="majorHAnsi" w:cstheme="majorHAnsi"/>
          <w:i w:val="0"/>
          <w:iCs w:val="0"/>
          <w:color w:val="auto"/>
          <w:sz w:val="24"/>
          <w:szCs w:val="24"/>
        </w:rPr>
        <w:t>Profitability data distribution</w:t>
      </w:r>
      <w:bookmarkEnd w:id="94"/>
      <w:bookmarkEnd w:id="95"/>
    </w:p>
    <w:p w14:paraId="1DF6502E" w14:textId="151A629B" w:rsidR="00724D10" w:rsidRPr="0022305D" w:rsidRDefault="00F527AF" w:rsidP="00724D10">
      <w:pPr>
        <w:autoSpaceDE w:val="0"/>
        <w:autoSpaceDN w:val="0"/>
        <w:adjustRightInd w:val="0"/>
        <w:spacing w:after="0" w:line="480" w:lineRule="auto"/>
        <w:rPr>
          <w:rFonts w:asciiTheme="majorHAnsi" w:hAnsiTheme="majorHAnsi" w:cstheme="majorHAnsi"/>
          <w:sz w:val="24"/>
          <w:szCs w:val="24"/>
        </w:rPr>
      </w:pPr>
      <w:r>
        <w:rPr>
          <w:rFonts w:asciiTheme="majorHAnsi" w:hAnsiTheme="majorHAnsi" w:cstheme="majorHAnsi"/>
          <w:sz w:val="24"/>
          <w:szCs w:val="24"/>
        </w:rPr>
        <w:t>Source: Research findings</w:t>
      </w:r>
    </w:p>
    <w:p w14:paraId="0D6EC6D6" w14:textId="77777777" w:rsidR="00724D10" w:rsidRPr="0022305D" w:rsidRDefault="00724D10" w:rsidP="00724D10">
      <w:pPr>
        <w:autoSpaceDE w:val="0"/>
        <w:autoSpaceDN w:val="0"/>
        <w:adjustRightInd w:val="0"/>
        <w:spacing w:after="0" w:line="480" w:lineRule="auto"/>
        <w:rPr>
          <w:rFonts w:asciiTheme="majorHAnsi" w:hAnsiTheme="majorHAnsi" w:cstheme="majorHAnsi"/>
          <w:sz w:val="24"/>
          <w:szCs w:val="24"/>
        </w:rPr>
      </w:pPr>
    </w:p>
    <w:p w14:paraId="6DCEB636" w14:textId="78451628" w:rsidR="00724D10" w:rsidRDefault="00724D10" w:rsidP="00C21202">
      <w:pPr>
        <w:autoSpaceDE w:val="0"/>
        <w:autoSpaceDN w:val="0"/>
        <w:adjustRightInd w:val="0"/>
        <w:spacing w:after="0" w:line="480" w:lineRule="auto"/>
        <w:rPr>
          <w:rFonts w:asciiTheme="majorHAnsi" w:hAnsiTheme="majorHAnsi" w:cstheme="majorHAnsi"/>
          <w:b/>
          <w:bCs/>
          <w:sz w:val="24"/>
          <w:szCs w:val="24"/>
        </w:rPr>
      </w:pPr>
    </w:p>
    <w:p w14:paraId="4A6A2E52" w14:textId="31430992" w:rsidR="00B912AC" w:rsidRDefault="00B912AC" w:rsidP="00B912AC">
      <w:pPr>
        <w:autoSpaceDE w:val="0"/>
        <w:autoSpaceDN w:val="0"/>
        <w:adjustRightInd w:val="0"/>
        <w:spacing w:after="0" w:line="480" w:lineRule="auto"/>
        <w:rPr>
          <w:rFonts w:asciiTheme="majorHAnsi" w:hAnsiTheme="majorHAnsi" w:cstheme="majorHAnsi"/>
          <w:sz w:val="24"/>
          <w:szCs w:val="24"/>
        </w:rPr>
      </w:pPr>
      <w:r w:rsidRPr="00B912AC">
        <w:rPr>
          <w:rFonts w:asciiTheme="majorHAnsi" w:hAnsiTheme="majorHAnsi" w:cstheme="majorHAnsi"/>
          <w:sz w:val="24"/>
          <w:szCs w:val="24"/>
        </w:rPr>
        <w:t xml:space="preserve">The histogram above (figure </w:t>
      </w:r>
      <w:r>
        <w:rPr>
          <w:rFonts w:asciiTheme="majorHAnsi" w:hAnsiTheme="majorHAnsi" w:cstheme="majorHAnsi"/>
          <w:sz w:val="24"/>
          <w:szCs w:val="24"/>
        </w:rPr>
        <w:t>5</w:t>
      </w:r>
      <w:r w:rsidRPr="00B912AC">
        <w:rPr>
          <w:rFonts w:asciiTheme="majorHAnsi" w:hAnsiTheme="majorHAnsi" w:cstheme="majorHAnsi"/>
          <w:sz w:val="24"/>
          <w:szCs w:val="24"/>
        </w:rPr>
        <w:t xml:space="preserve">) shows data distribution for </w:t>
      </w:r>
      <w:r>
        <w:rPr>
          <w:rFonts w:asciiTheme="majorHAnsi" w:hAnsiTheme="majorHAnsi" w:cstheme="majorHAnsi"/>
          <w:sz w:val="24"/>
          <w:szCs w:val="24"/>
        </w:rPr>
        <w:t>profitability. It can be seen that t</w:t>
      </w:r>
      <w:r w:rsidRPr="00B912AC">
        <w:rPr>
          <w:rFonts w:asciiTheme="majorHAnsi" w:hAnsiTheme="majorHAnsi" w:cstheme="majorHAnsi"/>
          <w:sz w:val="24"/>
          <w:szCs w:val="24"/>
        </w:rPr>
        <w:t>he histogram is approximately bell-shaped and symmetrical about the mean.</w:t>
      </w:r>
      <w:r>
        <w:rPr>
          <w:rFonts w:asciiTheme="majorHAnsi" w:hAnsiTheme="majorHAnsi" w:cstheme="majorHAnsi"/>
          <w:sz w:val="24"/>
          <w:szCs w:val="24"/>
        </w:rPr>
        <w:t xml:space="preserve"> </w:t>
      </w:r>
      <w:r w:rsidRPr="00B912AC">
        <w:rPr>
          <w:rFonts w:asciiTheme="majorHAnsi" w:hAnsiTheme="majorHAnsi" w:cstheme="majorHAnsi"/>
          <w:sz w:val="24"/>
          <w:szCs w:val="24"/>
        </w:rPr>
        <w:t>This suggests that the data is normally distributed and the assumptions of normality are not violated.</w:t>
      </w:r>
    </w:p>
    <w:p w14:paraId="0D6FED27" w14:textId="77777777" w:rsidR="00C21202" w:rsidRPr="0022305D" w:rsidRDefault="00C21202" w:rsidP="00C21202">
      <w:pPr>
        <w:autoSpaceDE w:val="0"/>
        <w:autoSpaceDN w:val="0"/>
        <w:adjustRightInd w:val="0"/>
        <w:spacing w:after="0" w:line="480" w:lineRule="auto"/>
        <w:rPr>
          <w:rFonts w:asciiTheme="majorHAnsi" w:hAnsiTheme="majorHAnsi" w:cstheme="majorHAnsi"/>
          <w:b/>
          <w:bCs/>
          <w:sz w:val="24"/>
          <w:szCs w:val="24"/>
        </w:rPr>
      </w:pPr>
    </w:p>
    <w:p w14:paraId="2E3137D8" w14:textId="77777777" w:rsidR="00724D10" w:rsidRPr="0022305D" w:rsidRDefault="00724D10" w:rsidP="00724D10">
      <w:pPr>
        <w:keepNext/>
        <w:autoSpaceDE w:val="0"/>
        <w:autoSpaceDN w:val="0"/>
        <w:adjustRightInd w:val="0"/>
        <w:spacing w:after="0" w:line="240" w:lineRule="auto"/>
        <w:rPr>
          <w:rFonts w:asciiTheme="majorHAnsi" w:hAnsiTheme="majorHAnsi" w:cstheme="majorHAnsi"/>
        </w:rPr>
      </w:pPr>
      <w:r w:rsidRPr="0022305D">
        <w:rPr>
          <w:rFonts w:asciiTheme="majorHAnsi" w:hAnsiTheme="majorHAnsi" w:cstheme="majorHAnsi"/>
          <w:noProof/>
          <w:sz w:val="24"/>
          <w:szCs w:val="24"/>
        </w:rPr>
        <w:drawing>
          <wp:inline distT="0" distB="0" distL="0" distR="0" wp14:anchorId="74548BE3" wp14:editId="6A8775CE">
            <wp:extent cx="5943600" cy="475297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4752975"/>
                    </a:xfrm>
                    <a:prstGeom prst="rect">
                      <a:avLst/>
                    </a:prstGeom>
                    <a:noFill/>
                    <a:ln>
                      <a:noFill/>
                    </a:ln>
                  </pic:spPr>
                </pic:pic>
              </a:graphicData>
            </a:graphic>
          </wp:inline>
        </w:drawing>
      </w:r>
    </w:p>
    <w:p w14:paraId="3138279F" w14:textId="627FDA32" w:rsidR="00724D10" w:rsidRPr="00F527AF" w:rsidRDefault="00724D10" w:rsidP="00724D10">
      <w:pPr>
        <w:pStyle w:val="Caption"/>
        <w:rPr>
          <w:rFonts w:asciiTheme="majorHAnsi" w:hAnsiTheme="majorHAnsi" w:cstheme="majorHAnsi"/>
          <w:i w:val="0"/>
          <w:iCs w:val="0"/>
          <w:color w:val="auto"/>
          <w:sz w:val="24"/>
          <w:szCs w:val="24"/>
        </w:rPr>
      </w:pPr>
      <w:bookmarkStart w:id="96" w:name="_Toc75805886"/>
      <w:bookmarkStart w:id="97" w:name="_Toc78179814"/>
      <w:r w:rsidRPr="00C57EC2">
        <w:rPr>
          <w:rFonts w:asciiTheme="majorHAnsi" w:hAnsiTheme="majorHAnsi" w:cstheme="majorHAnsi"/>
          <w:color w:val="auto"/>
          <w:sz w:val="24"/>
          <w:szCs w:val="24"/>
        </w:rPr>
        <w:t xml:space="preserve">Figure </w:t>
      </w:r>
      <w:r w:rsidRPr="00C57EC2">
        <w:rPr>
          <w:rFonts w:asciiTheme="majorHAnsi" w:hAnsiTheme="majorHAnsi" w:cstheme="majorHAnsi"/>
          <w:color w:val="auto"/>
          <w:sz w:val="24"/>
          <w:szCs w:val="24"/>
        </w:rPr>
        <w:fldChar w:fldCharType="begin"/>
      </w:r>
      <w:r w:rsidRPr="00C57EC2">
        <w:rPr>
          <w:rFonts w:asciiTheme="majorHAnsi" w:hAnsiTheme="majorHAnsi" w:cstheme="majorHAnsi"/>
          <w:color w:val="auto"/>
          <w:sz w:val="24"/>
          <w:szCs w:val="24"/>
        </w:rPr>
        <w:instrText xml:space="preserve"> SEQ Figure \* ARABIC </w:instrText>
      </w:r>
      <w:r w:rsidRPr="00C57EC2">
        <w:rPr>
          <w:rFonts w:asciiTheme="majorHAnsi" w:hAnsiTheme="majorHAnsi" w:cstheme="majorHAnsi"/>
          <w:color w:val="auto"/>
          <w:sz w:val="24"/>
          <w:szCs w:val="24"/>
        </w:rPr>
        <w:fldChar w:fldCharType="separate"/>
      </w:r>
      <w:r w:rsidR="00B64A79" w:rsidRPr="00C57EC2">
        <w:rPr>
          <w:rFonts w:asciiTheme="majorHAnsi" w:hAnsiTheme="majorHAnsi" w:cstheme="majorHAnsi"/>
          <w:noProof/>
          <w:color w:val="auto"/>
          <w:sz w:val="24"/>
          <w:szCs w:val="24"/>
        </w:rPr>
        <w:t>6</w:t>
      </w:r>
      <w:r w:rsidRPr="00C57EC2">
        <w:rPr>
          <w:rFonts w:asciiTheme="majorHAnsi" w:hAnsiTheme="majorHAnsi" w:cstheme="majorHAnsi"/>
          <w:color w:val="auto"/>
          <w:sz w:val="24"/>
          <w:szCs w:val="24"/>
        </w:rPr>
        <w:fldChar w:fldCharType="end"/>
      </w:r>
      <w:r w:rsidRPr="00F527AF">
        <w:rPr>
          <w:rFonts w:asciiTheme="majorHAnsi" w:hAnsiTheme="majorHAnsi" w:cstheme="majorHAnsi"/>
          <w:i w:val="0"/>
          <w:iCs w:val="0"/>
          <w:color w:val="auto"/>
          <w:sz w:val="24"/>
          <w:szCs w:val="24"/>
        </w:rPr>
        <w:t>:ROE Q-Q plot</w:t>
      </w:r>
      <w:bookmarkEnd w:id="96"/>
      <w:bookmarkEnd w:id="97"/>
    </w:p>
    <w:p w14:paraId="03CF67D4" w14:textId="1F33E757" w:rsidR="00921D58" w:rsidRDefault="00F527AF" w:rsidP="00724D10">
      <w:pPr>
        <w:autoSpaceDE w:val="0"/>
        <w:autoSpaceDN w:val="0"/>
        <w:adjustRightInd w:val="0"/>
        <w:spacing w:after="0" w:line="480" w:lineRule="auto"/>
        <w:rPr>
          <w:rFonts w:asciiTheme="majorHAnsi" w:hAnsiTheme="majorHAnsi" w:cstheme="majorHAnsi"/>
          <w:sz w:val="24"/>
          <w:szCs w:val="24"/>
        </w:rPr>
      </w:pPr>
      <w:r>
        <w:rPr>
          <w:rFonts w:asciiTheme="majorHAnsi" w:hAnsiTheme="majorHAnsi" w:cstheme="majorHAnsi"/>
          <w:sz w:val="24"/>
          <w:szCs w:val="24"/>
        </w:rPr>
        <w:t>Source: Research findings</w:t>
      </w:r>
    </w:p>
    <w:p w14:paraId="0811806F" w14:textId="723C1E2C" w:rsidR="00921D58" w:rsidRPr="00C21202" w:rsidRDefault="00921D58" w:rsidP="00C21202">
      <w:pPr>
        <w:spacing w:before="100" w:beforeAutospacing="1" w:after="100" w:afterAutospacing="1" w:line="480" w:lineRule="auto"/>
        <w:ind w:firstLine="720"/>
        <w:rPr>
          <w:rFonts w:ascii="Times New Roman" w:eastAsia="Times New Roman" w:hAnsi="Times New Roman" w:cs="Times New Roman"/>
          <w:sz w:val="24"/>
          <w:szCs w:val="24"/>
        </w:rPr>
      </w:pPr>
      <w:r w:rsidRPr="00921D58">
        <w:rPr>
          <w:rFonts w:ascii="Times New Roman" w:eastAsia="Times New Roman" w:hAnsi="Times New Roman" w:cs="Times New Roman"/>
          <w:sz w:val="24"/>
          <w:szCs w:val="24"/>
        </w:rPr>
        <w:t>The Q-Q plot</w:t>
      </w:r>
      <w:r w:rsidR="000021FD">
        <w:rPr>
          <w:rFonts w:ascii="Times New Roman" w:eastAsia="Times New Roman" w:hAnsi="Times New Roman" w:cs="Times New Roman"/>
          <w:sz w:val="24"/>
          <w:szCs w:val="24"/>
        </w:rPr>
        <w:t xml:space="preserve"> was drawn to </w:t>
      </w:r>
      <w:r w:rsidRPr="00921D58">
        <w:rPr>
          <w:rFonts w:ascii="Times New Roman" w:eastAsia="Times New Roman" w:hAnsi="Times New Roman" w:cs="Times New Roman"/>
          <w:sz w:val="24"/>
          <w:szCs w:val="24"/>
        </w:rPr>
        <w:t xml:space="preserve">assess if a set of data </w:t>
      </w:r>
      <w:r w:rsidR="00B912AC">
        <w:rPr>
          <w:rFonts w:ascii="Times New Roman" w:eastAsia="Times New Roman" w:hAnsi="Times New Roman" w:cs="Times New Roman"/>
          <w:sz w:val="24"/>
          <w:szCs w:val="24"/>
        </w:rPr>
        <w:t xml:space="preserve">was normally distributed. </w:t>
      </w:r>
      <w:r w:rsidR="000021FD">
        <w:rPr>
          <w:rFonts w:ascii="Times New Roman" w:eastAsia="Times New Roman" w:hAnsi="Times New Roman" w:cs="Times New Roman"/>
          <w:sz w:val="24"/>
          <w:szCs w:val="24"/>
        </w:rPr>
        <w:t>The results from the</w:t>
      </w:r>
      <w:r w:rsidR="000021FD" w:rsidRPr="00921D58">
        <w:rPr>
          <w:rFonts w:ascii="Times New Roman" w:eastAsia="Times New Roman" w:hAnsi="Times New Roman" w:cs="Times New Roman"/>
          <w:sz w:val="24"/>
          <w:szCs w:val="24"/>
        </w:rPr>
        <w:t xml:space="preserve"> Q-Q plot </w:t>
      </w:r>
      <w:r w:rsidR="00E00959">
        <w:rPr>
          <w:rFonts w:ascii="Times New Roman" w:eastAsia="Times New Roman" w:hAnsi="Times New Roman" w:cs="Times New Roman"/>
          <w:sz w:val="24"/>
          <w:szCs w:val="24"/>
        </w:rPr>
        <w:t xml:space="preserve">above </w:t>
      </w:r>
      <w:r w:rsidR="000021FD">
        <w:rPr>
          <w:rFonts w:ascii="Times New Roman" w:eastAsia="Times New Roman" w:hAnsi="Times New Roman" w:cs="Times New Roman"/>
          <w:sz w:val="24"/>
          <w:szCs w:val="24"/>
        </w:rPr>
        <w:t>(figure 6) indicates that the</w:t>
      </w:r>
      <w:r w:rsidR="000021FD" w:rsidRPr="00921D58">
        <w:rPr>
          <w:rFonts w:ascii="Times New Roman" w:eastAsia="Times New Roman" w:hAnsi="Times New Roman" w:cs="Times New Roman"/>
          <w:sz w:val="24"/>
          <w:szCs w:val="24"/>
        </w:rPr>
        <w:t xml:space="preserve"> </w:t>
      </w:r>
      <w:r w:rsidR="000021FD">
        <w:rPr>
          <w:rFonts w:ascii="Times New Roman" w:eastAsia="Times New Roman" w:hAnsi="Times New Roman" w:cs="Times New Roman"/>
          <w:sz w:val="24"/>
          <w:szCs w:val="24"/>
        </w:rPr>
        <w:t xml:space="preserve">distribution of </w:t>
      </w:r>
      <w:r w:rsidR="000021FD" w:rsidRPr="00921D58">
        <w:rPr>
          <w:rFonts w:ascii="Times New Roman" w:eastAsia="Times New Roman" w:hAnsi="Times New Roman" w:cs="Times New Roman"/>
          <w:sz w:val="24"/>
          <w:szCs w:val="24"/>
        </w:rPr>
        <w:t xml:space="preserve">scatterplot </w:t>
      </w:r>
      <w:r w:rsidR="000021FD">
        <w:rPr>
          <w:rFonts w:ascii="Times New Roman" w:eastAsia="Times New Roman" w:hAnsi="Times New Roman" w:cs="Times New Roman"/>
          <w:sz w:val="24"/>
          <w:szCs w:val="24"/>
        </w:rPr>
        <w:t>gives</w:t>
      </w:r>
      <w:r w:rsidR="000021FD" w:rsidRPr="00921D58">
        <w:rPr>
          <w:rFonts w:ascii="Times New Roman" w:eastAsia="Times New Roman" w:hAnsi="Times New Roman" w:cs="Times New Roman"/>
          <w:sz w:val="24"/>
          <w:szCs w:val="24"/>
        </w:rPr>
        <w:t xml:space="preserve"> the points </w:t>
      </w:r>
      <w:r w:rsidR="000021FD">
        <w:rPr>
          <w:rFonts w:ascii="Times New Roman" w:eastAsia="Times New Roman" w:hAnsi="Times New Roman" w:cs="Times New Roman"/>
          <w:sz w:val="24"/>
          <w:szCs w:val="24"/>
        </w:rPr>
        <w:t xml:space="preserve">that </w:t>
      </w:r>
      <w:r w:rsidR="000021FD" w:rsidRPr="00921D58">
        <w:rPr>
          <w:rFonts w:ascii="Times New Roman" w:eastAsia="Times New Roman" w:hAnsi="Times New Roman" w:cs="Times New Roman"/>
          <w:sz w:val="24"/>
          <w:szCs w:val="24"/>
        </w:rPr>
        <w:t>form</w:t>
      </w:r>
      <w:r w:rsidR="000021FD">
        <w:rPr>
          <w:rFonts w:ascii="Times New Roman" w:eastAsia="Times New Roman" w:hAnsi="Times New Roman" w:cs="Times New Roman"/>
          <w:sz w:val="24"/>
          <w:szCs w:val="24"/>
        </w:rPr>
        <w:t>ed</w:t>
      </w:r>
      <w:r w:rsidR="000021FD" w:rsidRPr="00921D58">
        <w:rPr>
          <w:rFonts w:ascii="Times New Roman" w:eastAsia="Times New Roman" w:hAnsi="Times New Roman" w:cs="Times New Roman"/>
          <w:sz w:val="24"/>
          <w:szCs w:val="24"/>
        </w:rPr>
        <w:t xml:space="preserve"> a line that</w:t>
      </w:r>
      <w:r w:rsidR="000021FD">
        <w:rPr>
          <w:rFonts w:ascii="Times New Roman" w:eastAsia="Times New Roman" w:hAnsi="Times New Roman" w:cs="Times New Roman"/>
          <w:sz w:val="24"/>
          <w:szCs w:val="24"/>
        </w:rPr>
        <w:t xml:space="preserve"> is</w:t>
      </w:r>
      <w:r w:rsidR="000021FD" w:rsidRPr="00921D58">
        <w:rPr>
          <w:rFonts w:ascii="Times New Roman" w:eastAsia="Times New Roman" w:hAnsi="Times New Roman" w:cs="Times New Roman"/>
          <w:sz w:val="24"/>
          <w:szCs w:val="24"/>
        </w:rPr>
        <w:t xml:space="preserve"> roughly</w:t>
      </w:r>
      <w:r w:rsidR="000021FD">
        <w:rPr>
          <w:rFonts w:ascii="Times New Roman" w:eastAsia="Times New Roman" w:hAnsi="Times New Roman" w:cs="Times New Roman"/>
          <w:sz w:val="24"/>
          <w:szCs w:val="24"/>
        </w:rPr>
        <w:t xml:space="preserve"> and nearly </w:t>
      </w:r>
      <w:r w:rsidR="000021FD" w:rsidRPr="00921D58">
        <w:rPr>
          <w:rFonts w:ascii="Times New Roman" w:eastAsia="Times New Roman" w:hAnsi="Times New Roman" w:cs="Times New Roman"/>
          <w:sz w:val="24"/>
          <w:szCs w:val="24"/>
        </w:rPr>
        <w:t xml:space="preserve">straight. </w:t>
      </w:r>
      <w:r w:rsidR="000021FD">
        <w:rPr>
          <w:rFonts w:ascii="Times New Roman" w:eastAsia="Times New Roman" w:hAnsi="Times New Roman" w:cs="Times New Roman"/>
          <w:sz w:val="24"/>
          <w:szCs w:val="24"/>
        </w:rPr>
        <w:t>This shows that the data is n</w:t>
      </w:r>
      <w:r w:rsidR="000021FD" w:rsidRPr="00921D58">
        <w:rPr>
          <w:rFonts w:ascii="Times New Roman" w:eastAsia="Times New Roman" w:hAnsi="Times New Roman" w:cs="Times New Roman"/>
          <w:sz w:val="24"/>
          <w:szCs w:val="24"/>
        </w:rPr>
        <w:t>ormal</w:t>
      </w:r>
      <w:r w:rsidR="000021FD">
        <w:rPr>
          <w:rFonts w:ascii="Times New Roman" w:eastAsia="Times New Roman" w:hAnsi="Times New Roman" w:cs="Times New Roman"/>
          <w:sz w:val="24"/>
          <w:szCs w:val="24"/>
        </w:rPr>
        <w:t>ly</w:t>
      </w:r>
      <w:r w:rsidR="000021FD" w:rsidRPr="00921D58">
        <w:rPr>
          <w:rFonts w:ascii="Times New Roman" w:eastAsia="Times New Roman" w:hAnsi="Times New Roman" w:cs="Times New Roman"/>
          <w:sz w:val="24"/>
          <w:szCs w:val="24"/>
        </w:rPr>
        <w:t xml:space="preserve"> distribut</w:t>
      </w:r>
      <w:r w:rsidR="000021FD">
        <w:rPr>
          <w:rFonts w:ascii="Times New Roman" w:eastAsia="Times New Roman" w:hAnsi="Times New Roman" w:cs="Times New Roman"/>
          <w:sz w:val="24"/>
          <w:szCs w:val="24"/>
        </w:rPr>
        <w:t>ed</w:t>
      </w:r>
      <w:r w:rsidR="00C21202">
        <w:rPr>
          <w:rFonts w:ascii="Times New Roman" w:eastAsia="Times New Roman" w:hAnsi="Times New Roman" w:cs="Times New Roman"/>
          <w:sz w:val="24"/>
          <w:szCs w:val="24"/>
        </w:rPr>
        <w:t xml:space="preserve"> and normality assumptions are not violated</w:t>
      </w:r>
    </w:p>
    <w:p w14:paraId="463408B2" w14:textId="553E76BF" w:rsidR="00EC53C3" w:rsidRPr="0022305D" w:rsidRDefault="00EC53C3" w:rsidP="000021FD">
      <w:pPr>
        <w:autoSpaceDE w:val="0"/>
        <w:autoSpaceDN w:val="0"/>
        <w:adjustRightInd w:val="0"/>
        <w:spacing w:after="0" w:line="480" w:lineRule="auto"/>
        <w:rPr>
          <w:rFonts w:asciiTheme="majorHAnsi" w:hAnsiTheme="majorHAnsi" w:cstheme="majorHAnsi"/>
          <w:b/>
          <w:bCs/>
          <w:sz w:val="24"/>
          <w:szCs w:val="24"/>
        </w:rPr>
      </w:pPr>
    </w:p>
    <w:p w14:paraId="5B37BDA1" w14:textId="77777777" w:rsidR="00724D10" w:rsidRPr="0022305D" w:rsidRDefault="00724D10" w:rsidP="00B912AC">
      <w:pPr>
        <w:autoSpaceDE w:val="0"/>
        <w:autoSpaceDN w:val="0"/>
        <w:adjustRightInd w:val="0"/>
        <w:spacing w:after="0" w:line="480" w:lineRule="auto"/>
        <w:rPr>
          <w:rFonts w:asciiTheme="majorHAnsi" w:hAnsiTheme="majorHAnsi" w:cstheme="majorHAnsi"/>
          <w:b/>
          <w:bCs/>
          <w:sz w:val="24"/>
          <w:szCs w:val="24"/>
        </w:rPr>
      </w:pPr>
    </w:p>
    <w:p w14:paraId="0472B3BE" w14:textId="77777777" w:rsidR="00724D10" w:rsidRPr="00C553FC" w:rsidRDefault="00724D10" w:rsidP="004478B6">
      <w:pPr>
        <w:pStyle w:val="Heading2"/>
        <w:spacing w:line="480" w:lineRule="auto"/>
        <w:jc w:val="left"/>
        <w:rPr>
          <w:rFonts w:asciiTheme="majorHAnsi" w:hAnsiTheme="majorHAnsi" w:cstheme="majorHAnsi"/>
          <w:color w:val="000000"/>
          <w:sz w:val="28"/>
          <w:szCs w:val="28"/>
        </w:rPr>
      </w:pPr>
      <w:bookmarkStart w:id="98" w:name="_Toc76494416"/>
      <w:bookmarkStart w:id="99" w:name="_Toc78205809"/>
      <w:r w:rsidRPr="00C553FC">
        <w:rPr>
          <w:rFonts w:asciiTheme="majorHAnsi" w:hAnsiTheme="majorHAnsi" w:cstheme="majorHAnsi"/>
          <w:sz w:val="28"/>
          <w:szCs w:val="28"/>
        </w:rPr>
        <w:t>Multi-collinearity Test</w:t>
      </w:r>
      <w:bookmarkEnd w:id="98"/>
      <w:bookmarkEnd w:id="99"/>
    </w:p>
    <w:p w14:paraId="53B701A7" w14:textId="7E7545DA" w:rsidR="00684649" w:rsidRDefault="00724D10" w:rsidP="00684649">
      <w:pPr>
        <w:autoSpaceDE w:val="0"/>
        <w:autoSpaceDN w:val="0"/>
        <w:adjustRightInd w:val="0"/>
        <w:spacing w:after="0" w:line="480" w:lineRule="auto"/>
        <w:ind w:firstLine="720"/>
        <w:rPr>
          <w:rFonts w:asciiTheme="majorHAnsi" w:hAnsiTheme="majorHAnsi" w:cstheme="majorHAnsi"/>
          <w:sz w:val="24"/>
          <w:szCs w:val="24"/>
        </w:rPr>
      </w:pPr>
      <w:r w:rsidRPr="000265BB">
        <w:rPr>
          <w:rFonts w:asciiTheme="majorHAnsi" w:hAnsiTheme="majorHAnsi" w:cstheme="majorHAnsi"/>
          <w:sz w:val="24"/>
          <w:szCs w:val="24"/>
        </w:rPr>
        <w:t xml:space="preserve">Variation Inflation </w:t>
      </w:r>
      <w:r w:rsidR="00F527AF" w:rsidRPr="000265BB">
        <w:rPr>
          <w:rFonts w:asciiTheme="majorHAnsi" w:hAnsiTheme="majorHAnsi" w:cstheme="majorHAnsi"/>
          <w:sz w:val="24"/>
          <w:szCs w:val="24"/>
        </w:rPr>
        <w:t>Factor and</w:t>
      </w:r>
      <w:r w:rsidRPr="000265BB">
        <w:rPr>
          <w:rFonts w:asciiTheme="majorHAnsi" w:hAnsiTheme="majorHAnsi" w:cstheme="majorHAnsi"/>
          <w:sz w:val="24"/>
          <w:szCs w:val="24"/>
        </w:rPr>
        <w:t xml:space="preserve"> Pair-wise correlation was used to examine the level of collinearity present between independent variables used in the study. </w:t>
      </w:r>
      <w:r w:rsidR="000265BB" w:rsidRPr="000265BB">
        <w:rPr>
          <w:rFonts w:asciiTheme="majorHAnsi" w:hAnsiTheme="majorHAnsi" w:cstheme="majorHAnsi"/>
          <w:sz w:val="24"/>
          <w:szCs w:val="24"/>
        </w:rPr>
        <w:t>The assessment of multicollinearity is important because the higher the level of multicollinearity, the wider the confidence range of the parameters</w:t>
      </w:r>
      <w:r w:rsidR="007B2007">
        <w:rPr>
          <w:rFonts w:asciiTheme="majorHAnsi" w:hAnsiTheme="majorHAnsi" w:cstheme="majorHAnsi"/>
          <w:sz w:val="24"/>
          <w:szCs w:val="24"/>
        </w:rPr>
        <w:t xml:space="preserve"> </w:t>
      </w:r>
      <w:r w:rsidR="007B2007">
        <w:rPr>
          <w:rFonts w:asciiTheme="majorHAnsi" w:hAnsiTheme="majorHAnsi" w:cstheme="majorHAnsi"/>
          <w:sz w:val="24"/>
          <w:szCs w:val="24"/>
        </w:rPr>
        <w:fldChar w:fldCharType="begin" w:fldLock="1"/>
      </w:r>
      <w:r w:rsidR="007D6327">
        <w:rPr>
          <w:rFonts w:asciiTheme="majorHAnsi" w:hAnsiTheme="majorHAnsi" w:cstheme="majorHAnsi"/>
          <w:sz w:val="24"/>
          <w:szCs w:val="24"/>
        </w:rPr>
        <w:instrText>ADDIN CSL_CITATION {"citationItems":[{"id":"ITEM-1","itemData":{"DOI":"10.1016/j.jeconom.2015.06.004","ISSN":"18726895","abstract":"We consider testing for weak instruments in a model with multiple endogenous variables. Unlike Stock and Yogo (2005), who considered a weak instruments problem where the rank of the matrix of reduced form parameters is near zero, here we consider a weak instruments problem of a near rank reduction of one in the matrix of reduced form parameters. For example, in a two-variable model, we consider weak instrument asymptotics of the form π1=δπ2+c/n where π1 and π2 are the parameters in the two reduced-form equations, c is a vector of constants and n is the sample size. We investigate the use of a conditional first-stage F-statistic along the lines of the proposal by Angrist and Pischke (2009) and show that, unless δ=0, the variance in the denominator of their F-statistic needs to be adjusted in order to get a correct asymptotic distribution when testing the hypothesis H0:π1=δπ2. We show that a corrected conditional F-statistic is equivalent to the Cragg and Donald (1993) minimum eigenvalue rank test statistic, and is informative about the maximum total relative bias of the 2SLS estimator and the Wald tests size distortions. When δ=0 in the two-variable model, or when there are more than two endogenous variables, further information over and above the Cragg-Donald statistic can be obtained about the nature of the weak instrument problem by computing the conditional first-stage F-statistics.","author":[{"dropping-particle":"","family":"Sanderson","given":"Eleanor","non-dropping-particle":"","parse-names":false,"suffix":""},{"dropping-particle":"","family":"Windmeijer","given":"Frank","non-dropping-particle":"","parse-names":false,"suffix":""}],"container-title":"Journal of Econometrics","id":"ITEM-1","issue":"2","issued":{"date-parts":[["2016"]]},"page":"212-221","publisher":"Elsevier B.V.","title":"A weak instrument F-test in linear IV models with multiple endogenous variables","type":"article-journal","volume":"190"},"uris":["http://www.mendeley.com/documents/?uuid=5b77855a-c767-47dd-ab09-8b22463270df"]}],"mendeley":{"formattedCitation":"(Sanderson &amp; Windmeijer, 2016)","plainTextFormattedCitation":"(Sanderson &amp; Windmeijer, 2016)","previouslyFormattedCitation":"(Sanderson &amp; Windmeijer, 2016)"},"properties":{"noteIndex":0},"schema":"https://github.com/citation-style-language/schema/raw/master/csl-citation.json"}</w:instrText>
      </w:r>
      <w:r w:rsidR="007B2007">
        <w:rPr>
          <w:rFonts w:asciiTheme="majorHAnsi" w:hAnsiTheme="majorHAnsi" w:cstheme="majorHAnsi"/>
          <w:sz w:val="24"/>
          <w:szCs w:val="24"/>
        </w:rPr>
        <w:fldChar w:fldCharType="separate"/>
      </w:r>
      <w:r w:rsidR="007B2007" w:rsidRPr="007B2007">
        <w:rPr>
          <w:rFonts w:asciiTheme="majorHAnsi" w:hAnsiTheme="majorHAnsi" w:cstheme="majorHAnsi"/>
          <w:noProof/>
          <w:sz w:val="24"/>
          <w:szCs w:val="24"/>
        </w:rPr>
        <w:t>(Sanderson &amp; Windmeijer, 2016)</w:t>
      </w:r>
      <w:r w:rsidR="007B2007">
        <w:rPr>
          <w:rFonts w:asciiTheme="majorHAnsi" w:hAnsiTheme="majorHAnsi" w:cstheme="majorHAnsi"/>
          <w:sz w:val="24"/>
          <w:szCs w:val="24"/>
        </w:rPr>
        <w:fldChar w:fldCharType="end"/>
      </w:r>
      <w:r w:rsidR="000265BB" w:rsidRPr="000265BB">
        <w:rPr>
          <w:rFonts w:asciiTheme="majorHAnsi" w:hAnsiTheme="majorHAnsi" w:cstheme="majorHAnsi"/>
          <w:sz w:val="24"/>
          <w:szCs w:val="24"/>
        </w:rPr>
        <w:t xml:space="preserve">. </w:t>
      </w:r>
      <w:r w:rsidR="000265BB">
        <w:rPr>
          <w:rFonts w:asciiTheme="majorHAnsi" w:hAnsiTheme="majorHAnsi" w:cstheme="majorHAnsi"/>
          <w:sz w:val="24"/>
          <w:szCs w:val="24"/>
        </w:rPr>
        <w:t>This</w:t>
      </w:r>
      <w:r w:rsidR="000265BB" w:rsidRPr="000265BB">
        <w:rPr>
          <w:rFonts w:asciiTheme="majorHAnsi" w:hAnsiTheme="majorHAnsi" w:cstheme="majorHAnsi"/>
          <w:sz w:val="24"/>
          <w:szCs w:val="24"/>
        </w:rPr>
        <w:t xml:space="preserve"> may lead to misleading concussions</w:t>
      </w:r>
      <w:r w:rsidR="000265BB">
        <w:rPr>
          <w:rFonts w:asciiTheme="majorHAnsi" w:hAnsiTheme="majorHAnsi" w:cstheme="majorHAnsi"/>
          <w:sz w:val="24"/>
          <w:szCs w:val="24"/>
        </w:rPr>
        <w:t>.</w:t>
      </w:r>
    </w:p>
    <w:p w14:paraId="01E4E3D1" w14:textId="77777777" w:rsidR="007B2007" w:rsidRPr="0022305D" w:rsidRDefault="007B2007" w:rsidP="00684649">
      <w:pPr>
        <w:autoSpaceDE w:val="0"/>
        <w:autoSpaceDN w:val="0"/>
        <w:adjustRightInd w:val="0"/>
        <w:spacing w:after="0" w:line="480" w:lineRule="auto"/>
        <w:ind w:firstLine="720"/>
        <w:rPr>
          <w:rFonts w:asciiTheme="majorHAnsi" w:hAnsiTheme="majorHAnsi" w:cstheme="majorHAnsi"/>
          <w:sz w:val="24"/>
          <w:szCs w:val="24"/>
        </w:rPr>
      </w:pPr>
    </w:p>
    <w:p w14:paraId="5C88A8A5" w14:textId="1D28115D" w:rsidR="00724D10" w:rsidRPr="0022305D" w:rsidRDefault="00724D10" w:rsidP="00724D10">
      <w:pPr>
        <w:pStyle w:val="Caption"/>
        <w:keepNext/>
        <w:rPr>
          <w:rFonts w:asciiTheme="majorHAnsi" w:hAnsiTheme="majorHAnsi" w:cstheme="majorHAnsi"/>
          <w:i w:val="0"/>
          <w:iCs w:val="0"/>
          <w:color w:val="auto"/>
          <w:sz w:val="24"/>
          <w:szCs w:val="24"/>
        </w:rPr>
      </w:pPr>
      <w:bookmarkStart w:id="100" w:name="_Toc75805743"/>
      <w:r w:rsidRPr="0022305D">
        <w:rPr>
          <w:rFonts w:asciiTheme="majorHAnsi" w:hAnsiTheme="majorHAnsi" w:cstheme="majorHAnsi"/>
          <w:i w:val="0"/>
          <w:iCs w:val="0"/>
          <w:color w:val="auto"/>
          <w:sz w:val="24"/>
          <w:szCs w:val="24"/>
        </w:rPr>
        <w:t xml:space="preserve">Table </w:t>
      </w:r>
      <w:r w:rsidR="004E4CA3">
        <w:rPr>
          <w:rFonts w:asciiTheme="majorHAnsi" w:hAnsiTheme="majorHAnsi" w:cstheme="majorHAnsi"/>
          <w:i w:val="0"/>
          <w:iCs w:val="0"/>
          <w:color w:val="auto"/>
          <w:sz w:val="24"/>
          <w:szCs w:val="24"/>
        </w:rPr>
        <w:t>5</w:t>
      </w:r>
      <w:r w:rsidRPr="0022305D">
        <w:rPr>
          <w:rFonts w:asciiTheme="majorHAnsi" w:hAnsiTheme="majorHAnsi" w:cstheme="majorHAnsi"/>
          <w:i w:val="0"/>
          <w:iCs w:val="0"/>
          <w:color w:val="auto"/>
          <w:sz w:val="24"/>
          <w:szCs w:val="24"/>
        </w:rPr>
        <w:t xml:space="preserve">.0 </w:t>
      </w:r>
      <w:r w:rsidRPr="00C57EC2">
        <w:rPr>
          <w:rFonts w:asciiTheme="majorHAnsi" w:hAnsiTheme="majorHAnsi" w:cstheme="majorHAnsi"/>
          <w:color w:val="auto"/>
          <w:sz w:val="24"/>
          <w:szCs w:val="24"/>
        </w:rPr>
        <w:t>Variation inflation factor</w:t>
      </w:r>
      <w:bookmarkEnd w:id="100"/>
    </w:p>
    <w:tbl>
      <w:tblPr>
        <w:tblW w:w="9040" w:type="dxa"/>
        <w:tblLook w:val="04A0" w:firstRow="1" w:lastRow="0" w:firstColumn="1" w:lastColumn="0" w:noHBand="0" w:noVBand="1"/>
      </w:tblPr>
      <w:tblGrid>
        <w:gridCol w:w="2897"/>
        <w:gridCol w:w="3330"/>
        <w:gridCol w:w="1164"/>
        <w:gridCol w:w="1649"/>
      </w:tblGrid>
      <w:tr w:rsidR="00724D10" w:rsidRPr="0022305D" w14:paraId="43144A25" w14:textId="77777777" w:rsidTr="006E6AAA">
        <w:trPr>
          <w:trHeight w:val="299"/>
        </w:trPr>
        <w:tc>
          <w:tcPr>
            <w:tcW w:w="2897" w:type="dxa"/>
            <w:tcBorders>
              <w:top w:val="nil"/>
              <w:left w:val="nil"/>
              <w:bottom w:val="nil"/>
              <w:right w:val="nil"/>
            </w:tcBorders>
            <w:shd w:val="clear" w:color="auto" w:fill="auto"/>
            <w:noWrap/>
            <w:vAlign w:val="bottom"/>
            <w:hideMark/>
          </w:tcPr>
          <w:p w14:paraId="01BAB017" w14:textId="77777777" w:rsidR="00724D10" w:rsidRPr="0022305D" w:rsidRDefault="00724D10" w:rsidP="00A52602">
            <w:pPr>
              <w:spacing w:after="0" w:line="480" w:lineRule="auto"/>
              <w:rPr>
                <w:rFonts w:asciiTheme="majorHAnsi" w:eastAsia="Times New Roman" w:hAnsiTheme="majorHAnsi" w:cstheme="majorHAnsi"/>
                <w:b/>
                <w:bCs/>
                <w:sz w:val="24"/>
                <w:szCs w:val="24"/>
              </w:rPr>
            </w:pPr>
          </w:p>
        </w:tc>
        <w:tc>
          <w:tcPr>
            <w:tcW w:w="3330" w:type="dxa"/>
            <w:tcBorders>
              <w:top w:val="nil"/>
              <w:left w:val="nil"/>
              <w:bottom w:val="nil"/>
              <w:right w:val="nil"/>
            </w:tcBorders>
            <w:shd w:val="clear" w:color="auto" w:fill="auto"/>
            <w:noWrap/>
            <w:vAlign w:val="bottom"/>
            <w:hideMark/>
          </w:tcPr>
          <w:p w14:paraId="72021647" w14:textId="77777777" w:rsidR="00724D10" w:rsidRPr="0022305D" w:rsidRDefault="00724D10" w:rsidP="00A52602">
            <w:pPr>
              <w:spacing w:after="0" w:line="480" w:lineRule="auto"/>
              <w:rPr>
                <w:rFonts w:asciiTheme="majorHAnsi" w:eastAsia="Times New Roman" w:hAnsiTheme="majorHAnsi" w:cstheme="majorHAnsi"/>
                <w:b/>
                <w:bCs/>
                <w:color w:val="000000"/>
                <w:sz w:val="24"/>
                <w:szCs w:val="24"/>
              </w:rPr>
            </w:pPr>
          </w:p>
        </w:tc>
        <w:tc>
          <w:tcPr>
            <w:tcW w:w="1164" w:type="dxa"/>
            <w:tcBorders>
              <w:top w:val="nil"/>
              <w:left w:val="nil"/>
              <w:bottom w:val="nil"/>
              <w:right w:val="nil"/>
            </w:tcBorders>
            <w:shd w:val="clear" w:color="auto" w:fill="auto"/>
            <w:noWrap/>
            <w:vAlign w:val="bottom"/>
            <w:hideMark/>
          </w:tcPr>
          <w:p w14:paraId="551D9D47" w14:textId="77777777" w:rsidR="00724D10" w:rsidRPr="0022305D" w:rsidRDefault="00724D10" w:rsidP="00A52602">
            <w:pPr>
              <w:spacing w:after="0" w:line="480" w:lineRule="auto"/>
              <w:rPr>
                <w:rFonts w:asciiTheme="majorHAnsi" w:eastAsia="Times New Roman" w:hAnsiTheme="majorHAnsi" w:cstheme="majorHAnsi"/>
                <w:b/>
                <w:bCs/>
                <w:color w:val="000000"/>
                <w:sz w:val="24"/>
                <w:szCs w:val="24"/>
              </w:rPr>
            </w:pPr>
          </w:p>
        </w:tc>
        <w:tc>
          <w:tcPr>
            <w:tcW w:w="1649" w:type="dxa"/>
            <w:tcBorders>
              <w:top w:val="nil"/>
              <w:left w:val="nil"/>
              <w:bottom w:val="nil"/>
              <w:right w:val="nil"/>
            </w:tcBorders>
            <w:shd w:val="clear" w:color="auto" w:fill="auto"/>
            <w:noWrap/>
            <w:vAlign w:val="bottom"/>
            <w:hideMark/>
          </w:tcPr>
          <w:p w14:paraId="6C278488" w14:textId="77777777" w:rsidR="00724D10" w:rsidRPr="0022305D" w:rsidRDefault="00724D10" w:rsidP="00A52602">
            <w:pPr>
              <w:spacing w:after="0" w:line="480" w:lineRule="auto"/>
              <w:rPr>
                <w:rFonts w:asciiTheme="majorHAnsi" w:eastAsia="Times New Roman" w:hAnsiTheme="majorHAnsi" w:cstheme="majorHAnsi"/>
                <w:b/>
                <w:bCs/>
                <w:sz w:val="24"/>
                <w:szCs w:val="24"/>
              </w:rPr>
            </w:pPr>
          </w:p>
        </w:tc>
      </w:tr>
      <w:tr w:rsidR="00724D10" w:rsidRPr="0022305D" w14:paraId="56C64C42" w14:textId="77777777" w:rsidTr="006E6AAA">
        <w:trPr>
          <w:trHeight w:val="299"/>
        </w:trPr>
        <w:tc>
          <w:tcPr>
            <w:tcW w:w="2897" w:type="dxa"/>
            <w:tcBorders>
              <w:top w:val="single" w:sz="4" w:space="0" w:color="auto"/>
              <w:left w:val="nil"/>
              <w:bottom w:val="single" w:sz="4" w:space="0" w:color="auto"/>
              <w:right w:val="nil"/>
            </w:tcBorders>
            <w:shd w:val="clear" w:color="auto" w:fill="auto"/>
            <w:noWrap/>
            <w:vAlign w:val="bottom"/>
            <w:hideMark/>
          </w:tcPr>
          <w:p w14:paraId="7C6D4747" w14:textId="77777777" w:rsidR="00724D10" w:rsidRPr="0022305D" w:rsidRDefault="00724D10" w:rsidP="00A52602">
            <w:pPr>
              <w:spacing w:after="0" w:line="480" w:lineRule="auto"/>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Variable</w:t>
            </w:r>
          </w:p>
        </w:tc>
        <w:tc>
          <w:tcPr>
            <w:tcW w:w="3330" w:type="dxa"/>
            <w:tcBorders>
              <w:top w:val="single" w:sz="4" w:space="0" w:color="auto"/>
              <w:left w:val="nil"/>
              <w:bottom w:val="single" w:sz="4" w:space="0" w:color="auto"/>
              <w:right w:val="nil"/>
            </w:tcBorders>
            <w:shd w:val="clear" w:color="auto" w:fill="auto"/>
            <w:noWrap/>
            <w:vAlign w:val="bottom"/>
            <w:hideMark/>
          </w:tcPr>
          <w:p w14:paraId="075466D5" w14:textId="77777777" w:rsidR="00724D10" w:rsidRPr="0022305D" w:rsidRDefault="00724D10" w:rsidP="00A52602">
            <w:pPr>
              <w:spacing w:after="0" w:line="480" w:lineRule="auto"/>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 xml:space="preserve">         Tolerance</w:t>
            </w:r>
          </w:p>
        </w:tc>
        <w:tc>
          <w:tcPr>
            <w:tcW w:w="1164" w:type="dxa"/>
            <w:tcBorders>
              <w:top w:val="single" w:sz="4" w:space="0" w:color="auto"/>
              <w:left w:val="nil"/>
              <w:bottom w:val="single" w:sz="4" w:space="0" w:color="auto"/>
              <w:right w:val="nil"/>
            </w:tcBorders>
            <w:shd w:val="clear" w:color="auto" w:fill="auto"/>
            <w:noWrap/>
            <w:vAlign w:val="bottom"/>
            <w:hideMark/>
          </w:tcPr>
          <w:p w14:paraId="4BF9AC8E" w14:textId="77777777" w:rsidR="00724D10" w:rsidRPr="0022305D" w:rsidRDefault="00724D10" w:rsidP="00A52602">
            <w:pPr>
              <w:spacing w:after="0" w:line="480" w:lineRule="auto"/>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 xml:space="preserve">VIF                </w:t>
            </w:r>
          </w:p>
        </w:tc>
        <w:tc>
          <w:tcPr>
            <w:tcW w:w="1649" w:type="dxa"/>
            <w:tcBorders>
              <w:top w:val="single" w:sz="4" w:space="0" w:color="auto"/>
              <w:left w:val="nil"/>
              <w:bottom w:val="single" w:sz="4" w:space="0" w:color="auto"/>
              <w:right w:val="nil"/>
            </w:tcBorders>
            <w:shd w:val="clear" w:color="auto" w:fill="auto"/>
            <w:noWrap/>
            <w:vAlign w:val="bottom"/>
            <w:hideMark/>
          </w:tcPr>
          <w:p w14:paraId="445D9FBF" w14:textId="77777777" w:rsidR="00724D10" w:rsidRPr="0022305D" w:rsidRDefault="00724D10" w:rsidP="00A52602">
            <w:pPr>
              <w:spacing w:after="0" w:line="480" w:lineRule="auto"/>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1/VIF</w:t>
            </w:r>
          </w:p>
        </w:tc>
      </w:tr>
      <w:tr w:rsidR="00724D10" w:rsidRPr="0022305D" w14:paraId="76043CAD" w14:textId="77777777" w:rsidTr="006E6AAA">
        <w:trPr>
          <w:trHeight w:val="299"/>
        </w:trPr>
        <w:tc>
          <w:tcPr>
            <w:tcW w:w="2897" w:type="dxa"/>
            <w:tcBorders>
              <w:top w:val="nil"/>
              <w:left w:val="nil"/>
              <w:bottom w:val="nil"/>
              <w:right w:val="nil"/>
            </w:tcBorders>
            <w:shd w:val="clear" w:color="auto" w:fill="auto"/>
            <w:noWrap/>
            <w:vAlign w:val="bottom"/>
            <w:hideMark/>
          </w:tcPr>
          <w:p w14:paraId="10687312" w14:textId="2BF41FE4" w:rsidR="00724D10" w:rsidRPr="0022305D" w:rsidRDefault="00CB2CDC" w:rsidP="00A52602">
            <w:pPr>
              <w:spacing w:after="0" w:line="48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Total debt to total assets ratio</w:t>
            </w:r>
          </w:p>
        </w:tc>
        <w:tc>
          <w:tcPr>
            <w:tcW w:w="3330" w:type="dxa"/>
            <w:tcBorders>
              <w:top w:val="nil"/>
              <w:left w:val="nil"/>
              <w:bottom w:val="nil"/>
              <w:right w:val="nil"/>
            </w:tcBorders>
            <w:shd w:val="clear" w:color="auto" w:fill="auto"/>
            <w:noWrap/>
            <w:vAlign w:val="bottom"/>
            <w:hideMark/>
          </w:tcPr>
          <w:p w14:paraId="12132D05" w14:textId="77777777" w:rsidR="00724D10" w:rsidRPr="0022305D" w:rsidRDefault="00724D10" w:rsidP="00A52602">
            <w:pPr>
              <w:spacing w:after="0" w:line="480" w:lineRule="auto"/>
              <w:jc w:val="center"/>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0.412</w:t>
            </w:r>
          </w:p>
        </w:tc>
        <w:tc>
          <w:tcPr>
            <w:tcW w:w="1164" w:type="dxa"/>
            <w:tcBorders>
              <w:top w:val="nil"/>
              <w:left w:val="nil"/>
              <w:bottom w:val="nil"/>
              <w:right w:val="nil"/>
            </w:tcBorders>
            <w:shd w:val="clear" w:color="auto" w:fill="auto"/>
            <w:noWrap/>
            <w:vAlign w:val="bottom"/>
            <w:hideMark/>
          </w:tcPr>
          <w:p w14:paraId="04B2C421" w14:textId="77777777" w:rsidR="00724D10" w:rsidRPr="0022305D" w:rsidRDefault="00724D10" w:rsidP="00A52602">
            <w:pPr>
              <w:spacing w:after="0" w:line="480" w:lineRule="auto"/>
              <w:jc w:val="center"/>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2.43</w:t>
            </w:r>
          </w:p>
        </w:tc>
        <w:tc>
          <w:tcPr>
            <w:tcW w:w="1649" w:type="dxa"/>
            <w:tcBorders>
              <w:top w:val="nil"/>
              <w:left w:val="nil"/>
              <w:bottom w:val="nil"/>
              <w:right w:val="nil"/>
            </w:tcBorders>
            <w:shd w:val="clear" w:color="auto" w:fill="auto"/>
            <w:noWrap/>
            <w:vAlign w:val="bottom"/>
            <w:hideMark/>
          </w:tcPr>
          <w:p w14:paraId="591AD903" w14:textId="77777777" w:rsidR="00724D10" w:rsidRPr="0022305D" w:rsidRDefault="00724D10" w:rsidP="00A52602">
            <w:pPr>
              <w:spacing w:after="0" w:line="480" w:lineRule="auto"/>
              <w:jc w:val="center"/>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0.411523</w:t>
            </w:r>
          </w:p>
        </w:tc>
      </w:tr>
      <w:tr w:rsidR="00724D10" w:rsidRPr="0022305D" w14:paraId="1FC5C425" w14:textId="77777777" w:rsidTr="006E6AAA">
        <w:trPr>
          <w:trHeight w:val="299"/>
        </w:trPr>
        <w:tc>
          <w:tcPr>
            <w:tcW w:w="2897" w:type="dxa"/>
            <w:tcBorders>
              <w:top w:val="nil"/>
              <w:left w:val="nil"/>
              <w:bottom w:val="nil"/>
              <w:right w:val="nil"/>
            </w:tcBorders>
            <w:shd w:val="clear" w:color="auto" w:fill="auto"/>
            <w:noWrap/>
            <w:vAlign w:val="bottom"/>
            <w:hideMark/>
          </w:tcPr>
          <w:p w14:paraId="1B98AAF7" w14:textId="154B5FBE" w:rsidR="00724D10" w:rsidRPr="0022305D" w:rsidRDefault="00BE06BC" w:rsidP="00A52602">
            <w:pPr>
              <w:spacing w:after="0" w:line="480" w:lineRule="auto"/>
              <w:rPr>
                <w:rFonts w:asciiTheme="majorHAnsi" w:eastAsia="Times New Roman" w:hAnsiTheme="majorHAnsi" w:cstheme="majorHAnsi"/>
                <w:color w:val="000000"/>
                <w:sz w:val="24"/>
                <w:szCs w:val="24"/>
              </w:rPr>
            </w:pPr>
            <w:r>
              <w:rPr>
                <w:rFonts w:asciiTheme="majorHAnsi" w:eastAsia="Times New Roman" w:hAnsiTheme="majorHAnsi" w:cstheme="majorHAnsi"/>
                <w:color w:val="000000"/>
                <w:sz w:val="24"/>
                <w:szCs w:val="24"/>
              </w:rPr>
              <w:t>Total debt to equity</w:t>
            </w:r>
            <w:r w:rsidR="00724D10" w:rsidRPr="0022305D">
              <w:rPr>
                <w:rFonts w:asciiTheme="majorHAnsi" w:eastAsia="Times New Roman" w:hAnsiTheme="majorHAnsi" w:cstheme="majorHAnsi"/>
                <w:color w:val="000000"/>
                <w:sz w:val="24"/>
                <w:szCs w:val="24"/>
              </w:rPr>
              <w:t xml:space="preserve"> ratio</w:t>
            </w:r>
          </w:p>
        </w:tc>
        <w:tc>
          <w:tcPr>
            <w:tcW w:w="3330" w:type="dxa"/>
            <w:tcBorders>
              <w:top w:val="nil"/>
              <w:left w:val="nil"/>
              <w:bottom w:val="nil"/>
              <w:right w:val="nil"/>
            </w:tcBorders>
            <w:shd w:val="clear" w:color="auto" w:fill="auto"/>
            <w:noWrap/>
            <w:vAlign w:val="bottom"/>
            <w:hideMark/>
          </w:tcPr>
          <w:p w14:paraId="4AE391C8" w14:textId="77777777" w:rsidR="00724D10" w:rsidRPr="0022305D" w:rsidRDefault="00724D10" w:rsidP="00A52602">
            <w:pPr>
              <w:spacing w:after="0" w:line="480" w:lineRule="auto"/>
              <w:jc w:val="center"/>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0.412</w:t>
            </w:r>
          </w:p>
        </w:tc>
        <w:tc>
          <w:tcPr>
            <w:tcW w:w="1164" w:type="dxa"/>
            <w:tcBorders>
              <w:top w:val="nil"/>
              <w:left w:val="nil"/>
              <w:bottom w:val="nil"/>
              <w:right w:val="nil"/>
            </w:tcBorders>
            <w:shd w:val="clear" w:color="auto" w:fill="auto"/>
            <w:noWrap/>
            <w:vAlign w:val="bottom"/>
            <w:hideMark/>
          </w:tcPr>
          <w:p w14:paraId="175C8D82" w14:textId="77777777" w:rsidR="00724D10" w:rsidRPr="0022305D" w:rsidRDefault="00724D10" w:rsidP="00A52602">
            <w:pPr>
              <w:spacing w:after="0" w:line="480" w:lineRule="auto"/>
              <w:jc w:val="center"/>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2.43</w:t>
            </w:r>
          </w:p>
        </w:tc>
        <w:tc>
          <w:tcPr>
            <w:tcW w:w="1649" w:type="dxa"/>
            <w:tcBorders>
              <w:top w:val="nil"/>
              <w:left w:val="nil"/>
              <w:bottom w:val="nil"/>
              <w:right w:val="nil"/>
            </w:tcBorders>
            <w:shd w:val="clear" w:color="auto" w:fill="auto"/>
            <w:noWrap/>
            <w:vAlign w:val="bottom"/>
            <w:hideMark/>
          </w:tcPr>
          <w:p w14:paraId="54AD84A0" w14:textId="77777777" w:rsidR="00724D10" w:rsidRPr="0022305D" w:rsidRDefault="00724D10" w:rsidP="00A52602">
            <w:pPr>
              <w:spacing w:after="0" w:line="480" w:lineRule="auto"/>
              <w:jc w:val="center"/>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0.411523</w:t>
            </w:r>
          </w:p>
        </w:tc>
      </w:tr>
      <w:tr w:rsidR="00724D10" w:rsidRPr="0022305D" w14:paraId="3C89F0A8" w14:textId="77777777" w:rsidTr="006E6AAA">
        <w:trPr>
          <w:trHeight w:val="299"/>
        </w:trPr>
        <w:tc>
          <w:tcPr>
            <w:tcW w:w="2897" w:type="dxa"/>
            <w:tcBorders>
              <w:top w:val="nil"/>
              <w:left w:val="nil"/>
              <w:bottom w:val="single" w:sz="4" w:space="0" w:color="auto"/>
              <w:right w:val="nil"/>
            </w:tcBorders>
            <w:shd w:val="clear" w:color="auto" w:fill="auto"/>
            <w:noWrap/>
            <w:vAlign w:val="bottom"/>
            <w:hideMark/>
          </w:tcPr>
          <w:p w14:paraId="01028701"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Mean VIF</w:t>
            </w:r>
          </w:p>
        </w:tc>
        <w:tc>
          <w:tcPr>
            <w:tcW w:w="3330" w:type="dxa"/>
            <w:tcBorders>
              <w:top w:val="nil"/>
              <w:left w:val="nil"/>
              <w:bottom w:val="single" w:sz="4" w:space="0" w:color="auto"/>
              <w:right w:val="nil"/>
            </w:tcBorders>
            <w:shd w:val="clear" w:color="auto" w:fill="auto"/>
            <w:noWrap/>
            <w:vAlign w:val="bottom"/>
            <w:hideMark/>
          </w:tcPr>
          <w:p w14:paraId="5901D062" w14:textId="77777777" w:rsidR="00724D10" w:rsidRPr="0022305D" w:rsidRDefault="00724D10" w:rsidP="00A52602">
            <w:pPr>
              <w:spacing w:after="0" w:line="480" w:lineRule="auto"/>
              <w:jc w:val="center"/>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0.412</w:t>
            </w:r>
          </w:p>
        </w:tc>
        <w:tc>
          <w:tcPr>
            <w:tcW w:w="1164" w:type="dxa"/>
            <w:tcBorders>
              <w:top w:val="nil"/>
              <w:left w:val="nil"/>
              <w:bottom w:val="single" w:sz="4" w:space="0" w:color="auto"/>
              <w:right w:val="nil"/>
            </w:tcBorders>
            <w:shd w:val="clear" w:color="auto" w:fill="auto"/>
            <w:noWrap/>
            <w:vAlign w:val="bottom"/>
            <w:hideMark/>
          </w:tcPr>
          <w:p w14:paraId="35A42116"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 </w:t>
            </w:r>
          </w:p>
        </w:tc>
        <w:tc>
          <w:tcPr>
            <w:tcW w:w="1649" w:type="dxa"/>
            <w:tcBorders>
              <w:top w:val="nil"/>
              <w:left w:val="nil"/>
              <w:bottom w:val="single" w:sz="4" w:space="0" w:color="auto"/>
              <w:right w:val="nil"/>
            </w:tcBorders>
            <w:shd w:val="clear" w:color="auto" w:fill="auto"/>
            <w:noWrap/>
            <w:vAlign w:val="bottom"/>
            <w:hideMark/>
          </w:tcPr>
          <w:p w14:paraId="749613FE"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 </w:t>
            </w:r>
          </w:p>
        </w:tc>
      </w:tr>
    </w:tbl>
    <w:p w14:paraId="53A3DE88" w14:textId="55478BC8" w:rsidR="00724D10" w:rsidRDefault="00085B61" w:rsidP="00583CA1">
      <w:pPr>
        <w:autoSpaceDE w:val="0"/>
        <w:autoSpaceDN w:val="0"/>
        <w:adjustRightInd w:val="0"/>
        <w:spacing w:after="0" w:line="480" w:lineRule="auto"/>
        <w:rPr>
          <w:rFonts w:asciiTheme="majorHAnsi" w:hAnsiTheme="majorHAnsi" w:cstheme="majorHAnsi"/>
          <w:sz w:val="23"/>
          <w:szCs w:val="23"/>
        </w:rPr>
      </w:pPr>
      <w:r w:rsidRPr="00085B61">
        <w:rPr>
          <w:rFonts w:asciiTheme="majorHAnsi" w:hAnsiTheme="majorHAnsi" w:cstheme="majorHAnsi"/>
          <w:sz w:val="23"/>
          <w:szCs w:val="23"/>
        </w:rPr>
        <w:t>Source: Research findings</w:t>
      </w:r>
    </w:p>
    <w:p w14:paraId="4F691509" w14:textId="562C4AA9" w:rsidR="00684649" w:rsidRDefault="00684649" w:rsidP="00684649">
      <w:pPr>
        <w:autoSpaceDE w:val="0"/>
        <w:autoSpaceDN w:val="0"/>
        <w:adjustRightInd w:val="0"/>
        <w:spacing w:after="0" w:line="480" w:lineRule="auto"/>
        <w:ind w:firstLine="720"/>
        <w:rPr>
          <w:rFonts w:asciiTheme="majorHAnsi" w:hAnsiTheme="majorHAnsi" w:cstheme="majorHAnsi"/>
          <w:sz w:val="24"/>
          <w:szCs w:val="24"/>
        </w:rPr>
      </w:pPr>
      <w:r w:rsidRPr="0022305D">
        <w:rPr>
          <w:rFonts w:asciiTheme="majorHAnsi" w:hAnsiTheme="majorHAnsi" w:cstheme="majorHAnsi"/>
          <w:sz w:val="24"/>
          <w:szCs w:val="24"/>
        </w:rPr>
        <w:t xml:space="preserve">Table </w:t>
      </w:r>
      <w:r w:rsidR="004E4CA3">
        <w:rPr>
          <w:rFonts w:asciiTheme="majorHAnsi" w:hAnsiTheme="majorHAnsi" w:cstheme="majorHAnsi"/>
          <w:sz w:val="24"/>
          <w:szCs w:val="24"/>
        </w:rPr>
        <w:t>5</w:t>
      </w:r>
      <w:r w:rsidRPr="0022305D">
        <w:rPr>
          <w:rFonts w:asciiTheme="majorHAnsi" w:hAnsiTheme="majorHAnsi" w:cstheme="majorHAnsi"/>
          <w:sz w:val="24"/>
          <w:szCs w:val="24"/>
        </w:rPr>
        <w:t>.0 (</w:t>
      </w:r>
      <w:r>
        <w:rPr>
          <w:rFonts w:asciiTheme="majorHAnsi" w:hAnsiTheme="majorHAnsi" w:cstheme="majorHAnsi"/>
          <w:sz w:val="24"/>
          <w:szCs w:val="24"/>
        </w:rPr>
        <w:t>above</w:t>
      </w:r>
      <w:r w:rsidRPr="0022305D">
        <w:rPr>
          <w:rFonts w:asciiTheme="majorHAnsi" w:hAnsiTheme="majorHAnsi" w:cstheme="majorHAnsi"/>
          <w:sz w:val="24"/>
          <w:szCs w:val="24"/>
        </w:rPr>
        <w:t>) shows variation inflation factor. The findings indicates that the values for tolerance for all variables were greater than 0.2 and the values for Variation Inflation Factor for all variables were less than 5. This suggests that the problem of multi collinearity does not exist.</w:t>
      </w:r>
    </w:p>
    <w:p w14:paraId="34CA4941" w14:textId="77777777" w:rsidR="00684649" w:rsidRPr="00583CA1" w:rsidRDefault="00684649" w:rsidP="00583CA1">
      <w:pPr>
        <w:autoSpaceDE w:val="0"/>
        <w:autoSpaceDN w:val="0"/>
        <w:adjustRightInd w:val="0"/>
        <w:spacing w:after="0" w:line="480" w:lineRule="auto"/>
        <w:rPr>
          <w:rFonts w:asciiTheme="majorHAnsi" w:hAnsiTheme="majorHAnsi" w:cstheme="majorHAnsi"/>
          <w:sz w:val="23"/>
          <w:szCs w:val="23"/>
        </w:rPr>
      </w:pPr>
    </w:p>
    <w:p w14:paraId="6D5B0C9F" w14:textId="508B48F9" w:rsidR="00583CA1" w:rsidRPr="00C553FC" w:rsidRDefault="00724D10" w:rsidP="004478B6">
      <w:pPr>
        <w:pStyle w:val="Heading2"/>
        <w:spacing w:line="480" w:lineRule="auto"/>
        <w:jc w:val="left"/>
        <w:rPr>
          <w:rFonts w:asciiTheme="majorHAnsi" w:hAnsiTheme="majorHAnsi" w:cstheme="majorHAnsi"/>
          <w:sz w:val="28"/>
          <w:szCs w:val="28"/>
        </w:rPr>
      </w:pPr>
      <w:bookmarkStart w:id="101" w:name="_Toc76494417"/>
      <w:bookmarkStart w:id="102" w:name="_Toc78205810"/>
      <w:r w:rsidRPr="00C553FC">
        <w:rPr>
          <w:rFonts w:asciiTheme="majorHAnsi" w:hAnsiTheme="majorHAnsi" w:cstheme="majorHAnsi"/>
          <w:sz w:val="28"/>
          <w:szCs w:val="28"/>
        </w:rPr>
        <w:t>Correlation Analysis</w:t>
      </w:r>
      <w:bookmarkEnd w:id="101"/>
      <w:bookmarkEnd w:id="102"/>
    </w:p>
    <w:p w14:paraId="0A7B4F27" w14:textId="38CC8713" w:rsidR="007B2007" w:rsidRPr="007B2007" w:rsidRDefault="007B2007" w:rsidP="007B2007">
      <w:pPr>
        <w:spacing w:line="480" w:lineRule="auto"/>
        <w:ind w:firstLine="720"/>
        <w:rPr>
          <w:rFonts w:ascii="Times New Roman" w:hAnsi="Times New Roman" w:cs="Times New Roman"/>
          <w:sz w:val="24"/>
          <w:szCs w:val="24"/>
        </w:rPr>
      </w:pPr>
      <w:r w:rsidRPr="007B2007">
        <w:rPr>
          <w:rFonts w:ascii="Times New Roman" w:hAnsi="Times New Roman" w:cs="Times New Roman"/>
          <w:sz w:val="24"/>
          <w:szCs w:val="24"/>
        </w:rPr>
        <w:t xml:space="preserve">Correlation analysis was done to assess whether there is relationship between solvency and profitability of commercial banks in Kenya. </w:t>
      </w:r>
      <w:r w:rsidR="00BD58DF">
        <w:rPr>
          <w:rFonts w:ascii="Times New Roman" w:hAnsi="Times New Roman" w:cs="Times New Roman"/>
          <w:sz w:val="24"/>
          <w:szCs w:val="24"/>
        </w:rPr>
        <w:t xml:space="preserve">Pearson correlation from </w:t>
      </w:r>
      <w:r>
        <w:rPr>
          <w:rFonts w:ascii="Times New Roman" w:hAnsi="Times New Roman" w:cs="Times New Roman"/>
          <w:sz w:val="24"/>
          <w:szCs w:val="24"/>
        </w:rPr>
        <w:t xml:space="preserve">SPSS </w:t>
      </w:r>
      <w:r w:rsidR="00BD58DF">
        <w:rPr>
          <w:rFonts w:ascii="Times New Roman" w:hAnsi="Times New Roman" w:cs="Times New Roman"/>
          <w:sz w:val="24"/>
          <w:szCs w:val="24"/>
        </w:rPr>
        <w:t>was used to assess this relationship</w:t>
      </w:r>
      <w:r w:rsidRPr="007B2007">
        <w:rPr>
          <w:rFonts w:ascii="Times New Roman" w:hAnsi="Times New Roman" w:cs="Times New Roman"/>
          <w:sz w:val="24"/>
          <w:szCs w:val="24"/>
        </w:rPr>
        <w:t>. The</w:t>
      </w:r>
      <w:r w:rsidR="00BD58DF">
        <w:rPr>
          <w:rFonts w:ascii="Times New Roman" w:hAnsi="Times New Roman" w:cs="Times New Roman"/>
          <w:sz w:val="24"/>
          <w:szCs w:val="24"/>
        </w:rPr>
        <w:t xml:space="preserve"> results are shown in table </w:t>
      </w:r>
      <w:r w:rsidR="00392CA8">
        <w:rPr>
          <w:rFonts w:ascii="Times New Roman" w:hAnsi="Times New Roman" w:cs="Times New Roman"/>
          <w:sz w:val="24"/>
          <w:szCs w:val="24"/>
        </w:rPr>
        <w:t>6</w:t>
      </w:r>
      <w:r w:rsidR="00BD58DF">
        <w:rPr>
          <w:rFonts w:ascii="Times New Roman" w:hAnsi="Times New Roman" w:cs="Times New Roman"/>
          <w:sz w:val="24"/>
          <w:szCs w:val="24"/>
        </w:rPr>
        <w:t>.0 below.</w:t>
      </w:r>
    </w:p>
    <w:p w14:paraId="63E4E07E" w14:textId="77777777" w:rsidR="00684649" w:rsidRPr="00392CA8" w:rsidRDefault="00684649" w:rsidP="00684649">
      <w:pPr>
        <w:rPr>
          <w:rFonts w:ascii="Times New Roman" w:hAnsi="Times New Roman" w:cs="Times New Roman"/>
          <w:sz w:val="24"/>
          <w:szCs w:val="24"/>
        </w:rPr>
      </w:pPr>
    </w:p>
    <w:p w14:paraId="6155956F" w14:textId="00B1D9BE" w:rsidR="004E4CA3" w:rsidRPr="00392CA8" w:rsidRDefault="004E4CA3" w:rsidP="004E4CA3">
      <w:pPr>
        <w:pStyle w:val="Caption"/>
        <w:keepNext/>
        <w:rPr>
          <w:rFonts w:ascii="Times New Roman" w:hAnsi="Times New Roman" w:cs="Times New Roman"/>
          <w:color w:val="auto"/>
          <w:sz w:val="24"/>
          <w:szCs w:val="24"/>
        </w:rPr>
      </w:pPr>
      <w:bookmarkStart w:id="103" w:name="_Toc78205371"/>
      <w:r w:rsidRPr="00392CA8">
        <w:rPr>
          <w:rFonts w:ascii="Times New Roman" w:hAnsi="Times New Roman" w:cs="Times New Roman"/>
          <w:i w:val="0"/>
          <w:iCs w:val="0"/>
          <w:color w:val="auto"/>
          <w:sz w:val="24"/>
          <w:szCs w:val="24"/>
        </w:rPr>
        <w:t xml:space="preserve">Table </w:t>
      </w:r>
      <w:r w:rsidRPr="00392CA8">
        <w:rPr>
          <w:rFonts w:ascii="Times New Roman" w:hAnsi="Times New Roman" w:cs="Times New Roman"/>
          <w:i w:val="0"/>
          <w:iCs w:val="0"/>
          <w:color w:val="auto"/>
          <w:sz w:val="24"/>
          <w:szCs w:val="24"/>
        </w:rPr>
        <w:fldChar w:fldCharType="begin"/>
      </w:r>
      <w:r w:rsidRPr="00392CA8">
        <w:rPr>
          <w:rFonts w:ascii="Times New Roman" w:hAnsi="Times New Roman" w:cs="Times New Roman"/>
          <w:i w:val="0"/>
          <w:iCs w:val="0"/>
          <w:color w:val="auto"/>
          <w:sz w:val="24"/>
          <w:szCs w:val="24"/>
        </w:rPr>
        <w:instrText xml:space="preserve"> SEQ Table \* ARABIC </w:instrText>
      </w:r>
      <w:r w:rsidRPr="00392CA8">
        <w:rPr>
          <w:rFonts w:ascii="Times New Roman" w:hAnsi="Times New Roman" w:cs="Times New Roman"/>
          <w:i w:val="0"/>
          <w:iCs w:val="0"/>
          <w:color w:val="auto"/>
          <w:sz w:val="24"/>
          <w:szCs w:val="24"/>
        </w:rPr>
        <w:fldChar w:fldCharType="separate"/>
      </w:r>
      <w:r w:rsidR="00392CA8">
        <w:rPr>
          <w:rFonts w:ascii="Times New Roman" w:hAnsi="Times New Roman" w:cs="Times New Roman"/>
          <w:i w:val="0"/>
          <w:iCs w:val="0"/>
          <w:noProof/>
          <w:color w:val="auto"/>
          <w:sz w:val="24"/>
          <w:szCs w:val="24"/>
        </w:rPr>
        <w:t>5</w:t>
      </w:r>
      <w:r w:rsidRPr="00392CA8">
        <w:rPr>
          <w:rFonts w:ascii="Times New Roman" w:hAnsi="Times New Roman" w:cs="Times New Roman"/>
          <w:i w:val="0"/>
          <w:iCs w:val="0"/>
          <w:color w:val="auto"/>
          <w:sz w:val="24"/>
          <w:szCs w:val="24"/>
        </w:rPr>
        <w:fldChar w:fldCharType="end"/>
      </w:r>
      <w:r w:rsidRPr="00392CA8">
        <w:rPr>
          <w:rFonts w:ascii="Times New Roman" w:hAnsi="Times New Roman" w:cs="Times New Roman"/>
          <w:i w:val="0"/>
          <w:iCs w:val="0"/>
          <w:color w:val="auto"/>
          <w:sz w:val="24"/>
          <w:szCs w:val="24"/>
        </w:rPr>
        <w:t>.0:</w:t>
      </w:r>
      <w:r w:rsidRPr="00392CA8">
        <w:rPr>
          <w:rFonts w:ascii="Times New Roman" w:hAnsi="Times New Roman" w:cs="Times New Roman"/>
          <w:color w:val="auto"/>
          <w:sz w:val="24"/>
          <w:szCs w:val="24"/>
        </w:rPr>
        <w:t xml:space="preserve"> Correlations table</w:t>
      </w:r>
      <w:bookmarkEnd w:id="103"/>
    </w:p>
    <w:tbl>
      <w:tblPr>
        <w:tblW w:w="11254" w:type="dxa"/>
        <w:tblLook w:val="04A0" w:firstRow="1" w:lastRow="0" w:firstColumn="1" w:lastColumn="0" w:noHBand="0" w:noVBand="1"/>
      </w:tblPr>
      <w:tblGrid>
        <w:gridCol w:w="1646"/>
        <w:gridCol w:w="2138"/>
        <w:gridCol w:w="998"/>
        <w:gridCol w:w="1014"/>
        <w:gridCol w:w="1079"/>
        <w:gridCol w:w="1036"/>
        <w:gridCol w:w="2307"/>
        <w:gridCol w:w="1036"/>
      </w:tblGrid>
      <w:tr w:rsidR="00724D10" w:rsidRPr="0022305D" w14:paraId="3016B7C2" w14:textId="77777777" w:rsidTr="00583CA1">
        <w:trPr>
          <w:trHeight w:val="242"/>
        </w:trPr>
        <w:tc>
          <w:tcPr>
            <w:tcW w:w="1646" w:type="dxa"/>
            <w:tcBorders>
              <w:top w:val="single" w:sz="4" w:space="0" w:color="auto"/>
              <w:left w:val="nil"/>
              <w:bottom w:val="single" w:sz="4" w:space="0" w:color="auto"/>
              <w:right w:val="nil"/>
            </w:tcBorders>
            <w:shd w:val="clear" w:color="auto" w:fill="auto"/>
            <w:noWrap/>
            <w:vAlign w:val="bottom"/>
            <w:hideMark/>
          </w:tcPr>
          <w:p w14:paraId="5108EBFC" w14:textId="77777777" w:rsidR="00724D10" w:rsidRPr="0022305D" w:rsidRDefault="00724D10" w:rsidP="00A52602">
            <w:pPr>
              <w:spacing w:after="0" w:line="480" w:lineRule="auto"/>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 </w:t>
            </w:r>
          </w:p>
        </w:tc>
        <w:tc>
          <w:tcPr>
            <w:tcW w:w="2138" w:type="dxa"/>
            <w:tcBorders>
              <w:top w:val="single" w:sz="4" w:space="0" w:color="auto"/>
              <w:left w:val="nil"/>
              <w:bottom w:val="single" w:sz="4" w:space="0" w:color="auto"/>
              <w:right w:val="nil"/>
            </w:tcBorders>
            <w:shd w:val="clear" w:color="auto" w:fill="auto"/>
            <w:noWrap/>
            <w:vAlign w:val="bottom"/>
            <w:hideMark/>
          </w:tcPr>
          <w:p w14:paraId="5E51F651" w14:textId="77777777" w:rsidR="00724D10" w:rsidRPr="0022305D" w:rsidRDefault="00724D10" w:rsidP="00A52602">
            <w:pPr>
              <w:spacing w:after="0" w:line="480" w:lineRule="auto"/>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 </w:t>
            </w:r>
          </w:p>
        </w:tc>
        <w:tc>
          <w:tcPr>
            <w:tcW w:w="998" w:type="dxa"/>
            <w:tcBorders>
              <w:top w:val="single" w:sz="4" w:space="0" w:color="auto"/>
              <w:left w:val="nil"/>
              <w:bottom w:val="single" w:sz="4" w:space="0" w:color="auto"/>
              <w:right w:val="nil"/>
            </w:tcBorders>
            <w:shd w:val="clear" w:color="auto" w:fill="auto"/>
            <w:noWrap/>
            <w:vAlign w:val="bottom"/>
            <w:hideMark/>
          </w:tcPr>
          <w:p w14:paraId="09635E1E" w14:textId="77777777" w:rsidR="00724D10" w:rsidRPr="0022305D" w:rsidRDefault="00724D10" w:rsidP="00A52602">
            <w:pPr>
              <w:spacing w:after="0" w:line="480" w:lineRule="auto"/>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DR</w:t>
            </w:r>
          </w:p>
        </w:tc>
        <w:tc>
          <w:tcPr>
            <w:tcW w:w="1014" w:type="dxa"/>
            <w:tcBorders>
              <w:top w:val="single" w:sz="4" w:space="0" w:color="auto"/>
              <w:left w:val="nil"/>
              <w:bottom w:val="single" w:sz="4" w:space="0" w:color="auto"/>
              <w:right w:val="nil"/>
            </w:tcBorders>
            <w:shd w:val="clear" w:color="auto" w:fill="auto"/>
            <w:noWrap/>
            <w:vAlign w:val="bottom"/>
            <w:hideMark/>
          </w:tcPr>
          <w:p w14:paraId="441E4C76" w14:textId="77777777" w:rsidR="00724D10" w:rsidRPr="0022305D" w:rsidRDefault="00724D10" w:rsidP="00A52602">
            <w:pPr>
              <w:spacing w:after="0" w:line="480" w:lineRule="auto"/>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DER</w:t>
            </w:r>
          </w:p>
        </w:tc>
        <w:tc>
          <w:tcPr>
            <w:tcW w:w="1079" w:type="dxa"/>
            <w:tcBorders>
              <w:top w:val="single" w:sz="4" w:space="0" w:color="auto"/>
              <w:left w:val="nil"/>
              <w:bottom w:val="single" w:sz="4" w:space="0" w:color="auto"/>
              <w:right w:val="nil"/>
            </w:tcBorders>
            <w:shd w:val="clear" w:color="auto" w:fill="auto"/>
            <w:noWrap/>
            <w:vAlign w:val="bottom"/>
            <w:hideMark/>
          </w:tcPr>
          <w:p w14:paraId="5968211C" w14:textId="77777777" w:rsidR="00724D10" w:rsidRPr="0022305D" w:rsidRDefault="00724D10" w:rsidP="00A52602">
            <w:pPr>
              <w:spacing w:after="0" w:line="480" w:lineRule="auto"/>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ROA</w:t>
            </w:r>
          </w:p>
        </w:tc>
        <w:tc>
          <w:tcPr>
            <w:tcW w:w="1036" w:type="dxa"/>
            <w:tcBorders>
              <w:top w:val="single" w:sz="4" w:space="0" w:color="auto"/>
              <w:left w:val="nil"/>
              <w:bottom w:val="single" w:sz="4" w:space="0" w:color="auto"/>
              <w:right w:val="nil"/>
            </w:tcBorders>
            <w:shd w:val="clear" w:color="auto" w:fill="auto"/>
            <w:noWrap/>
            <w:vAlign w:val="bottom"/>
            <w:hideMark/>
          </w:tcPr>
          <w:p w14:paraId="0ACB0BA3" w14:textId="77777777" w:rsidR="00724D10" w:rsidRPr="0022305D" w:rsidRDefault="00724D10" w:rsidP="00A52602">
            <w:pPr>
              <w:spacing w:after="0" w:line="480" w:lineRule="auto"/>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ROE</w:t>
            </w:r>
          </w:p>
        </w:tc>
        <w:tc>
          <w:tcPr>
            <w:tcW w:w="2307" w:type="dxa"/>
            <w:tcBorders>
              <w:top w:val="single" w:sz="4" w:space="0" w:color="auto"/>
              <w:left w:val="nil"/>
              <w:bottom w:val="single" w:sz="4" w:space="0" w:color="auto"/>
              <w:right w:val="nil"/>
            </w:tcBorders>
            <w:shd w:val="clear" w:color="auto" w:fill="auto"/>
            <w:noWrap/>
            <w:vAlign w:val="bottom"/>
            <w:hideMark/>
          </w:tcPr>
          <w:p w14:paraId="2A8A253D" w14:textId="10EB0DF9" w:rsidR="00724D10" w:rsidRPr="0022305D" w:rsidRDefault="00724D10" w:rsidP="00A52602">
            <w:pPr>
              <w:spacing w:after="0" w:line="480" w:lineRule="auto"/>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P</w:t>
            </w:r>
          </w:p>
        </w:tc>
        <w:tc>
          <w:tcPr>
            <w:tcW w:w="1036" w:type="dxa"/>
            <w:tcBorders>
              <w:top w:val="single" w:sz="4" w:space="0" w:color="auto"/>
              <w:left w:val="nil"/>
              <w:bottom w:val="single" w:sz="4" w:space="0" w:color="auto"/>
              <w:right w:val="nil"/>
            </w:tcBorders>
            <w:shd w:val="clear" w:color="auto" w:fill="auto"/>
            <w:noWrap/>
            <w:vAlign w:val="bottom"/>
            <w:hideMark/>
          </w:tcPr>
          <w:p w14:paraId="10C35168" w14:textId="77777777" w:rsidR="00724D10" w:rsidRPr="0022305D" w:rsidRDefault="00724D10" w:rsidP="00A52602">
            <w:pPr>
              <w:spacing w:after="0" w:line="480" w:lineRule="auto"/>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 </w:t>
            </w:r>
          </w:p>
        </w:tc>
      </w:tr>
      <w:tr w:rsidR="00724D10" w:rsidRPr="0022305D" w14:paraId="26033C91" w14:textId="77777777" w:rsidTr="00583CA1">
        <w:trPr>
          <w:trHeight w:val="242"/>
        </w:trPr>
        <w:tc>
          <w:tcPr>
            <w:tcW w:w="1646" w:type="dxa"/>
            <w:tcBorders>
              <w:top w:val="nil"/>
              <w:left w:val="nil"/>
              <w:bottom w:val="nil"/>
              <w:right w:val="nil"/>
            </w:tcBorders>
            <w:shd w:val="clear" w:color="auto" w:fill="auto"/>
            <w:noWrap/>
            <w:vAlign w:val="bottom"/>
            <w:hideMark/>
          </w:tcPr>
          <w:p w14:paraId="7294510F"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DR</w:t>
            </w:r>
          </w:p>
        </w:tc>
        <w:tc>
          <w:tcPr>
            <w:tcW w:w="2138" w:type="dxa"/>
            <w:tcBorders>
              <w:top w:val="nil"/>
              <w:left w:val="nil"/>
              <w:bottom w:val="nil"/>
              <w:right w:val="nil"/>
            </w:tcBorders>
            <w:shd w:val="clear" w:color="auto" w:fill="auto"/>
            <w:noWrap/>
            <w:vAlign w:val="bottom"/>
            <w:hideMark/>
          </w:tcPr>
          <w:p w14:paraId="3EF6A682"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Pearson Correlation</w:t>
            </w:r>
          </w:p>
        </w:tc>
        <w:tc>
          <w:tcPr>
            <w:tcW w:w="998" w:type="dxa"/>
            <w:tcBorders>
              <w:top w:val="nil"/>
              <w:left w:val="nil"/>
              <w:bottom w:val="nil"/>
              <w:right w:val="nil"/>
            </w:tcBorders>
            <w:shd w:val="clear" w:color="auto" w:fill="auto"/>
            <w:noWrap/>
            <w:vAlign w:val="bottom"/>
            <w:hideMark/>
          </w:tcPr>
          <w:p w14:paraId="175E9F06"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1</w:t>
            </w:r>
          </w:p>
        </w:tc>
        <w:tc>
          <w:tcPr>
            <w:tcW w:w="1014" w:type="dxa"/>
            <w:tcBorders>
              <w:top w:val="nil"/>
              <w:left w:val="nil"/>
              <w:bottom w:val="nil"/>
              <w:right w:val="nil"/>
            </w:tcBorders>
            <w:shd w:val="clear" w:color="auto" w:fill="auto"/>
            <w:noWrap/>
            <w:vAlign w:val="bottom"/>
            <w:hideMark/>
          </w:tcPr>
          <w:p w14:paraId="24075BD5"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p>
        </w:tc>
        <w:tc>
          <w:tcPr>
            <w:tcW w:w="1079" w:type="dxa"/>
            <w:tcBorders>
              <w:top w:val="nil"/>
              <w:left w:val="nil"/>
              <w:bottom w:val="nil"/>
              <w:right w:val="nil"/>
            </w:tcBorders>
            <w:shd w:val="clear" w:color="auto" w:fill="auto"/>
            <w:noWrap/>
            <w:vAlign w:val="bottom"/>
            <w:hideMark/>
          </w:tcPr>
          <w:p w14:paraId="495ACC20" w14:textId="77777777" w:rsidR="00724D10" w:rsidRPr="0022305D" w:rsidRDefault="00724D10" w:rsidP="00583CA1">
            <w:pPr>
              <w:spacing w:after="0" w:line="360" w:lineRule="auto"/>
              <w:rPr>
                <w:rFonts w:asciiTheme="majorHAnsi" w:eastAsia="Times New Roman" w:hAnsiTheme="majorHAnsi" w:cstheme="majorHAnsi"/>
                <w:sz w:val="24"/>
                <w:szCs w:val="24"/>
              </w:rPr>
            </w:pPr>
          </w:p>
        </w:tc>
        <w:tc>
          <w:tcPr>
            <w:tcW w:w="1036" w:type="dxa"/>
            <w:tcBorders>
              <w:top w:val="nil"/>
              <w:left w:val="nil"/>
              <w:bottom w:val="nil"/>
              <w:right w:val="nil"/>
            </w:tcBorders>
            <w:shd w:val="clear" w:color="auto" w:fill="auto"/>
            <w:noWrap/>
            <w:vAlign w:val="bottom"/>
            <w:hideMark/>
          </w:tcPr>
          <w:p w14:paraId="3B55C7FC" w14:textId="77777777" w:rsidR="00724D10" w:rsidRPr="0022305D" w:rsidRDefault="00724D10" w:rsidP="00583CA1">
            <w:pPr>
              <w:spacing w:after="0" w:line="360" w:lineRule="auto"/>
              <w:rPr>
                <w:rFonts w:asciiTheme="majorHAnsi" w:eastAsia="Times New Roman" w:hAnsiTheme="majorHAnsi" w:cstheme="majorHAnsi"/>
                <w:sz w:val="24"/>
                <w:szCs w:val="24"/>
              </w:rPr>
            </w:pPr>
          </w:p>
        </w:tc>
        <w:tc>
          <w:tcPr>
            <w:tcW w:w="2307" w:type="dxa"/>
            <w:tcBorders>
              <w:top w:val="nil"/>
              <w:left w:val="nil"/>
              <w:bottom w:val="nil"/>
              <w:right w:val="nil"/>
            </w:tcBorders>
            <w:shd w:val="clear" w:color="auto" w:fill="auto"/>
            <w:noWrap/>
            <w:vAlign w:val="bottom"/>
            <w:hideMark/>
          </w:tcPr>
          <w:p w14:paraId="64E5D8A6" w14:textId="77777777" w:rsidR="00724D10" w:rsidRPr="0022305D" w:rsidRDefault="00724D10" w:rsidP="00A52602">
            <w:pPr>
              <w:spacing w:after="0" w:line="480" w:lineRule="auto"/>
              <w:rPr>
                <w:rFonts w:asciiTheme="majorHAnsi" w:eastAsia="Times New Roman" w:hAnsiTheme="majorHAnsi" w:cstheme="majorHAnsi"/>
                <w:sz w:val="24"/>
                <w:szCs w:val="24"/>
              </w:rPr>
            </w:pPr>
          </w:p>
        </w:tc>
        <w:tc>
          <w:tcPr>
            <w:tcW w:w="1036" w:type="dxa"/>
            <w:tcBorders>
              <w:top w:val="nil"/>
              <w:left w:val="nil"/>
              <w:bottom w:val="nil"/>
              <w:right w:val="nil"/>
            </w:tcBorders>
            <w:shd w:val="clear" w:color="auto" w:fill="auto"/>
            <w:noWrap/>
            <w:vAlign w:val="bottom"/>
            <w:hideMark/>
          </w:tcPr>
          <w:p w14:paraId="60B54ACB" w14:textId="77777777" w:rsidR="00724D10" w:rsidRPr="0022305D" w:rsidRDefault="00724D10" w:rsidP="00A52602">
            <w:pPr>
              <w:spacing w:after="0" w:line="480" w:lineRule="auto"/>
              <w:rPr>
                <w:rFonts w:asciiTheme="majorHAnsi" w:eastAsia="Times New Roman" w:hAnsiTheme="majorHAnsi" w:cstheme="majorHAnsi"/>
                <w:sz w:val="24"/>
                <w:szCs w:val="24"/>
              </w:rPr>
            </w:pPr>
          </w:p>
        </w:tc>
      </w:tr>
      <w:tr w:rsidR="00724D10" w:rsidRPr="0022305D" w14:paraId="261BFE71" w14:textId="77777777" w:rsidTr="00583CA1">
        <w:trPr>
          <w:trHeight w:val="242"/>
        </w:trPr>
        <w:tc>
          <w:tcPr>
            <w:tcW w:w="1646" w:type="dxa"/>
            <w:tcBorders>
              <w:top w:val="nil"/>
              <w:left w:val="nil"/>
              <w:bottom w:val="nil"/>
              <w:right w:val="nil"/>
            </w:tcBorders>
            <w:shd w:val="clear" w:color="auto" w:fill="auto"/>
            <w:noWrap/>
            <w:vAlign w:val="bottom"/>
            <w:hideMark/>
          </w:tcPr>
          <w:p w14:paraId="653752F3" w14:textId="77777777" w:rsidR="00724D10" w:rsidRPr="0022305D" w:rsidRDefault="00724D10" w:rsidP="00583CA1">
            <w:pPr>
              <w:spacing w:after="0" w:line="360" w:lineRule="auto"/>
              <w:rPr>
                <w:rFonts w:asciiTheme="majorHAnsi" w:eastAsia="Times New Roman" w:hAnsiTheme="majorHAnsi" w:cstheme="majorHAnsi"/>
                <w:sz w:val="24"/>
                <w:szCs w:val="24"/>
              </w:rPr>
            </w:pPr>
          </w:p>
        </w:tc>
        <w:tc>
          <w:tcPr>
            <w:tcW w:w="2138" w:type="dxa"/>
            <w:tcBorders>
              <w:top w:val="nil"/>
              <w:left w:val="nil"/>
              <w:bottom w:val="nil"/>
              <w:right w:val="nil"/>
            </w:tcBorders>
            <w:shd w:val="clear" w:color="auto" w:fill="auto"/>
            <w:noWrap/>
            <w:vAlign w:val="bottom"/>
            <w:hideMark/>
          </w:tcPr>
          <w:p w14:paraId="16763109"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p>
        </w:tc>
        <w:tc>
          <w:tcPr>
            <w:tcW w:w="998" w:type="dxa"/>
            <w:tcBorders>
              <w:top w:val="nil"/>
              <w:left w:val="nil"/>
              <w:bottom w:val="nil"/>
              <w:right w:val="nil"/>
            </w:tcBorders>
            <w:shd w:val="clear" w:color="auto" w:fill="auto"/>
            <w:noWrap/>
            <w:vAlign w:val="bottom"/>
            <w:hideMark/>
          </w:tcPr>
          <w:p w14:paraId="4F43EA4E"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p>
        </w:tc>
        <w:tc>
          <w:tcPr>
            <w:tcW w:w="1014" w:type="dxa"/>
            <w:tcBorders>
              <w:top w:val="nil"/>
              <w:left w:val="nil"/>
              <w:bottom w:val="nil"/>
              <w:right w:val="nil"/>
            </w:tcBorders>
            <w:shd w:val="clear" w:color="auto" w:fill="auto"/>
            <w:noWrap/>
            <w:vAlign w:val="bottom"/>
            <w:hideMark/>
          </w:tcPr>
          <w:p w14:paraId="7B808979" w14:textId="77777777" w:rsidR="00724D10" w:rsidRPr="0022305D" w:rsidRDefault="00724D10" w:rsidP="00583CA1">
            <w:pPr>
              <w:spacing w:after="0" w:line="360" w:lineRule="auto"/>
              <w:rPr>
                <w:rFonts w:asciiTheme="majorHAnsi" w:eastAsia="Times New Roman" w:hAnsiTheme="majorHAnsi" w:cstheme="majorHAnsi"/>
                <w:sz w:val="24"/>
                <w:szCs w:val="24"/>
              </w:rPr>
            </w:pPr>
          </w:p>
        </w:tc>
        <w:tc>
          <w:tcPr>
            <w:tcW w:w="1079" w:type="dxa"/>
            <w:tcBorders>
              <w:top w:val="nil"/>
              <w:left w:val="nil"/>
              <w:bottom w:val="nil"/>
              <w:right w:val="nil"/>
            </w:tcBorders>
            <w:shd w:val="clear" w:color="auto" w:fill="auto"/>
            <w:noWrap/>
            <w:vAlign w:val="bottom"/>
            <w:hideMark/>
          </w:tcPr>
          <w:p w14:paraId="0D26F0AE" w14:textId="77777777" w:rsidR="00724D10" w:rsidRPr="0022305D" w:rsidRDefault="00724D10" w:rsidP="00583CA1">
            <w:pPr>
              <w:spacing w:after="0" w:line="360" w:lineRule="auto"/>
              <w:rPr>
                <w:rFonts w:asciiTheme="majorHAnsi" w:eastAsia="Times New Roman" w:hAnsiTheme="majorHAnsi" w:cstheme="majorHAnsi"/>
                <w:sz w:val="24"/>
                <w:szCs w:val="24"/>
              </w:rPr>
            </w:pPr>
          </w:p>
        </w:tc>
        <w:tc>
          <w:tcPr>
            <w:tcW w:w="1036" w:type="dxa"/>
            <w:tcBorders>
              <w:top w:val="nil"/>
              <w:left w:val="nil"/>
              <w:bottom w:val="nil"/>
              <w:right w:val="nil"/>
            </w:tcBorders>
            <w:shd w:val="clear" w:color="auto" w:fill="auto"/>
            <w:noWrap/>
            <w:vAlign w:val="bottom"/>
            <w:hideMark/>
          </w:tcPr>
          <w:p w14:paraId="29EBF14B" w14:textId="77777777" w:rsidR="00724D10" w:rsidRPr="0022305D" w:rsidRDefault="00724D10" w:rsidP="00583CA1">
            <w:pPr>
              <w:spacing w:after="0" w:line="360" w:lineRule="auto"/>
              <w:rPr>
                <w:rFonts w:asciiTheme="majorHAnsi" w:eastAsia="Times New Roman" w:hAnsiTheme="majorHAnsi" w:cstheme="majorHAnsi"/>
                <w:sz w:val="24"/>
                <w:szCs w:val="24"/>
              </w:rPr>
            </w:pPr>
          </w:p>
        </w:tc>
        <w:tc>
          <w:tcPr>
            <w:tcW w:w="2307" w:type="dxa"/>
            <w:tcBorders>
              <w:top w:val="nil"/>
              <w:left w:val="nil"/>
              <w:bottom w:val="nil"/>
              <w:right w:val="nil"/>
            </w:tcBorders>
            <w:shd w:val="clear" w:color="auto" w:fill="auto"/>
            <w:noWrap/>
            <w:vAlign w:val="bottom"/>
            <w:hideMark/>
          </w:tcPr>
          <w:p w14:paraId="5B9498EB" w14:textId="77777777" w:rsidR="00724D10" w:rsidRPr="0022305D" w:rsidRDefault="00724D10" w:rsidP="00A52602">
            <w:pPr>
              <w:spacing w:after="0" w:line="480" w:lineRule="auto"/>
              <w:rPr>
                <w:rFonts w:asciiTheme="majorHAnsi" w:eastAsia="Times New Roman" w:hAnsiTheme="majorHAnsi" w:cstheme="majorHAnsi"/>
                <w:sz w:val="24"/>
                <w:szCs w:val="24"/>
              </w:rPr>
            </w:pPr>
          </w:p>
        </w:tc>
        <w:tc>
          <w:tcPr>
            <w:tcW w:w="1036" w:type="dxa"/>
            <w:tcBorders>
              <w:top w:val="nil"/>
              <w:left w:val="nil"/>
              <w:bottom w:val="nil"/>
              <w:right w:val="nil"/>
            </w:tcBorders>
            <w:shd w:val="clear" w:color="auto" w:fill="auto"/>
            <w:noWrap/>
            <w:vAlign w:val="bottom"/>
            <w:hideMark/>
          </w:tcPr>
          <w:p w14:paraId="6EBB64EE" w14:textId="77777777" w:rsidR="00724D10" w:rsidRPr="0022305D" w:rsidRDefault="00724D10" w:rsidP="00A52602">
            <w:pPr>
              <w:spacing w:after="0" w:line="480" w:lineRule="auto"/>
              <w:rPr>
                <w:rFonts w:asciiTheme="majorHAnsi" w:eastAsia="Times New Roman" w:hAnsiTheme="majorHAnsi" w:cstheme="majorHAnsi"/>
                <w:sz w:val="24"/>
                <w:szCs w:val="24"/>
              </w:rPr>
            </w:pPr>
          </w:p>
        </w:tc>
      </w:tr>
      <w:tr w:rsidR="00724D10" w:rsidRPr="0022305D" w14:paraId="109F7B2B" w14:textId="77777777" w:rsidTr="00583CA1">
        <w:trPr>
          <w:trHeight w:val="242"/>
        </w:trPr>
        <w:tc>
          <w:tcPr>
            <w:tcW w:w="1646" w:type="dxa"/>
            <w:tcBorders>
              <w:top w:val="nil"/>
              <w:left w:val="nil"/>
              <w:bottom w:val="nil"/>
              <w:right w:val="nil"/>
            </w:tcBorders>
            <w:shd w:val="clear" w:color="auto" w:fill="auto"/>
            <w:noWrap/>
            <w:vAlign w:val="bottom"/>
            <w:hideMark/>
          </w:tcPr>
          <w:p w14:paraId="1AFCF1D2"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DER</w:t>
            </w:r>
          </w:p>
        </w:tc>
        <w:tc>
          <w:tcPr>
            <w:tcW w:w="2138" w:type="dxa"/>
            <w:tcBorders>
              <w:top w:val="nil"/>
              <w:left w:val="nil"/>
              <w:bottom w:val="nil"/>
              <w:right w:val="nil"/>
            </w:tcBorders>
            <w:shd w:val="clear" w:color="auto" w:fill="auto"/>
            <w:noWrap/>
            <w:vAlign w:val="bottom"/>
            <w:hideMark/>
          </w:tcPr>
          <w:p w14:paraId="74D5C4AD"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Pearson Correlation</w:t>
            </w:r>
          </w:p>
        </w:tc>
        <w:tc>
          <w:tcPr>
            <w:tcW w:w="998" w:type="dxa"/>
            <w:tcBorders>
              <w:top w:val="nil"/>
              <w:left w:val="nil"/>
              <w:bottom w:val="nil"/>
              <w:right w:val="nil"/>
            </w:tcBorders>
            <w:shd w:val="clear" w:color="auto" w:fill="auto"/>
            <w:noWrap/>
            <w:vAlign w:val="bottom"/>
            <w:hideMark/>
          </w:tcPr>
          <w:p w14:paraId="47E71450"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.734**</w:t>
            </w:r>
          </w:p>
        </w:tc>
        <w:tc>
          <w:tcPr>
            <w:tcW w:w="1014" w:type="dxa"/>
            <w:tcBorders>
              <w:top w:val="nil"/>
              <w:left w:val="nil"/>
              <w:bottom w:val="nil"/>
              <w:right w:val="nil"/>
            </w:tcBorders>
            <w:shd w:val="clear" w:color="auto" w:fill="auto"/>
            <w:noWrap/>
            <w:vAlign w:val="bottom"/>
            <w:hideMark/>
          </w:tcPr>
          <w:p w14:paraId="07031775"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 xml:space="preserve"> 1</w:t>
            </w:r>
          </w:p>
        </w:tc>
        <w:tc>
          <w:tcPr>
            <w:tcW w:w="1079" w:type="dxa"/>
            <w:tcBorders>
              <w:top w:val="nil"/>
              <w:left w:val="nil"/>
              <w:bottom w:val="nil"/>
              <w:right w:val="nil"/>
            </w:tcBorders>
            <w:shd w:val="clear" w:color="auto" w:fill="auto"/>
            <w:noWrap/>
            <w:vAlign w:val="bottom"/>
            <w:hideMark/>
          </w:tcPr>
          <w:p w14:paraId="1CA7A78B"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p>
        </w:tc>
        <w:tc>
          <w:tcPr>
            <w:tcW w:w="1036" w:type="dxa"/>
            <w:tcBorders>
              <w:top w:val="nil"/>
              <w:left w:val="nil"/>
              <w:bottom w:val="nil"/>
              <w:right w:val="nil"/>
            </w:tcBorders>
            <w:shd w:val="clear" w:color="auto" w:fill="auto"/>
            <w:noWrap/>
            <w:vAlign w:val="bottom"/>
            <w:hideMark/>
          </w:tcPr>
          <w:p w14:paraId="66D33046" w14:textId="77777777" w:rsidR="00724D10" w:rsidRPr="0022305D" w:rsidRDefault="00724D10" w:rsidP="00583CA1">
            <w:pPr>
              <w:spacing w:after="0" w:line="360" w:lineRule="auto"/>
              <w:rPr>
                <w:rFonts w:asciiTheme="majorHAnsi" w:eastAsia="Times New Roman" w:hAnsiTheme="majorHAnsi" w:cstheme="majorHAnsi"/>
                <w:sz w:val="24"/>
                <w:szCs w:val="24"/>
              </w:rPr>
            </w:pPr>
          </w:p>
        </w:tc>
        <w:tc>
          <w:tcPr>
            <w:tcW w:w="2307" w:type="dxa"/>
            <w:tcBorders>
              <w:top w:val="nil"/>
              <w:left w:val="nil"/>
              <w:bottom w:val="nil"/>
              <w:right w:val="nil"/>
            </w:tcBorders>
            <w:shd w:val="clear" w:color="auto" w:fill="auto"/>
            <w:noWrap/>
            <w:vAlign w:val="bottom"/>
            <w:hideMark/>
          </w:tcPr>
          <w:p w14:paraId="4EEFD0C9" w14:textId="77777777" w:rsidR="00724D10" w:rsidRPr="0022305D" w:rsidRDefault="00724D10" w:rsidP="00A52602">
            <w:pPr>
              <w:spacing w:after="0" w:line="480" w:lineRule="auto"/>
              <w:rPr>
                <w:rFonts w:asciiTheme="majorHAnsi" w:eastAsia="Times New Roman" w:hAnsiTheme="majorHAnsi" w:cstheme="majorHAnsi"/>
                <w:sz w:val="24"/>
                <w:szCs w:val="24"/>
              </w:rPr>
            </w:pPr>
          </w:p>
        </w:tc>
        <w:tc>
          <w:tcPr>
            <w:tcW w:w="1036" w:type="dxa"/>
            <w:tcBorders>
              <w:top w:val="nil"/>
              <w:left w:val="nil"/>
              <w:bottom w:val="nil"/>
              <w:right w:val="nil"/>
            </w:tcBorders>
            <w:shd w:val="clear" w:color="auto" w:fill="auto"/>
            <w:noWrap/>
            <w:vAlign w:val="bottom"/>
            <w:hideMark/>
          </w:tcPr>
          <w:p w14:paraId="61298350" w14:textId="77777777" w:rsidR="00724D10" w:rsidRPr="0022305D" w:rsidRDefault="00724D10" w:rsidP="00A52602">
            <w:pPr>
              <w:spacing w:after="0" w:line="480" w:lineRule="auto"/>
              <w:rPr>
                <w:rFonts w:asciiTheme="majorHAnsi" w:eastAsia="Times New Roman" w:hAnsiTheme="majorHAnsi" w:cstheme="majorHAnsi"/>
                <w:sz w:val="24"/>
                <w:szCs w:val="24"/>
              </w:rPr>
            </w:pPr>
          </w:p>
        </w:tc>
      </w:tr>
      <w:tr w:rsidR="00724D10" w:rsidRPr="0022305D" w14:paraId="555D869E" w14:textId="77777777" w:rsidTr="00583CA1">
        <w:trPr>
          <w:trHeight w:val="242"/>
        </w:trPr>
        <w:tc>
          <w:tcPr>
            <w:tcW w:w="1646" w:type="dxa"/>
            <w:tcBorders>
              <w:top w:val="nil"/>
              <w:left w:val="nil"/>
              <w:bottom w:val="nil"/>
              <w:right w:val="nil"/>
            </w:tcBorders>
            <w:shd w:val="clear" w:color="auto" w:fill="auto"/>
            <w:noWrap/>
            <w:vAlign w:val="bottom"/>
            <w:hideMark/>
          </w:tcPr>
          <w:p w14:paraId="5144D1B3" w14:textId="77777777" w:rsidR="00724D10" w:rsidRPr="0022305D" w:rsidRDefault="00724D10" w:rsidP="00583CA1">
            <w:pPr>
              <w:spacing w:after="0" w:line="360" w:lineRule="auto"/>
              <w:rPr>
                <w:rFonts w:asciiTheme="majorHAnsi" w:eastAsia="Times New Roman" w:hAnsiTheme="majorHAnsi" w:cstheme="majorHAnsi"/>
                <w:sz w:val="24"/>
                <w:szCs w:val="24"/>
              </w:rPr>
            </w:pPr>
          </w:p>
        </w:tc>
        <w:tc>
          <w:tcPr>
            <w:tcW w:w="2138" w:type="dxa"/>
            <w:tcBorders>
              <w:top w:val="nil"/>
              <w:left w:val="nil"/>
              <w:bottom w:val="nil"/>
              <w:right w:val="nil"/>
            </w:tcBorders>
            <w:shd w:val="clear" w:color="auto" w:fill="auto"/>
            <w:noWrap/>
            <w:vAlign w:val="bottom"/>
            <w:hideMark/>
          </w:tcPr>
          <w:p w14:paraId="582D98E4"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p>
        </w:tc>
        <w:tc>
          <w:tcPr>
            <w:tcW w:w="998" w:type="dxa"/>
            <w:tcBorders>
              <w:top w:val="nil"/>
              <w:left w:val="nil"/>
              <w:bottom w:val="nil"/>
              <w:right w:val="nil"/>
            </w:tcBorders>
            <w:shd w:val="clear" w:color="auto" w:fill="auto"/>
            <w:noWrap/>
            <w:vAlign w:val="bottom"/>
            <w:hideMark/>
          </w:tcPr>
          <w:p w14:paraId="684F4D00"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p>
        </w:tc>
        <w:tc>
          <w:tcPr>
            <w:tcW w:w="1014" w:type="dxa"/>
            <w:tcBorders>
              <w:top w:val="nil"/>
              <w:left w:val="nil"/>
              <w:bottom w:val="nil"/>
              <w:right w:val="nil"/>
            </w:tcBorders>
            <w:shd w:val="clear" w:color="auto" w:fill="auto"/>
            <w:noWrap/>
            <w:vAlign w:val="bottom"/>
            <w:hideMark/>
          </w:tcPr>
          <w:p w14:paraId="4549E19A"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p>
        </w:tc>
        <w:tc>
          <w:tcPr>
            <w:tcW w:w="1079" w:type="dxa"/>
            <w:tcBorders>
              <w:top w:val="nil"/>
              <w:left w:val="nil"/>
              <w:bottom w:val="nil"/>
              <w:right w:val="nil"/>
            </w:tcBorders>
            <w:shd w:val="clear" w:color="auto" w:fill="auto"/>
            <w:noWrap/>
            <w:vAlign w:val="bottom"/>
            <w:hideMark/>
          </w:tcPr>
          <w:p w14:paraId="3E609A4D" w14:textId="77777777" w:rsidR="00724D10" w:rsidRPr="0022305D" w:rsidRDefault="00724D10" w:rsidP="00583CA1">
            <w:pPr>
              <w:spacing w:after="0" w:line="360" w:lineRule="auto"/>
              <w:rPr>
                <w:rFonts w:asciiTheme="majorHAnsi" w:eastAsia="Times New Roman" w:hAnsiTheme="majorHAnsi" w:cstheme="majorHAnsi"/>
                <w:sz w:val="24"/>
                <w:szCs w:val="24"/>
              </w:rPr>
            </w:pPr>
          </w:p>
        </w:tc>
        <w:tc>
          <w:tcPr>
            <w:tcW w:w="1036" w:type="dxa"/>
            <w:tcBorders>
              <w:top w:val="nil"/>
              <w:left w:val="nil"/>
              <w:bottom w:val="nil"/>
              <w:right w:val="nil"/>
            </w:tcBorders>
            <w:shd w:val="clear" w:color="auto" w:fill="auto"/>
            <w:noWrap/>
            <w:vAlign w:val="bottom"/>
            <w:hideMark/>
          </w:tcPr>
          <w:p w14:paraId="1B0C4F25" w14:textId="77777777" w:rsidR="00724D10" w:rsidRPr="0022305D" w:rsidRDefault="00724D10" w:rsidP="00583CA1">
            <w:pPr>
              <w:spacing w:after="0" w:line="360" w:lineRule="auto"/>
              <w:rPr>
                <w:rFonts w:asciiTheme="majorHAnsi" w:eastAsia="Times New Roman" w:hAnsiTheme="majorHAnsi" w:cstheme="majorHAnsi"/>
                <w:sz w:val="24"/>
                <w:szCs w:val="24"/>
              </w:rPr>
            </w:pPr>
          </w:p>
        </w:tc>
        <w:tc>
          <w:tcPr>
            <w:tcW w:w="2307" w:type="dxa"/>
            <w:tcBorders>
              <w:top w:val="nil"/>
              <w:left w:val="nil"/>
              <w:bottom w:val="nil"/>
              <w:right w:val="nil"/>
            </w:tcBorders>
            <w:shd w:val="clear" w:color="auto" w:fill="auto"/>
            <w:noWrap/>
            <w:vAlign w:val="bottom"/>
            <w:hideMark/>
          </w:tcPr>
          <w:p w14:paraId="424509BF" w14:textId="77777777" w:rsidR="00724D10" w:rsidRPr="0022305D" w:rsidRDefault="00724D10" w:rsidP="00A52602">
            <w:pPr>
              <w:spacing w:after="0" w:line="480" w:lineRule="auto"/>
              <w:rPr>
                <w:rFonts w:asciiTheme="majorHAnsi" w:eastAsia="Times New Roman" w:hAnsiTheme="majorHAnsi" w:cstheme="majorHAnsi"/>
                <w:sz w:val="24"/>
                <w:szCs w:val="24"/>
              </w:rPr>
            </w:pPr>
          </w:p>
        </w:tc>
        <w:tc>
          <w:tcPr>
            <w:tcW w:w="1036" w:type="dxa"/>
            <w:tcBorders>
              <w:top w:val="nil"/>
              <w:left w:val="nil"/>
              <w:bottom w:val="nil"/>
              <w:right w:val="nil"/>
            </w:tcBorders>
            <w:shd w:val="clear" w:color="auto" w:fill="auto"/>
            <w:noWrap/>
            <w:vAlign w:val="bottom"/>
            <w:hideMark/>
          </w:tcPr>
          <w:p w14:paraId="6D93ACEA" w14:textId="77777777" w:rsidR="00724D10" w:rsidRPr="0022305D" w:rsidRDefault="00724D10" w:rsidP="00A52602">
            <w:pPr>
              <w:spacing w:after="0" w:line="480" w:lineRule="auto"/>
              <w:rPr>
                <w:rFonts w:asciiTheme="majorHAnsi" w:eastAsia="Times New Roman" w:hAnsiTheme="majorHAnsi" w:cstheme="majorHAnsi"/>
                <w:sz w:val="24"/>
                <w:szCs w:val="24"/>
              </w:rPr>
            </w:pPr>
          </w:p>
        </w:tc>
      </w:tr>
      <w:tr w:rsidR="00724D10" w:rsidRPr="0022305D" w14:paraId="3D9C4A21" w14:textId="77777777" w:rsidTr="00583CA1">
        <w:trPr>
          <w:trHeight w:val="242"/>
        </w:trPr>
        <w:tc>
          <w:tcPr>
            <w:tcW w:w="1646" w:type="dxa"/>
            <w:tcBorders>
              <w:top w:val="nil"/>
              <w:left w:val="nil"/>
              <w:bottom w:val="nil"/>
              <w:right w:val="nil"/>
            </w:tcBorders>
            <w:shd w:val="clear" w:color="auto" w:fill="auto"/>
            <w:noWrap/>
            <w:vAlign w:val="bottom"/>
            <w:hideMark/>
          </w:tcPr>
          <w:p w14:paraId="00022DC0"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ROA</w:t>
            </w:r>
          </w:p>
        </w:tc>
        <w:tc>
          <w:tcPr>
            <w:tcW w:w="2138" w:type="dxa"/>
            <w:tcBorders>
              <w:top w:val="nil"/>
              <w:left w:val="nil"/>
              <w:bottom w:val="nil"/>
              <w:right w:val="nil"/>
            </w:tcBorders>
            <w:shd w:val="clear" w:color="auto" w:fill="auto"/>
            <w:noWrap/>
            <w:vAlign w:val="bottom"/>
            <w:hideMark/>
          </w:tcPr>
          <w:p w14:paraId="6EA1C3C3"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Pearson Correlation</w:t>
            </w:r>
          </w:p>
        </w:tc>
        <w:tc>
          <w:tcPr>
            <w:tcW w:w="998" w:type="dxa"/>
            <w:tcBorders>
              <w:top w:val="nil"/>
              <w:left w:val="nil"/>
              <w:bottom w:val="nil"/>
              <w:right w:val="nil"/>
            </w:tcBorders>
            <w:shd w:val="clear" w:color="auto" w:fill="auto"/>
            <w:noWrap/>
            <w:vAlign w:val="bottom"/>
            <w:hideMark/>
          </w:tcPr>
          <w:p w14:paraId="4EE005B4"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-0.011</w:t>
            </w:r>
          </w:p>
        </w:tc>
        <w:tc>
          <w:tcPr>
            <w:tcW w:w="1014" w:type="dxa"/>
            <w:tcBorders>
              <w:top w:val="nil"/>
              <w:left w:val="nil"/>
              <w:bottom w:val="nil"/>
              <w:right w:val="nil"/>
            </w:tcBorders>
            <w:shd w:val="clear" w:color="auto" w:fill="auto"/>
            <w:noWrap/>
            <w:vAlign w:val="bottom"/>
            <w:hideMark/>
          </w:tcPr>
          <w:p w14:paraId="0347A761"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 xml:space="preserve"> .395*</w:t>
            </w:r>
          </w:p>
        </w:tc>
        <w:tc>
          <w:tcPr>
            <w:tcW w:w="1079" w:type="dxa"/>
            <w:tcBorders>
              <w:top w:val="nil"/>
              <w:left w:val="nil"/>
              <w:bottom w:val="nil"/>
              <w:right w:val="nil"/>
            </w:tcBorders>
            <w:shd w:val="clear" w:color="auto" w:fill="auto"/>
            <w:noWrap/>
            <w:vAlign w:val="bottom"/>
            <w:hideMark/>
          </w:tcPr>
          <w:p w14:paraId="6EECF7AC"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1</w:t>
            </w:r>
          </w:p>
        </w:tc>
        <w:tc>
          <w:tcPr>
            <w:tcW w:w="1036" w:type="dxa"/>
            <w:tcBorders>
              <w:top w:val="nil"/>
              <w:left w:val="nil"/>
              <w:bottom w:val="nil"/>
              <w:right w:val="nil"/>
            </w:tcBorders>
            <w:shd w:val="clear" w:color="auto" w:fill="auto"/>
            <w:noWrap/>
            <w:vAlign w:val="bottom"/>
            <w:hideMark/>
          </w:tcPr>
          <w:p w14:paraId="13E66D9C"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p>
        </w:tc>
        <w:tc>
          <w:tcPr>
            <w:tcW w:w="2307" w:type="dxa"/>
            <w:tcBorders>
              <w:top w:val="nil"/>
              <w:left w:val="nil"/>
              <w:bottom w:val="nil"/>
              <w:right w:val="nil"/>
            </w:tcBorders>
            <w:shd w:val="clear" w:color="auto" w:fill="auto"/>
            <w:noWrap/>
            <w:vAlign w:val="bottom"/>
            <w:hideMark/>
          </w:tcPr>
          <w:p w14:paraId="0A07C846" w14:textId="77777777" w:rsidR="00724D10" w:rsidRPr="0022305D" w:rsidRDefault="00724D10" w:rsidP="00A52602">
            <w:pPr>
              <w:spacing w:after="0" w:line="480" w:lineRule="auto"/>
              <w:rPr>
                <w:rFonts w:asciiTheme="majorHAnsi" w:eastAsia="Times New Roman" w:hAnsiTheme="majorHAnsi" w:cstheme="majorHAnsi"/>
                <w:sz w:val="24"/>
                <w:szCs w:val="24"/>
              </w:rPr>
            </w:pPr>
          </w:p>
        </w:tc>
        <w:tc>
          <w:tcPr>
            <w:tcW w:w="1036" w:type="dxa"/>
            <w:tcBorders>
              <w:top w:val="nil"/>
              <w:left w:val="nil"/>
              <w:bottom w:val="nil"/>
              <w:right w:val="nil"/>
            </w:tcBorders>
            <w:shd w:val="clear" w:color="auto" w:fill="auto"/>
            <w:noWrap/>
            <w:vAlign w:val="bottom"/>
            <w:hideMark/>
          </w:tcPr>
          <w:p w14:paraId="679AEDA9" w14:textId="77777777" w:rsidR="00724D10" w:rsidRPr="0022305D" w:rsidRDefault="00724D10" w:rsidP="00A52602">
            <w:pPr>
              <w:spacing w:after="0" w:line="480" w:lineRule="auto"/>
              <w:rPr>
                <w:rFonts w:asciiTheme="majorHAnsi" w:eastAsia="Times New Roman" w:hAnsiTheme="majorHAnsi" w:cstheme="majorHAnsi"/>
                <w:sz w:val="24"/>
                <w:szCs w:val="24"/>
              </w:rPr>
            </w:pPr>
          </w:p>
        </w:tc>
      </w:tr>
      <w:tr w:rsidR="00724D10" w:rsidRPr="0022305D" w14:paraId="3BA08D57" w14:textId="77777777" w:rsidTr="00583CA1">
        <w:trPr>
          <w:trHeight w:val="242"/>
        </w:trPr>
        <w:tc>
          <w:tcPr>
            <w:tcW w:w="1646" w:type="dxa"/>
            <w:tcBorders>
              <w:top w:val="nil"/>
              <w:left w:val="nil"/>
              <w:bottom w:val="nil"/>
              <w:right w:val="nil"/>
            </w:tcBorders>
            <w:shd w:val="clear" w:color="auto" w:fill="auto"/>
            <w:noWrap/>
            <w:vAlign w:val="bottom"/>
            <w:hideMark/>
          </w:tcPr>
          <w:p w14:paraId="2FD4B6BF" w14:textId="77777777" w:rsidR="00724D10" w:rsidRPr="0022305D" w:rsidRDefault="00724D10" w:rsidP="00583CA1">
            <w:pPr>
              <w:spacing w:after="0" w:line="360" w:lineRule="auto"/>
              <w:rPr>
                <w:rFonts w:asciiTheme="majorHAnsi" w:eastAsia="Times New Roman" w:hAnsiTheme="majorHAnsi" w:cstheme="majorHAnsi"/>
                <w:sz w:val="24"/>
                <w:szCs w:val="24"/>
              </w:rPr>
            </w:pPr>
          </w:p>
        </w:tc>
        <w:tc>
          <w:tcPr>
            <w:tcW w:w="2138" w:type="dxa"/>
            <w:tcBorders>
              <w:top w:val="nil"/>
              <w:left w:val="nil"/>
              <w:bottom w:val="nil"/>
              <w:right w:val="nil"/>
            </w:tcBorders>
            <w:shd w:val="clear" w:color="auto" w:fill="auto"/>
            <w:noWrap/>
            <w:vAlign w:val="bottom"/>
            <w:hideMark/>
          </w:tcPr>
          <w:p w14:paraId="0E73804D"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p>
        </w:tc>
        <w:tc>
          <w:tcPr>
            <w:tcW w:w="998" w:type="dxa"/>
            <w:tcBorders>
              <w:top w:val="nil"/>
              <w:left w:val="nil"/>
              <w:bottom w:val="nil"/>
              <w:right w:val="nil"/>
            </w:tcBorders>
            <w:shd w:val="clear" w:color="auto" w:fill="auto"/>
            <w:noWrap/>
            <w:vAlign w:val="bottom"/>
            <w:hideMark/>
          </w:tcPr>
          <w:p w14:paraId="000DC552"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p>
        </w:tc>
        <w:tc>
          <w:tcPr>
            <w:tcW w:w="1014" w:type="dxa"/>
            <w:tcBorders>
              <w:top w:val="nil"/>
              <w:left w:val="nil"/>
              <w:bottom w:val="nil"/>
              <w:right w:val="nil"/>
            </w:tcBorders>
            <w:shd w:val="clear" w:color="auto" w:fill="auto"/>
            <w:noWrap/>
            <w:vAlign w:val="bottom"/>
            <w:hideMark/>
          </w:tcPr>
          <w:p w14:paraId="2B5788DF"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 xml:space="preserve"> </w:t>
            </w:r>
          </w:p>
        </w:tc>
        <w:tc>
          <w:tcPr>
            <w:tcW w:w="1079" w:type="dxa"/>
            <w:tcBorders>
              <w:top w:val="nil"/>
              <w:left w:val="nil"/>
              <w:bottom w:val="nil"/>
              <w:right w:val="nil"/>
            </w:tcBorders>
            <w:shd w:val="clear" w:color="auto" w:fill="auto"/>
            <w:noWrap/>
            <w:vAlign w:val="bottom"/>
            <w:hideMark/>
          </w:tcPr>
          <w:p w14:paraId="582AA1B0"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p>
        </w:tc>
        <w:tc>
          <w:tcPr>
            <w:tcW w:w="1036" w:type="dxa"/>
            <w:tcBorders>
              <w:top w:val="nil"/>
              <w:left w:val="nil"/>
              <w:bottom w:val="nil"/>
              <w:right w:val="nil"/>
            </w:tcBorders>
            <w:shd w:val="clear" w:color="auto" w:fill="auto"/>
            <w:noWrap/>
            <w:vAlign w:val="bottom"/>
            <w:hideMark/>
          </w:tcPr>
          <w:p w14:paraId="7689B9C5" w14:textId="77777777" w:rsidR="00724D10" w:rsidRPr="0022305D" w:rsidRDefault="00724D10" w:rsidP="00583CA1">
            <w:pPr>
              <w:spacing w:after="0" w:line="360" w:lineRule="auto"/>
              <w:rPr>
                <w:rFonts w:asciiTheme="majorHAnsi" w:eastAsia="Times New Roman" w:hAnsiTheme="majorHAnsi" w:cstheme="majorHAnsi"/>
                <w:sz w:val="24"/>
                <w:szCs w:val="24"/>
              </w:rPr>
            </w:pPr>
          </w:p>
        </w:tc>
        <w:tc>
          <w:tcPr>
            <w:tcW w:w="2307" w:type="dxa"/>
            <w:tcBorders>
              <w:top w:val="nil"/>
              <w:left w:val="nil"/>
              <w:bottom w:val="nil"/>
              <w:right w:val="nil"/>
            </w:tcBorders>
            <w:shd w:val="clear" w:color="auto" w:fill="auto"/>
            <w:noWrap/>
            <w:vAlign w:val="bottom"/>
            <w:hideMark/>
          </w:tcPr>
          <w:p w14:paraId="1CA8BCCB" w14:textId="77777777" w:rsidR="00724D10" w:rsidRPr="0022305D" w:rsidRDefault="00724D10" w:rsidP="00A52602">
            <w:pPr>
              <w:spacing w:after="0" w:line="480" w:lineRule="auto"/>
              <w:rPr>
                <w:rFonts w:asciiTheme="majorHAnsi" w:eastAsia="Times New Roman" w:hAnsiTheme="majorHAnsi" w:cstheme="majorHAnsi"/>
                <w:sz w:val="24"/>
                <w:szCs w:val="24"/>
              </w:rPr>
            </w:pPr>
          </w:p>
        </w:tc>
        <w:tc>
          <w:tcPr>
            <w:tcW w:w="1036" w:type="dxa"/>
            <w:tcBorders>
              <w:top w:val="nil"/>
              <w:left w:val="nil"/>
              <w:bottom w:val="nil"/>
              <w:right w:val="nil"/>
            </w:tcBorders>
            <w:shd w:val="clear" w:color="auto" w:fill="auto"/>
            <w:noWrap/>
            <w:vAlign w:val="bottom"/>
            <w:hideMark/>
          </w:tcPr>
          <w:p w14:paraId="105F85E6" w14:textId="77777777" w:rsidR="00724D10" w:rsidRPr="0022305D" w:rsidRDefault="00724D10" w:rsidP="00A52602">
            <w:pPr>
              <w:spacing w:after="0" w:line="480" w:lineRule="auto"/>
              <w:rPr>
                <w:rFonts w:asciiTheme="majorHAnsi" w:eastAsia="Times New Roman" w:hAnsiTheme="majorHAnsi" w:cstheme="majorHAnsi"/>
                <w:sz w:val="24"/>
                <w:szCs w:val="24"/>
              </w:rPr>
            </w:pPr>
          </w:p>
        </w:tc>
      </w:tr>
      <w:tr w:rsidR="00724D10" w:rsidRPr="0022305D" w14:paraId="200ED524" w14:textId="77777777" w:rsidTr="00583CA1">
        <w:trPr>
          <w:trHeight w:val="242"/>
        </w:trPr>
        <w:tc>
          <w:tcPr>
            <w:tcW w:w="1646" w:type="dxa"/>
            <w:tcBorders>
              <w:top w:val="nil"/>
              <w:left w:val="nil"/>
              <w:bottom w:val="nil"/>
              <w:right w:val="nil"/>
            </w:tcBorders>
            <w:shd w:val="clear" w:color="auto" w:fill="auto"/>
            <w:noWrap/>
            <w:vAlign w:val="bottom"/>
            <w:hideMark/>
          </w:tcPr>
          <w:p w14:paraId="195B12B5"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ROE</w:t>
            </w:r>
          </w:p>
        </w:tc>
        <w:tc>
          <w:tcPr>
            <w:tcW w:w="2138" w:type="dxa"/>
            <w:tcBorders>
              <w:top w:val="nil"/>
              <w:left w:val="nil"/>
              <w:bottom w:val="nil"/>
              <w:right w:val="nil"/>
            </w:tcBorders>
            <w:shd w:val="clear" w:color="auto" w:fill="auto"/>
            <w:noWrap/>
            <w:vAlign w:val="bottom"/>
            <w:hideMark/>
          </w:tcPr>
          <w:p w14:paraId="55E963E6"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Pearson Correlation</w:t>
            </w:r>
          </w:p>
        </w:tc>
        <w:tc>
          <w:tcPr>
            <w:tcW w:w="998" w:type="dxa"/>
            <w:tcBorders>
              <w:top w:val="nil"/>
              <w:left w:val="nil"/>
              <w:bottom w:val="nil"/>
              <w:right w:val="nil"/>
            </w:tcBorders>
            <w:shd w:val="clear" w:color="auto" w:fill="auto"/>
            <w:noWrap/>
            <w:vAlign w:val="bottom"/>
            <w:hideMark/>
          </w:tcPr>
          <w:p w14:paraId="75AA4698"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0.21</w:t>
            </w:r>
          </w:p>
        </w:tc>
        <w:tc>
          <w:tcPr>
            <w:tcW w:w="1014" w:type="dxa"/>
            <w:tcBorders>
              <w:top w:val="nil"/>
              <w:left w:val="nil"/>
              <w:bottom w:val="nil"/>
              <w:right w:val="nil"/>
            </w:tcBorders>
            <w:shd w:val="clear" w:color="auto" w:fill="auto"/>
            <w:noWrap/>
            <w:vAlign w:val="bottom"/>
            <w:hideMark/>
          </w:tcPr>
          <w:p w14:paraId="20631F78"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-0.015</w:t>
            </w:r>
          </w:p>
        </w:tc>
        <w:tc>
          <w:tcPr>
            <w:tcW w:w="1079" w:type="dxa"/>
            <w:tcBorders>
              <w:top w:val="nil"/>
              <w:left w:val="nil"/>
              <w:bottom w:val="nil"/>
              <w:right w:val="nil"/>
            </w:tcBorders>
            <w:shd w:val="clear" w:color="auto" w:fill="auto"/>
            <w:noWrap/>
            <w:vAlign w:val="bottom"/>
            <w:hideMark/>
          </w:tcPr>
          <w:p w14:paraId="15BB07F4"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-0.011</w:t>
            </w:r>
          </w:p>
        </w:tc>
        <w:tc>
          <w:tcPr>
            <w:tcW w:w="1036" w:type="dxa"/>
            <w:tcBorders>
              <w:top w:val="nil"/>
              <w:left w:val="nil"/>
              <w:bottom w:val="nil"/>
              <w:right w:val="nil"/>
            </w:tcBorders>
            <w:shd w:val="clear" w:color="auto" w:fill="auto"/>
            <w:noWrap/>
            <w:vAlign w:val="bottom"/>
            <w:hideMark/>
          </w:tcPr>
          <w:p w14:paraId="432CC873" w14:textId="77777777" w:rsidR="00724D10" w:rsidRPr="0022305D" w:rsidRDefault="00724D10" w:rsidP="00583CA1">
            <w:pPr>
              <w:spacing w:after="0" w:line="36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1</w:t>
            </w:r>
          </w:p>
        </w:tc>
        <w:tc>
          <w:tcPr>
            <w:tcW w:w="2307" w:type="dxa"/>
            <w:tcBorders>
              <w:top w:val="nil"/>
              <w:left w:val="nil"/>
              <w:bottom w:val="nil"/>
              <w:right w:val="nil"/>
            </w:tcBorders>
            <w:shd w:val="clear" w:color="auto" w:fill="auto"/>
            <w:noWrap/>
            <w:vAlign w:val="bottom"/>
            <w:hideMark/>
          </w:tcPr>
          <w:p w14:paraId="2812AF15"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p>
        </w:tc>
        <w:tc>
          <w:tcPr>
            <w:tcW w:w="1036" w:type="dxa"/>
            <w:tcBorders>
              <w:top w:val="nil"/>
              <w:left w:val="nil"/>
              <w:bottom w:val="nil"/>
              <w:right w:val="nil"/>
            </w:tcBorders>
            <w:shd w:val="clear" w:color="auto" w:fill="auto"/>
            <w:noWrap/>
            <w:vAlign w:val="bottom"/>
            <w:hideMark/>
          </w:tcPr>
          <w:p w14:paraId="6FD38128" w14:textId="77777777" w:rsidR="00724D10" w:rsidRPr="0022305D" w:rsidRDefault="00724D10" w:rsidP="00A52602">
            <w:pPr>
              <w:spacing w:after="0" w:line="480" w:lineRule="auto"/>
              <w:rPr>
                <w:rFonts w:asciiTheme="majorHAnsi" w:eastAsia="Times New Roman" w:hAnsiTheme="majorHAnsi" w:cstheme="majorHAnsi"/>
                <w:sz w:val="24"/>
                <w:szCs w:val="24"/>
              </w:rPr>
            </w:pPr>
          </w:p>
        </w:tc>
      </w:tr>
      <w:tr w:rsidR="00724D10" w:rsidRPr="0022305D" w14:paraId="002FABF3" w14:textId="77777777" w:rsidTr="00583CA1">
        <w:trPr>
          <w:trHeight w:val="242"/>
        </w:trPr>
        <w:tc>
          <w:tcPr>
            <w:tcW w:w="1646" w:type="dxa"/>
            <w:tcBorders>
              <w:top w:val="nil"/>
              <w:left w:val="nil"/>
              <w:bottom w:val="single" w:sz="4" w:space="0" w:color="auto"/>
              <w:right w:val="nil"/>
            </w:tcBorders>
            <w:shd w:val="clear" w:color="auto" w:fill="auto"/>
            <w:noWrap/>
            <w:vAlign w:val="bottom"/>
            <w:hideMark/>
          </w:tcPr>
          <w:p w14:paraId="7413986C" w14:textId="77777777" w:rsidR="00724D10" w:rsidRPr="0022305D" w:rsidRDefault="00724D10" w:rsidP="00A52602">
            <w:pPr>
              <w:spacing w:after="0" w:line="480" w:lineRule="auto"/>
              <w:rPr>
                <w:rFonts w:asciiTheme="majorHAnsi" w:eastAsia="Times New Roman" w:hAnsiTheme="majorHAnsi" w:cstheme="majorHAnsi"/>
                <w:sz w:val="24"/>
                <w:szCs w:val="24"/>
              </w:rPr>
            </w:pPr>
          </w:p>
        </w:tc>
        <w:tc>
          <w:tcPr>
            <w:tcW w:w="2138" w:type="dxa"/>
            <w:tcBorders>
              <w:top w:val="nil"/>
              <w:left w:val="nil"/>
              <w:bottom w:val="single" w:sz="4" w:space="0" w:color="auto"/>
              <w:right w:val="nil"/>
            </w:tcBorders>
            <w:shd w:val="clear" w:color="auto" w:fill="auto"/>
            <w:noWrap/>
            <w:vAlign w:val="bottom"/>
            <w:hideMark/>
          </w:tcPr>
          <w:p w14:paraId="2ECB58FA"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p>
        </w:tc>
        <w:tc>
          <w:tcPr>
            <w:tcW w:w="998" w:type="dxa"/>
            <w:tcBorders>
              <w:top w:val="nil"/>
              <w:left w:val="nil"/>
              <w:bottom w:val="single" w:sz="4" w:space="0" w:color="auto"/>
              <w:right w:val="nil"/>
            </w:tcBorders>
            <w:shd w:val="clear" w:color="auto" w:fill="auto"/>
            <w:noWrap/>
            <w:vAlign w:val="bottom"/>
            <w:hideMark/>
          </w:tcPr>
          <w:p w14:paraId="4A213E78"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p>
        </w:tc>
        <w:tc>
          <w:tcPr>
            <w:tcW w:w="1014" w:type="dxa"/>
            <w:tcBorders>
              <w:top w:val="nil"/>
              <w:left w:val="nil"/>
              <w:bottom w:val="single" w:sz="4" w:space="0" w:color="auto"/>
              <w:right w:val="nil"/>
            </w:tcBorders>
            <w:shd w:val="clear" w:color="auto" w:fill="auto"/>
            <w:noWrap/>
            <w:vAlign w:val="bottom"/>
            <w:hideMark/>
          </w:tcPr>
          <w:p w14:paraId="78665EA7"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p>
        </w:tc>
        <w:tc>
          <w:tcPr>
            <w:tcW w:w="1079" w:type="dxa"/>
            <w:tcBorders>
              <w:top w:val="nil"/>
              <w:left w:val="nil"/>
              <w:bottom w:val="single" w:sz="4" w:space="0" w:color="auto"/>
              <w:right w:val="nil"/>
            </w:tcBorders>
            <w:shd w:val="clear" w:color="auto" w:fill="auto"/>
            <w:noWrap/>
            <w:vAlign w:val="bottom"/>
            <w:hideMark/>
          </w:tcPr>
          <w:p w14:paraId="0A4A1D70"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p>
        </w:tc>
        <w:tc>
          <w:tcPr>
            <w:tcW w:w="1036" w:type="dxa"/>
            <w:tcBorders>
              <w:top w:val="nil"/>
              <w:left w:val="nil"/>
              <w:bottom w:val="single" w:sz="4" w:space="0" w:color="auto"/>
              <w:right w:val="nil"/>
            </w:tcBorders>
            <w:shd w:val="clear" w:color="auto" w:fill="auto"/>
            <w:noWrap/>
            <w:vAlign w:val="bottom"/>
            <w:hideMark/>
          </w:tcPr>
          <w:p w14:paraId="58581366"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p>
        </w:tc>
        <w:tc>
          <w:tcPr>
            <w:tcW w:w="2307" w:type="dxa"/>
            <w:tcBorders>
              <w:top w:val="nil"/>
              <w:left w:val="nil"/>
              <w:bottom w:val="single" w:sz="4" w:space="0" w:color="auto"/>
              <w:right w:val="nil"/>
            </w:tcBorders>
            <w:shd w:val="clear" w:color="auto" w:fill="auto"/>
            <w:noWrap/>
            <w:vAlign w:val="bottom"/>
            <w:hideMark/>
          </w:tcPr>
          <w:p w14:paraId="45ED155C" w14:textId="77777777" w:rsidR="00724D10" w:rsidRPr="0022305D" w:rsidRDefault="00724D10" w:rsidP="00A52602">
            <w:pPr>
              <w:spacing w:after="0" w:line="480" w:lineRule="auto"/>
              <w:rPr>
                <w:rFonts w:asciiTheme="majorHAnsi" w:eastAsia="Times New Roman" w:hAnsiTheme="majorHAnsi" w:cstheme="majorHAnsi"/>
                <w:sz w:val="24"/>
                <w:szCs w:val="24"/>
              </w:rPr>
            </w:pPr>
          </w:p>
        </w:tc>
        <w:tc>
          <w:tcPr>
            <w:tcW w:w="1036" w:type="dxa"/>
            <w:tcBorders>
              <w:top w:val="nil"/>
              <w:left w:val="nil"/>
              <w:bottom w:val="single" w:sz="4" w:space="0" w:color="auto"/>
              <w:right w:val="nil"/>
            </w:tcBorders>
            <w:shd w:val="clear" w:color="auto" w:fill="auto"/>
            <w:noWrap/>
            <w:vAlign w:val="bottom"/>
            <w:hideMark/>
          </w:tcPr>
          <w:p w14:paraId="33593414" w14:textId="77777777" w:rsidR="00724D10" w:rsidRPr="0022305D" w:rsidRDefault="00724D10" w:rsidP="00A52602">
            <w:pPr>
              <w:spacing w:after="0" w:line="480" w:lineRule="auto"/>
              <w:rPr>
                <w:rFonts w:asciiTheme="majorHAnsi" w:eastAsia="Times New Roman" w:hAnsiTheme="majorHAnsi" w:cstheme="majorHAnsi"/>
                <w:sz w:val="24"/>
                <w:szCs w:val="24"/>
              </w:rPr>
            </w:pPr>
          </w:p>
        </w:tc>
      </w:tr>
      <w:tr w:rsidR="00724D10" w:rsidRPr="0022305D" w14:paraId="5110E7A5" w14:textId="77777777" w:rsidTr="00583CA1">
        <w:trPr>
          <w:trHeight w:val="242"/>
        </w:trPr>
        <w:tc>
          <w:tcPr>
            <w:tcW w:w="1646" w:type="dxa"/>
            <w:tcBorders>
              <w:top w:val="single" w:sz="4" w:space="0" w:color="auto"/>
              <w:left w:val="nil"/>
              <w:bottom w:val="nil"/>
              <w:right w:val="nil"/>
            </w:tcBorders>
            <w:shd w:val="clear" w:color="auto" w:fill="auto"/>
            <w:noWrap/>
            <w:vAlign w:val="bottom"/>
            <w:hideMark/>
          </w:tcPr>
          <w:p w14:paraId="3FE44419" w14:textId="77777777" w:rsidR="00724D10" w:rsidRPr="0022305D" w:rsidRDefault="00724D10" w:rsidP="006E6AAA">
            <w:pPr>
              <w:spacing w:after="0" w:line="240" w:lineRule="auto"/>
              <w:rPr>
                <w:rFonts w:asciiTheme="majorHAnsi" w:eastAsia="Times New Roman" w:hAnsiTheme="majorHAnsi" w:cstheme="majorHAnsi"/>
                <w:color w:val="000000"/>
                <w:sz w:val="24"/>
                <w:szCs w:val="24"/>
              </w:rPr>
            </w:pPr>
          </w:p>
        </w:tc>
        <w:tc>
          <w:tcPr>
            <w:tcW w:w="2138" w:type="dxa"/>
            <w:tcBorders>
              <w:top w:val="single" w:sz="4" w:space="0" w:color="auto"/>
              <w:left w:val="nil"/>
              <w:bottom w:val="nil"/>
              <w:right w:val="nil"/>
            </w:tcBorders>
            <w:shd w:val="clear" w:color="auto" w:fill="auto"/>
            <w:noWrap/>
            <w:vAlign w:val="bottom"/>
            <w:hideMark/>
          </w:tcPr>
          <w:p w14:paraId="33153D1D"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p>
        </w:tc>
        <w:tc>
          <w:tcPr>
            <w:tcW w:w="998" w:type="dxa"/>
            <w:tcBorders>
              <w:top w:val="single" w:sz="4" w:space="0" w:color="auto"/>
              <w:left w:val="nil"/>
              <w:bottom w:val="nil"/>
              <w:right w:val="nil"/>
            </w:tcBorders>
            <w:shd w:val="clear" w:color="auto" w:fill="auto"/>
            <w:noWrap/>
            <w:vAlign w:val="bottom"/>
            <w:hideMark/>
          </w:tcPr>
          <w:p w14:paraId="50D65514"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p>
        </w:tc>
        <w:tc>
          <w:tcPr>
            <w:tcW w:w="1014" w:type="dxa"/>
            <w:tcBorders>
              <w:top w:val="single" w:sz="4" w:space="0" w:color="auto"/>
              <w:left w:val="nil"/>
              <w:bottom w:val="nil"/>
              <w:right w:val="nil"/>
            </w:tcBorders>
            <w:shd w:val="clear" w:color="auto" w:fill="auto"/>
            <w:noWrap/>
            <w:vAlign w:val="bottom"/>
            <w:hideMark/>
          </w:tcPr>
          <w:p w14:paraId="498ACE69"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p>
        </w:tc>
        <w:tc>
          <w:tcPr>
            <w:tcW w:w="1079" w:type="dxa"/>
            <w:tcBorders>
              <w:top w:val="single" w:sz="4" w:space="0" w:color="auto"/>
              <w:left w:val="nil"/>
              <w:bottom w:val="nil"/>
              <w:right w:val="nil"/>
            </w:tcBorders>
            <w:shd w:val="clear" w:color="auto" w:fill="auto"/>
            <w:noWrap/>
            <w:vAlign w:val="bottom"/>
            <w:hideMark/>
          </w:tcPr>
          <w:p w14:paraId="6D1D6C6E"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p>
        </w:tc>
        <w:tc>
          <w:tcPr>
            <w:tcW w:w="1036" w:type="dxa"/>
            <w:tcBorders>
              <w:top w:val="single" w:sz="4" w:space="0" w:color="auto"/>
              <w:left w:val="nil"/>
              <w:bottom w:val="nil"/>
              <w:right w:val="nil"/>
            </w:tcBorders>
            <w:shd w:val="clear" w:color="auto" w:fill="auto"/>
            <w:noWrap/>
            <w:vAlign w:val="bottom"/>
            <w:hideMark/>
          </w:tcPr>
          <w:p w14:paraId="1CD5B372"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p>
        </w:tc>
        <w:tc>
          <w:tcPr>
            <w:tcW w:w="2307" w:type="dxa"/>
            <w:tcBorders>
              <w:top w:val="single" w:sz="4" w:space="0" w:color="auto"/>
              <w:left w:val="nil"/>
              <w:bottom w:val="nil"/>
              <w:right w:val="nil"/>
            </w:tcBorders>
            <w:shd w:val="clear" w:color="auto" w:fill="auto"/>
            <w:noWrap/>
            <w:vAlign w:val="bottom"/>
            <w:hideMark/>
          </w:tcPr>
          <w:p w14:paraId="4D51DD14"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p>
        </w:tc>
        <w:tc>
          <w:tcPr>
            <w:tcW w:w="1036" w:type="dxa"/>
            <w:tcBorders>
              <w:top w:val="single" w:sz="4" w:space="0" w:color="auto"/>
              <w:left w:val="nil"/>
              <w:bottom w:val="nil"/>
              <w:right w:val="nil"/>
            </w:tcBorders>
            <w:shd w:val="clear" w:color="auto" w:fill="auto"/>
            <w:noWrap/>
            <w:vAlign w:val="bottom"/>
            <w:hideMark/>
          </w:tcPr>
          <w:p w14:paraId="589B18BD"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p>
        </w:tc>
      </w:tr>
    </w:tbl>
    <w:p w14:paraId="21B6C02A" w14:textId="717C1775" w:rsidR="00724D10" w:rsidRDefault="006E6AAA" w:rsidP="00EC53C3">
      <w:pPr>
        <w:autoSpaceDE w:val="0"/>
        <w:autoSpaceDN w:val="0"/>
        <w:adjustRightInd w:val="0"/>
        <w:spacing w:after="0" w:line="480" w:lineRule="auto"/>
        <w:rPr>
          <w:rFonts w:asciiTheme="majorHAnsi" w:hAnsiTheme="majorHAnsi" w:cstheme="majorHAnsi"/>
          <w:sz w:val="24"/>
          <w:szCs w:val="24"/>
        </w:rPr>
      </w:pPr>
      <w:r>
        <w:rPr>
          <w:rFonts w:asciiTheme="majorHAnsi" w:hAnsiTheme="majorHAnsi" w:cstheme="majorHAnsi"/>
          <w:sz w:val="24"/>
          <w:szCs w:val="24"/>
        </w:rPr>
        <w:t>Source: Study data (2021)</w:t>
      </w:r>
    </w:p>
    <w:p w14:paraId="5C27CC00" w14:textId="1C17F9EF" w:rsidR="003D63FC" w:rsidRDefault="003D63FC" w:rsidP="003D63FC">
      <w:pPr>
        <w:autoSpaceDE w:val="0"/>
        <w:autoSpaceDN w:val="0"/>
        <w:adjustRightInd w:val="0"/>
        <w:spacing w:after="0" w:line="480" w:lineRule="auto"/>
        <w:ind w:firstLine="720"/>
        <w:rPr>
          <w:rFonts w:asciiTheme="majorHAnsi" w:hAnsiTheme="majorHAnsi" w:cstheme="majorHAnsi"/>
          <w:sz w:val="24"/>
          <w:szCs w:val="24"/>
        </w:rPr>
      </w:pPr>
      <w:r>
        <w:rPr>
          <w:rFonts w:asciiTheme="majorHAnsi" w:hAnsiTheme="majorHAnsi" w:cstheme="majorHAnsi"/>
          <w:sz w:val="24"/>
          <w:szCs w:val="24"/>
        </w:rPr>
        <w:t>T</w:t>
      </w:r>
      <w:r w:rsidRPr="0022305D">
        <w:rPr>
          <w:rFonts w:asciiTheme="majorHAnsi" w:hAnsiTheme="majorHAnsi" w:cstheme="majorHAnsi"/>
          <w:sz w:val="24"/>
          <w:szCs w:val="24"/>
        </w:rPr>
        <w:t xml:space="preserve">able </w:t>
      </w:r>
      <w:r w:rsidR="00392CA8">
        <w:rPr>
          <w:rFonts w:asciiTheme="majorHAnsi" w:hAnsiTheme="majorHAnsi" w:cstheme="majorHAnsi"/>
          <w:sz w:val="24"/>
          <w:szCs w:val="24"/>
        </w:rPr>
        <w:t>6</w:t>
      </w:r>
      <w:r w:rsidRPr="0022305D">
        <w:rPr>
          <w:rFonts w:asciiTheme="majorHAnsi" w:hAnsiTheme="majorHAnsi" w:cstheme="majorHAnsi"/>
          <w:sz w:val="24"/>
          <w:szCs w:val="24"/>
        </w:rPr>
        <w:t>.0</w:t>
      </w:r>
      <w:r>
        <w:rPr>
          <w:rFonts w:asciiTheme="majorHAnsi" w:hAnsiTheme="majorHAnsi" w:cstheme="majorHAnsi"/>
          <w:sz w:val="24"/>
          <w:szCs w:val="24"/>
        </w:rPr>
        <w:t xml:space="preserve"> reveals that </w:t>
      </w:r>
      <w:r w:rsidRPr="0022305D">
        <w:rPr>
          <w:rFonts w:asciiTheme="majorHAnsi" w:hAnsiTheme="majorHAnsi" w:cstheme="majorHAnsi"/>
          <w:sz w:val="24"/>
          <w:szCs w:val="24"/>
        </w:rPr>
        <w:t xml:space="preserve">Pearson correlation </w:t>
      </w:r>
      <w:r>
        <w:rPr>
          <w:rFonts w:asciiTheme="majorHAnsi" w:hAnsiTheme="majorHAnsi" w:cstheme="majorHAnsi"/>
          <w:sz w:val="24"/>
          <w:szCs w:val="24"/>
        </w:rPr>
        <w:t xml:space="preserve">product for return on assets and </w:t>
      </w:r>
      <w:r w:rsidR="00BE06BC">
        <w:rPr>
          <w:rFonts w:asciiTheme="majorHAnsi" w:hAnsiTheme="majorHAnsi" w:cstheme="majorHAnsi"/>
          <w:sz w:val="24"/>
          <w:szCs w:val="24"/>
        </w:rPr>
        <w:t>total debt to equity</w:t>
      </w:r>
      <w:r>
        <w:rPr>
          <w:rFonts w:asciiTheme="majorHAnsi" w:hAnsiTheme="majorHAnsi" w:cstheme="majorHAnsi"/>
          <w:sz w:val="24"/>
          <w:szCs w:val="24"/>
        </w:rPr>
        <w:t xml:space="preserve"> ratio was found to </w:t>
      </w:r>
      <w:r w:rsidRPr="00E14D6B">
        <w:rPr>
          <w:rFonts w:asciiTheme="majorHAnsi" w:hAnsiTheme="majorHAnsi" w:cstheme="majorHAnsi"/>
          <w:sz w:val="24"/>
          <w:szCs w:val="24"/>
        </w:rPr>
        <w:t>be moderately positive</w:t>
      </w:r>
      <w:r w:rsidRPr="0022305D">
        <w:rPr>
          <w:rFonts w:asciiTheme="majorHAnsi" w:hAnsiTheme="majorHAnsi" w:cstheme="majorHAnsi"/>
          <w:sz w:val="24"/>
          <w:szCs w:val="24"/>
        </w:rPr>
        <w:t xml:space="preserve"> </w:t>
      </w:r>
      <w:r>
        <w:rPr>
          <w:rFonts w:asciiTheme="majorHAnsi" w:hAnsiTheme="majorHAnsi" w:cstheme="majorHAnsi"/>
          <w:sz w:val="24"/>
          <w:szCs w:val="24"/>
        </w:rPr>
        <w:t xml:space="preserve">and statistically significant </w:t>
      </w:r>
      <w:r w:rsidRPr="0022305D">
        <w:rPr>
          <w:rFonts w:asciiTheme="majorHAnsi" w:hAnsiTheme="majorHAnsi" w:cstheme="majorHAnsi"/>
          <w:sz w:val="24"/>
          <w:szCs w:val="24"/>
        </w:rPr>
        <w:t xml:space="preserve">(r = </w:t>
      </w:r>
      <w:r w:rsidRPr="0022305D">
        <w:rPr>
          <w:rFonts w:asciiTheme="majorHAnsi" w:eastAsia="Times New Roman" w:hAnsiTheme="majorHAnsi" w:cstheme="majorHAnsi"/>
          <w:color w:val="000000"/>
          <w:sz w:val="24"/>
          <w:szCs w:val="24"/>
        </w:rPr>
        <w:t>.395</w:t>
      </w:r>
      <w:r w:rsidRPr="0022305D">
        <w:rPr>
          <w:rFonts w:asciiTheme="majorHAnsi" w:hAnsiTheme="majorHAnsi" w:cstheme="majorHAnsi"/>
          <w:sz w:val="24"/>
          <w:szCs w:val="24"/>
        </w:rPr>
        <w:t>, p</w:t>
      </w:r>
      <w:r>
        <w:rPr>
          <w:rFonts w:asciiTheme="majorHAnsi" w:hAnsiTheme="majorHAnsi" w:cstheme="majorHAnsi"/>
          <w:sz w:val="24"/>
          <w:szCs w:val="24"/>
        </w:rPr>
        <w:t xml:space="preserve"> &lt; .05.</w:t>
      </w:r>
      <w:r w:rsidRPr="0022305D">
        <w:rPr>
          <w:rFonts w:asciiTheme="majorHAnsi" w:hAnsiTheme="majorHAnsi" w:cstheme="majorHAnsi"/>
          <w:sz w:val="24"/>
          <w:szCs w:val="24"/>
        </w:rPr>
        <w:t>)</w:t>
      </w:r>
      <w:r>
        <w:rPr>
          <w:rFonts w:asciiTheme="majorHAnsi" w:hAnsiTheme="majorHAnsi" w:cstheme="majorHAnsi"/>
          <w:sz w:val="24"/>
          <w:szCs w:val="24"/>
        </w:rPr>
        <w:t>.</w:t>
      </w:r>
      <w:r w:rsidRPr="0022305D">
        <w:rPr>
          <w:rFonts w:asciiTheme="majorHAnsi" w:hAnsiTheme="majorHAnsi" w:cstheme="majorHAnsi"/>
          <w:sz w:val="24"/>
          <w:szCs w:val="24"/>
        </w:rPr>
        <w:t xml:space="preserve"> This implies that </w:t>
      </w:r>
      <w:r>
        <w:rPr>
          <w:rFonts w:asciiTheme="majorHAnsi" w:hAnsiTheme="majorHAnsi" w:cstheme="majorHAnsi"/>
          <w:sz w:val="24"/>
          <w:szCs w:val="24"/>
        </w:rPr>
        <w:t xml:space="preserve">when </w:t>
      </w:r>
      <w:r w:rsidR="00BE06BC">
        <w:rPr>
          <w:rFonts w:asciiTheme="majorHAnsi" w:hAnsiTheme="majorHAnsi" w:cstheme="majorHAnsi"/>
          <w:sz w:val="24"/>
          <w:szCs w:val="24"/>
        </w:rPr>
        <w:t>total debt to equity</w:t>
      </w:r>
      <w:r>
        <w:rPr>
          <w:rFonts w:asciiTheme="majorHAnsi" w:hAnsiTheme="majorHAnsi" w:cstheme="majorHAnsi"/>
          <w:sz w:val="24"/>
          <w:szCs w:val="24"/>
        </w:rPr>
        <w:t xml:space="preserve"> </w:t>
      </w:r>
      <w:r w:rsidRPr="0022305D">
        <w:rPr>
          <w:rFonts w:asciiTheme="majorHAnsi" w:hAnsiTheme="majorHAnsi" w:cstheme="majorHAnsi"/>
          <w:sz w:val="24"/>
          <w:szCs w:val="24"/>
        </w:rPr>
        <w:t>ratio increases</w:t>
      </w:r>
      <w:r>
        <w:rPr>
          <w:rFonts w:asciiTheme="majorHAnsi" w:hAnsiTheme="majorHAnsi" w:cstheme="majorHAnsi"/>
          <w:sz w:val="24"/>
          <w:szCs w:val="24"/>
        </w:rPr>
        <w:t>, profitability (in terms of return on assets) of commercial banks will also increase</w:t>
      </w:r>
      <w:r w:rsidRPr="0022305D">
        <w:rPr>
          <w:rFonts w:asciiTheme="majorHAnsi" w:hAnsiTheme="majorHAnsi" w:cstheme="majorHAnsi"/>
          <w:sz w:val="24"/>
          <w:szCs w:val="24"/>
        </w:rPr>
        <w:t>.</w:t>
      </w:r>
      <w:r>
        <w:rPr>
          <w:rFonts w:asciiTheme="majorHAnsi" w:hAnsiTheme="majorHAnsi" w:cstheme="majorHAnsi"/>
          <w:sz w:val="24"/>
          <w:szCs w:val="24"/>
        </w:rPr>
        <w:t xml:space="preserve"> This is in line with the findings of the research by </w:t>
      </w:r>
      <w:r>
        <w:rPr>
          <w:rFonts w:asciiTheme="majorHAnsi" w:hAnsiTheme="majorHAnsi" w:cstheme="majorHAnsi"/>
          <w:sz w:val="24"/>
          <w:szCs w:val="24"/>
        </w:rPr>
        <w:fldChar w:fldCharType="begin" w:fldLock="1"/>
      </w:r>
      <w:r>
        <w:rPr>
          <w:rFonts w:asciiTheme="majorHAnsi" w:hAnsiTheme="majorHAnsi" w:cstheme="majorHAnsi"/>
          <w:sz w:val="24"/>
          <w:szCs w:val="24"/>
        </w:rPr>
        <w:instrText>ADDIN CSL_CITATION {"citationItems":[{"id":"ITEM-1","itemData":{"author":[{"dropping-particle":"","family":"Sari","given":"Lusia","non-dropping-particle":"","parse-names":false,"suffix":""}],"container-title":"Journal of Applied Finance and Accounting","id":"ITEM-1","issue":"2","issued":{"date-parts":[["2016"]]},"page":"1-13","title":"Debt to equity ratio, degree of operating leverage stock beta and stock returns of food and bevarage companies in Indonession stock exchangee","type":"article-journal","volume":"2"},"uris":["http://www.mendeley.com/documents/?uuid=1473f260-8819-488b-9cea-d385a9c484e0"]}],"mendeley":{"formattedCitation":"(Sari, 2016)","manualFormatting":"Sari (2016)","plainTextFormattedCitation":"(Sari, 2016)","previouslyFormattedCitation":"(Sari, 2016)"},"properties":{"noteIndex":0},"schema":"https://github.com/citation-style-language/schema/raw/master/csl-citation.json"}</w:instrText>
      </w:r>
      <w:r>
        <w:rPr>
          <w:rFonts w:asciiTheme="majorHAnsi" w:hAnsiTheme="majorHAnsi" w:cstheme="majorHAnsi"/>
          <w:sz w:val="24"/>
          <w:szCs w:val="24"/>
        </w:rPr>
        <w:fldChar w:fldCharType="separate"/>
      </w:r>
      <w:r w:rsidRPr="00DE6FD5">
        <w:rPr>
          <w:rFonts w:asciiTheme="majorHAnsi" w:hAnsiTheme="majorHAnsi" w:cstheme="majorHAnsi"/>
          <w:noProof/>
          <w:sz w:val="24"/>
          <w:szCs w:val="24"/>
        </w:rPr>
        <w:t xml:space="preserve">Sari </w:t>
      </w:r>
      <w:r>
        <w:rPr>
          <w:rFonts w:asciiTheme="majorHAnsi" w:hAnsiTheme="majorHAnsi" w:cstheme="majorHAnsi"/>
          <w:noProof/>
          <w:sz w:val="24"/>
          <w:szCs w:val="24"/>
        </w:rPr>
        <w:t>(</w:t>
      </w:r>
      <w:r w:rsidRPr="00DE6FD5">
        <w:rPr>
          <w:rFonts w:asciiTheme="majorHAnsi" w:hAnsiTheme="majorHAnsi" w:cstheme="majorHAnsi"/>
          <w:noProof/>
          <w:sz w:val="24"/>
          <w:szCs w:val="24"/>
        </w:rPr>
        <w:t>2016)</w:t>
      </w:r>
      <w:r>
        <w:rPr>
          <w:rFonts w:asciiTheme="majorHAnsi" w:hAnsiTheme="majorHAnsi" w:cstheme="majorHAnsi"/>
          <w:sz w:val="24"/>
          <w:szCs w:val="24"/>
        </w:rPr>
        <w:fldChar w:fldCharType="end"/>
      </w:r>
      <w:r>
        <w:rPr>
          <w:rFonts w:asciiTheme="majorHAnsi" w:hAnsiTheme="majorHAnsi" w:cstheme="majorHAnsi"/>
          <w:sz w:val="24"/>
          <w:szCs w:val="24"/>
        </w:rPr>
        <w:t xml:space="preserve"> on beverage companies in Indonesia. </w:t>
      </w:r>
      <w:r w:rsidRPr="0022305D">
        <w:rPr>
          <w:rFonts w:asciiTheme="majorHAnsi" w:hAnsiTheme="majorHAnsi" w:cstheme="majorHAnsi"/>
          <w:sz w:val="24"/>
          <w:szCs w:val="24"/>
        </w:rPr>
        <w:t>In contrast, the</w:t>
      </w:r>
      <w:r w:rsidRPr="00E75F5C">
        <w:rPr>
          <w:rFonts w:asciiTheme="majorHAnsi" w:hAnsiTheme="majorHAnsi" w:cstheme="majorHAnsi"/>
          <w:sz w:val="24"/>
          <w:szCs w:val="24"/>
        </w:rPr>
        <w:t xml:space="preserve"> </w:t>
      </w:r>
      <w:r w:rsidRPr="0022305D">
        <w:rPr>
          <w:rFonts w:asciiTheme="majorHAnsi" w:hAnsiTheme="majorHAnsi" w:cstheme="majorHAnsi"/>
          <w:sz w:val="24"/>
          <w:szCs w:val="24"/>
        </w:rPr>
        <w:t xml:space="preserve">Pearson correlation </w:t>
      </w:r>
      <w:r>
        <w:rPr>
          <w:rFonts w:asciiTheme="majorHAnsi" w:hAnsiTheme="majorHAnsi" w:cstheme="majorHAnsi"/>
          <w:sz w:val="24"/>
          <w:szCs w:val="24"/>
        </w:rPr>
        <w:t xml:space="preserve">product for </w:t>
      </w:r>
      <w:r w:rsidRPr="0022305D">
        <w:rPr>
          <w:rFonts w:asciiTheme="majorHAnsi" w:hAnsiTheme="majorHAnsi" w:cstheme="majorHAnsi"/>
          <w:sz w:val="24"/>
          <w:szCs w:val="24"/>
        </w:rPr>
        <w:t xml:space="preserve">return on assets </w:t>
      </w:r>
      <w:r>
        <w:rPr>
          <w:rFonts w:asciiTheme="majorHAnsi" w:hAnsiTheme="majorHAnsi" w:cstheme="majorHAnsi"/>
          <w:sz w:val="24"/>
          <w:szCs w:val="24"/>
        </w:rPr>
        <w:t xml:space="preserve">and </w:t>
      </w:r>
      <w:r w:rsidR="00CB2CDC">
        <w:rPr>
          <w:rFonts w:asciiTheme="majorHAnsi" w:hAnsiTheme="majorHAnsi" w:cstheme="majorHAnsi"/>
          <w:sz w:val="24"/>
          <w:szCs w:val="24"/>
        </w:rPr>
        <w:t>total debt to total assets ratio</w:t>
      </w:r>
      <w:r w:rsidRPr="0022305D">
        <w:rPr>
          <w:rFonts w:asciiTheme="majorHAnsi" w:hAnsiTheme="majorHAnsi" w:cstheme="majorHAnsi"/>
          <w:sz w:val="24"/>
          <w:szCs w:val="24"/>
        </w:rPr>
        <w:t xml:space="preserve"> </w:t>
      </w:r>
      <w:r>
        <w:rPr>
          <w:rFonts w:asciiTheme="majorHAnsi" w:hAnsiTheme="majorHAnsi" w:cstheme="majorHAnsi"/>
          <w:sz w:val="24"/>
          <w:szCs w:val="24"/>
        </w:rPr>
        <w:t xml:space="preserve">was found to be </w:t>
      </w:r>
      <w:r w:rsidRPr="005B36D1">
        <w:rPr>
          <w:rFonts w:asciiTheme="majorHAnsi" w:hAnsiTheme="majorHAnsi" w:cstheme="majorHAnsi"/>
          <w:sz w:val="24"/>
          <w:szCs w:val="24"/>
        </w:rPr>
        <w:t>weak, negative</w:t>
      </w:r>
      <w:r w:rsidRPr="0022305D">
        <w:rPr>
          <w:rFonts w:asciiTheme="majorHAnsi" w:hAnsiTheme="majorHAnsi" w:cstheme="majorHAnsi"/>
          <w:sz w:val="24"/>
          <w:szCs w:val="24"/>
        </w:rPr>
        <w:t xml:space="preserve"> </w:t>
      </w:r>
      <w:r>
        <w:rPr>
          <w:rFonts w:asciiTheme="majorHAnsi" w:hAnsiTheme="majorHAnsi" w:cstheme="majorHAnsi"/>
          <w:sz w:val="24"/>
          <w:szCs w:val="24"/>
        </w:rPr>
        <w:t>and statistically insignificant</w:t>
      </w:r>
      <w:r w:rsidRPr="0022305D">
        <w:rPr>
          <w:rFonts w:asciiTheme="majorHAnsi" w:hAnsiTheme="majorHAnsi" w:cstheme="majorHAnsi"/>
          <w:sz w:val="24"/>
          <w:szCs w:val="24"/>
        </w:rPr>
        <w:t xml:space="preserve"> (r</w:t>
      </w:r>
      <w:r>
        <w:rPr>
          <w:rFonts w:asciiTheme="majorHAnsi" w:hAnsiTheme="majorHAnsi" w:cstheme="majorHAnsi"/>
          <w:sz w:val="24"/>
          <w:szCs w:val="24"/>
        </w:rPr>
        <w:t xml:space="preserve"> = -</w:t>
      </w:r>
      <w:r w:rsidRPr="0022305D">
        <w:rPr>
          <w:rFonts w:asciiTheme="majorHAnsi" w:hAnsiTheme="majorHAnsi" w:cstheme="majorHAnsi"/>
          <w:sz w:val="24"/>
          <w:szCs w:val="24"/>
        </w:rPr>
        <w:t>.</w:t>
      </w:r>
      <w:r>
        <w:rPr>
          <w:rFonts w:asciiTheme="majorHAnsi" w:hAnsiTheme="majorHAnsi" w:cstheme="majorHAnsi"/>
          <w:sz w:val="24"/>
          <w:szCs w:val="24"/>
        </w:rPr>
        <w:t>01</w:t>
      </w:r>
      <w:r w:rsidRPr="0022305D">
        <w:rPr>
          <w:rFonts w:asciiTheme="majorHAnsi" w:hAnsiTheme="majorHAnsi" w:cstheme="majorHAnsi"/>
          <w:sz w:val="24"/>
          <w:szCs w:val="24"/>
        </w:rPr>
        <w:t>, p</w:t>
      </w:r>
      <w:r>
        <w:rPr>
          <w:rFonts w:asciiTheme="majorHAnsi" w:hAnsiTheme="majorHAnsi" w:cstheme="majorHAnsi"/>
          <w:sz w:val="24"/>
          <w:szCs w:val="24"/>
        </w:rPr>
        <w:t>= &gt; .05</w:t>
      </w:r>
      <w:r w:rsidRPr="0022305D">
        <w:rPr>
          <w:rFonts w:asciiTheme="majorHAnsi" w:hAnsiTheme="majorHAnsi" w:cstheme="majorHAnsi"/>
          <w:sz w:val="24"/>
          <w:szCs w:val="24"/>
        </w:rPr>
        <w:t xml:space="preserve">) suggesting </w:t>
      </w:r>
      <w:r>
        <w:rPr>
          <w:rFonts w:asciiTheme="majorHAnsi" w:hAnsiTheme="majorHAnsi" w:cstheme="majorHAnsi"/>
          <w:sz w:val="24"/>
          <w:szCs w:val="24"/>
        </w:rPr>
        <w:t xml:space="preserve">that when </w:t>
      </w:r>
      <w:r w:rsidR="00CB2CDC">
        <w:rPr>
          <w:rFonts w:asciiTheme="majorHAnsi" w:hAnsiTheme="majorHAnsi" w:cstheme="majorHAnsi"/>
          <w:sz w:val="24"/>
          <w:szCs w:val="24"/>
        </w:rPr>
        <w:t>total debt to total assets ratio</w:t>
      </w:r>
      <w:r>
        <w:rPr>
          <w:rFonts w:asciiTheme="majorHAnsi" w:hAnsiTheme="majorHAnsi" w:cstheme="majorHAnsi"/>
          <w:sz w:val="24"/>
          <w:szCs w:val="24"/>
        </w:rPr>
        <w:t xml:space="preserve"> increases, profitability (in terms of return on assets) will decrease</w:t>
      </w:r>
      <w:r w:rsidRPr="0022305D">
        <w:rPr>
          <w:rFonts w:asciiTheme="majorHAnsi" w:hAnsiTheme="majorHAnsi" w:cstheme="majorHAnsi"/>
          <w:sz w:val="24"/>
          <w:szCs w:val="24"/>
        </w:rPr>
        <w:t xml:space="preserve">. </w:t>
      </w:r>
      <w:r>
        <w:rPr>
          <w:rFonts w:asciiTheme="majorHAnsi" w:hAnsiTheme="majorHAnsi" w:cstheme="majorHAnsi"/>
          <w:sz w:val="24"/>
          <w:szCs w:val="24"/>
        </w:rPr>
        <w:t xml:space="preserve">This finding agrees with the results of the research by </w:t>
      </w:r>
      <w:r>
        <w:rPr>
          <w:rFonts w:asciiTheme="majorHAnsi" w:hAnsiTheme="majorHAnsi" w:cstheme="majorHAnsi"/>
          <w:sz w:val="24"/>
          <w:szCs w:val="24"/>
        </w:rPr>
        <w:fldChar w:fldCharType="begin" w:fldLock="1"/>
      </w:r>
      <w:r w:rsidR="007D6327">
        <w:rPr>
          <w:rFonts w:asciiTheme="majorHAnsi" w:hAnsiTheme="majorHAnsi" w:cstheme="majorHAnsi"/>
          <w:sz w:val="24"/>
          <w:szCs w:val="24"/>
        </w:rPr>
        <w:instrText>ADDIN CSL_CITATION {"citationItems":[{"id":"ITEM-1","itemData":{"author":[{"dropping-particle":"","family":"Innocent","given":"Chinedu","non-dropping-particle":"","parse-names":false,"suffix":""},{"dropping-particle":"","family":"Ikechukwu","given":"Charles","non-dropping-particle":"","parse-names":false,"suffix":""},{"dropping-particle":"","family":"Nnagbogu","given":"Eziedo Kenneth","non-dropping-particle":"","parse-names":false,"suffix":""}],"container-title":"Journal of Accountancy and Finance","id":"ITEM-1","issue":"3","issued":{"date-parts":[["2014"]]},"page":"17-25","title":"The Effect of financial leverage on financial performance : Evidence of quoted pharmaceutical companies in Nigeria .","type":"article-journal","volume":"5"},"uris":["http://www.mendeley.com/documents/?uuid=2e07b9f1-7c27-4498-90f5-ad137603457c"]}],"mendeley":{"formattedCitation":"(Innocent et al., 2014)","manualFormatting":"Innocent et al. (2014)","plainTextFormattedCitation":"(Innocent et al., 2014)","previouslyFormattedCitation":"(Innocent et al., 2014)"},"properties":{"noteIndex":0},"schema":"https://github.com/citation-style-language/schema/raw/master/csl-citation.json"}</w:instrText>
      </w:r>
      <w:r>
        <w:rPr>
          <w:rFonts w:asciiTheme="majorHAnsi" w:hAnsiTheme="majorHAnsi" w:cstheme="majorHAnsi"/>
          <w:sz w:val="24"/>
          <w:szCs w:val="24"/>
        </w:rPr>
        <w:fldChar w:fldCharType="separate"/>
      </w:r>
      <w:r w:rsidRPr="00E14D6B">
        <w:rPr>
          <w:rFonts w:asciiTheme="majorHAnsi" w:hAnsiTheme="majorHAnsi" w:cstheme="majorHAnsi"/>
          <w:noProof/>
          <w:sz w:val="24"/>
          <w:szCs w:val="24"/>
        </w:rPr>
        <w:t xml:space="preserve">Innocent et al. </w:t>
      </w:r>
      <w:r>
        <w:rPr>
          <w:rFonts w:asciiTheme="majorHAnsi" w:hAnsiTheme="majorHAnsi" w:cstheme="majorHAnsi"/>
          <w:noProof/>
          <w:sz w:val="24"/>
          <w:szCs w:val="24"/>
        </w:rPr>
        <w:t>(</w:t>
      </w:r>
      <w:r w:rsidRPr="00E14D6B">
        <w:rPr>
          <w:rFonts w:asciiTheme="majorHAnsi" w:hAnsiTheme="majorHAnsi" w:cstheme="majorHAnsi"/>
          <w:noProof/>
          <w:sz w:val="24"/>
          <w:szCs w:val="24"/>
        </w:rPr>
        <w:t>2014)</w:t>
      </w:r>
      <w:r>
        <w:rPr>
          <w:rFonts w:asciiTheme="majorHAnsi" w:hAnsiTheme="majorHAnsi" w:cstheme="majorHAnsi"/>
          <w:sz w:val="24"/>
          <w:szCs w:val="24"/>
        </w:rPr>
        <w:fldChar w:fldCharType="end"/>
      </w:r>
      <w:r>
        <w:rPr>
          <w:rFonts w:asciiTheme="majorHAnsi" w:hAnsiTheme="majorHAnsi" w:cstheme="majorHAnsi"/>
          <w:sz w:val="24"/>
          <w:szCs w:val="24"/>
        </w:rPr>
        <w:t xml:space="preserve"> in </w:t>
      </w:r>
      <w:r w:rsidRPr="0022305D">
        <w:rPr>
          <w:rFonts w:asciiTheme="majorHAnsi" w:hAnsiTheme="majorHAnsi" w:cstheme="majorHAnsi"/>
          <w:bCs/>
          <w:iCs/>
          <w:color w:val="000000" w:themeColor="text1"/>
        </w:rPr>
        <w:t>pharmaceutical companies in Nigeria</w:t>
      </w:r>
      <w:r>
        <w:rPr>
          <w:rFonts w:asciiTheme="majorHAnsi" w:hAnsiTheme="majorHAnsi" w:cstheme="majorHAnsi"/>
          <w:bCs/>
          <w:iCs/>
          <w:color w:val="000000" w:themeColor="text1"/>
        </w:rPr>
        <w:t>.</w:t>
      </w:r>
      <w:r>
        <w:rPr>
          <w:rFonts w:asciiTheme="majorHAnsi" w:hAnsiTheme="majorHAnsi" w:cstheme="majorHAnsi"/>
          <w:sz w:val="24"/>
          <w:szCs w:val="24"/>
        </w:rPr>
        <w:t xml:space="preserve"> </w:t>
      </w:r>
      <w:r w:rsidRPr="00631B59">
        <w:rPr>
          <w:rFonts w:asciiTheme="majorHAnsi" w:hAnsiTheme="majorHAnsi" w:cstheme="majorHAnsi"/>
          <w:sz w:val="24"/>
          <w:szCs w:val="24"/>
        </w:rPr>
        <w:t xml:space="preserve">Further, table 7.0 shows </w:t>
      </w:r>
      <w:r>
        <w:rPr>
          <w:rFonts w:asciiTheme="majorHAnsi" w:hAnsiTheme="majorHAnsi" w:cstheme="majorHAnsi"/>
          <w:sz w:val="24"/>
          <w:szCs w:val="24"/>
        </w:rPr>
        <w:t xml:space="preserve">that </w:t>
      </w:r>
      <w:r w:rsidRPr="00631B59">
        <w:rPr>
          <w:rFonts w:asciiTheme="majorHAnsi" w:hAnsiTheme="majorHAnsi" w:cstheme="majorHAnsi"/>
          <w:sz w:val="24"/>
          <w:szCs w:val="24"/>
        </w:rPr>
        <w:t>Pearson correlation product f</w:t>
      </w:r>
      <w:r>
        <w:rPr>
          <w:rFonts w:asciiTheme="majorHAnsi" w:hAnsiTheme="majorHAnsi" w:cstheme="majorHAnsi"/>
          <w:sz w:val="24"/>
          <w:szCs w:val="24"/>
        </w:rPr>
        <w:t>or</w:t>
      </w:r>
      <w:r w:rsidRPr="00631B59">
        <w:rPr>
          <w:rFonts w:asciiTheme="majorHAnsi" w:hAnsiTheme="majorHAnsi" w:cstheme="majorHAnsi"/>
          <w:sz w:val="24"/>
          <w:szCs w:val="24"/>
        </w:rPr>
        <w:t xml:space="preserve"> return on equity and </w:t>
      </w:r>
      <w:r w:rsidR="00CB2CDC">
        <w:rPr>
          <w:rFonts w:asciiTheme="majorHAnsi" w:hAnsiTheme="majorHAnsi" w:cstheme="majorHAnsi"/>
          <w:sz w:val="24"/>
          <w:szCs w:val="24"/>
        </w:rPr>
        <w:t>total debt to total assets ratio</w:t>
      </w:r>
      <w:r>
        <w:rPr>
          <w:rFonts w:asciiTheme="majorHAnsi" w:hAnsiTheme="majorHAnsi" w:cstheme="majorHAnsi"/>
          <w:sz w:val="24"/>
          <w:szCs w:val="24"/>
        </w:rPr>
        <w:t xml:space="preserve">; and return on equity and </w:t>
      </w:r>
      <w:r w:rsidR="00BE06BC">
        <w:rPr>
          <w:rFonts w:asciiTheme="majorHAnsi" w:hAnsiTheme="majorHAnsi" w:cstheme="majorHAnsi"/>
          <w:sz w:val="24"/>
          <w:szCs w:val="24"/>
        </w:rPr>
        <w:t>total debt to equity</w:t>
      </w:r>
      <w:r>
        <w:rPr>
          <w:rFonts w:asciiTheme="majorHAnsi" w:hAnsiTheme="majorHAnsi" w:cstheme="majorHAnsi"/>
          <w:sz w:val="24"/>
          <w:szCs w:val="24"/>
        </w:rPr>
        <w:t xml:space="preserve"> ratio </w:t>
      </w:r>
      <w:r w:rsidRPr="00631B59">
        <w:rPr>
          <w:rFonts w:asciiTheme="majorHAnsi" w:hAnsiTheme="majorHAnsi" w:cstheme="majorHAnsi"/>
          <w:sz w:val="24"/>
          <w:szCs w:val="24"/>
        </w:rPr>
        <w:t xml:space="preserve">was found to be </w:t>
      </w:r>
      <w:r w:rsidRPr="005B36D1">
        <w:rPr>
          <w:rFonts w:asciiTheme="majorHAnsi" w:hAnsiTheme="majorHAnsi" w:cstheme="majorHAnsi"/>
          <w:sz w:val="24"/>
          <w:szCs w:val="24"/>
        </w:rPr>
        <w:t>weak</w:t>
      </w:r>
      <w:r>
        <w:rPr>
          <w:rFonts w:asciiTheme="majorHAnsi" w:hAnsiTheme="majorHAnsi" w:cstheme="majorHAnsi"/>
          <w:sz w:val="24"/>
          <w:szCs w:val="24"/>
        </w:rPr>
        <w:t>, posi</w:t>
      </w:r>
      <w:r w:rsidRPr="00631B59">
        <w:rPr>
          <w:rFonts w:asciiTheme="majorHAnsi" w:hAnsiTheme="majorHAnsi" w:cstheme="majorHAnsi"/>
          <w:sz w:val="24"/>
          <w:szCs w:val="24"/>
        </w:rPr>
        <w:t xml:space="preserve">tive and statistically </w:t>
      </w:r>
      <w:r>
        <w:rPr>
          <w:rFonts w:asciiTheme="majorHAnsi" w:hAnsiTheme="majorHAnsi" w:cstheme="majorHAnsi"/>
          <w:sz w:val="24"/>
          <w:szCs w:val="24"/>
        </w:rPr>
        <w:t>in</w:t>
      </w:r>
      <w:r w:rsidRPr="00631B59">
        <w:rPr>
          <w:rFonts w:asciiTheme="majorHAnsi" w:hAnsiTheme="majorHAnsi" w:cstheme="majorHAnsi"/>
          <w:sz w:val="24"/>
          <w:szCs w:val="24"/>
        </w:rPr>
        <w:t>significant</w:t>
      </w:r>
      <w:r>
        <w:rPr>
          <w:rFonts w:asciiTheme="majorHAnsi" w:hAnsiTheme="majorHAnsi" w:cstheme="majorHAnsi"/>
          <w:sz w:val="24"/>
          <w:szCs w:val="24"/>
        </w:rPr>
        <w:t xml:space="preserve"> </w:t>
      </w:r>
      <w:r w:rsidRPr="0022305D">
        <w:rPr>
          <w:rFonts w:asciiTheme="majorHAnsi" w:hAnsiTheme="majorHAnsi" w:cstheme="majorHAnsi"/>
          <w:sz w:val="24"/>
          <w:szCs w:val="24"/>
        </w:rPr>
        <w:t>(r</w:t>
      </w:r>
      <w:r>
        <w:rPr>
          <w:rFonts w:asciiTheme="majorHAnsi" w:hAnsiTheme="majorHAnsi" w:cstheme="majorHAnsi"/>
          <w:sz w:val="24"/>
          <w:szCs w:val="24"/>
        </w:rPr>
        <w:t xml:space="preserve"> = </w:t>
      </w:r>
      <w:r w:rsidRPr="0022305D">
        <w:rPr>
          <w:rFonts w:asciiTheme="majorHAnsi" w:hAnsiTheme="majorHAnsi" w:cstheme="majorHAnsi"/>
          <w:sz w:val="24"/>
          <w:szCs w:val="24"/>
        </w:rPr>
        <w:t>.</w:t>
      </w:r>
      <w:r>
        <w:rPr>
          <w:rFonts w:asciiTheme="majorHAnsi" w:hAnsiTheme="majorHAnsi" w:cstheme="majorHAnsi"/>
          <w:sz w:val="24"/>
          <w:szCs w:val="24"/>
        </w:rPr>
        <w:t>21</w:t>
      </w:r>
      <w:r w:rsidRPr="0022305D">
        <w:rPr>
          <w:rFonts w:asciiTheme="majorHAnsi" w:hAnsiTheme="majorHAnsi" w:cstheme="majorHAnsi"/>
          <w:sz w:val="24"/>
          <w:szCs w:val="24"/>
        </w:rPr>
        <w:t>, p</w:t>
      </w:r>
      <w:r>
        <w:rPr>
          <w:rFonts w:asciiTheme="majorHAnsi" w:hAnsiTheme="majorHAnsi" w:cstheme="majorHAnsi"/>
          <w:sz w:val="24"/>
          <w:szCs w:val="24"/>
        </w:rPr>
        <w:t xml:space="preserve"> = &gt; 0.05</w:t>
      </w:r>
      <w:r w:rsidRPr="0022305D">
        <w:rPr>
          <w:rFonts w:asciiTheme="majorHAnsi" w:hAnsiTheme="majorHAnsi" w:cstheme="majorHAnsi"/>
          <w:sz w:val="24"/>
          <w:szCs w:val="24"/>
        </w:rPr>
        <w:t>)</w:t>
      </w:r>
      <w:r>
        <w:rPr>
          <w:rFonts w:asciiTheme="majorHAnsi" w:hAnsiTheme="majorHAnsi" w:cstheme="majorHAnsi"/>
          <w:sz w:val="24"/>
          <w:szCs w:val="24"/>
        </w:rPr>
        <w:t xml:space="preserve">; and </w:t>
      </w:r>
      <w:r w:rsidRPr="005B36D1">
        <w:rPr>
          <w:rFonts w:asciiTheme="majorHAnsi" w:hAnsiTheme="majorHAnsi" w:cstheme="majorHAnsi"/>
          <w:sz w:val="24"/>
          <w:szCs w:val="24"/>
        </w:rPr>
        <w:t>weak, negative</w:t>
      </w:r>
      <w:r w:rsidRPr="00631B59">
        <w:rPr>
          <w:rFonts w:asciiTheme="majorHAnsi" w:hAnsiTheme="majorHAnsi" w:cstheme="majorHAnsi"/>
          <w:sz w:val="24"/>
          <w:szCs w:val="24"/>
        </w:rPr>
        <w:t xml:space="preserve"> and statistically </w:t>
      </w:r>
      <w:r>
        <w:rPr>
          <w:rFonts w:asciiTheme="majorHAnsi" w:hAnsiTheme="majorHAnsi" w:cstheme="majorHAnsi"/>
          <w:sz w:val="24"/>
          <w:szCs w:val="24"/>
        </w:rPr>
        <w:t>in</w:t>
      </w:r>
      <w:r w:rsidRPr="00631B59">
        <w:rPr>
          <w:rFonts w:asciiTheme="majorHAnsi" w:hAnsiTheme="majorHAnsi" w:cstheme="majorHAnsi"/>
          <w:sz w:val="24"/>
          <w:szCs w:val="24"/>
        </w:rPr>
        <w:t>significant</w:t>
      </w:r>
      <w:r>
        <w:rPr>
          <w:rFonts w:asciiTheme="majorHAnsi" w:hAnsiTheme="majorHAnsi" w:cstheme="majorHAnsi"/>
          <w:sz w:val="24"/>
          <w:szCs w:val="24"/>
        </w:rPr>
        <w:t xml:space="preserve"> </w:t>
      </w:r>
      <w:r w:rsidRPr="0022305D">
        <w:rPr>
          <w:rFonts w:asciiTheme="majorHAnsi" w:hAnsiTheme="majorHAnsi" w:cstheme="majorHAnsi"/>
          <w:sz w:val="24"/>
          <w:szCs w:val="24"/>
        </w:rPr>
        <w:t>(r</w:t>
      </w:r>
      <w:r>
        <w:rPr>
          <w:rFonts w:asciiTheme="majorHAnsi" w:hAnsiTheme="majorHAnsi" w:cstheme="majorHAnsi"/>
          <w:sz w:val="24"/>
          <w:szCs w:val="24"/>
        </w:rPr>
        <w:t xml:space="preserve"> = -</w:t>
      </w:r>
      <w:r w:rsidRPr="0022305D">
        <w:rPr>
          <w:rFonts w:asciiTheme="majorHAnsi" w:hAnsiTheme="majorHAnsi" w:cstheme="majorHAnsi"/>
          <w:sz w:val="24"/>
          <w:szCs w:val="24"/>
        </w:rPr>
        <w:t>.</w:t>
      </w:r>
      <w:r>
        <w:rPr>
          <w:rFonts w:asciiTheme="majorHAnsi" w:hAnsiTheme="majorHAnsi" w:cstheme="majorHAnsi"/>
          <w:sz w:val="24"/>
          <w:szCs w:val="24"/>
        </w:rPr>
        <w:t>02</w:t>
      </w:r>
      <w:r w:rsidRPr="0022305D">
        <w:rPr>
          <w:rFonts w:asciiTheme="majorHAnsi" w:hAnsiTheme="majorHAnsi" w:cstheme="majorHAnsi"/>
          <w:sz w:val="24"/>
          <w:szCs w:val="24"/>
        </w:rPr>
        <w:t>, p</w:t>
      </w:r>
      <w:r>
        <w:rPr>
          <w:rFonts w:asciiTheme="majorHAnsi" w:hAnsiTheme="majorHAnsi" w:cstheme="majorHAnsi"/>
          <w:sz w:val="24"/>
          <w:szCs w:val="24"/>
        </w:rPr>
        <w:t xml:space="preserve"> = &gt; 0.05</w:t>
      </w:r>
      <w:r w:rsidRPr="0022305D">
        <w:rPr>
          <w:rFonts w:asciiTheme="majorHAnsi" w:hAnsiTheme="majorHAnsi" w:cstheme="majorHAnsi"/>
          <w:sz w:val="24"/>
          <w:szCs w:val="24"/>
        </w:rPr>
        <w:t>)</w:t>
      </w:r>
      <w:r>
        <w:rPr>
          <w:rFonts w:asciiTheme="majorHAnsi" w:hAnsiTheme="majorHAnsi" w:cstheme="majorHAnsi"/>
          <w:sz w:val="24"/>
          <w:szCs w:val="24"/>
        </w:rPr>
        <w:t xml:space="preserve"> respectively. This means when </w:t>
      </w:r>
      <w:r w:rsidR="00CB2CDC">
        <w:rPr>
          <w:rFonts w:asciiTheme="majorHAnsi" w:hAnsiTheme="majorHAnsi" w:cstheme="majorHAnsi"/>
          <w:sz w:val="24"/>
          <w:szCs w:val="24"/>
        </w:rPr>
        <w:t>total debt to total assets ratio</w:t>
      </w:r>
      <w:r>
        <w:rPr>
          <w:rFonts w:asciiTheme="majorHAnsi" w:hAnsiTheme="majorHAnsi" w:cstheme="majorHAnsi"/>
          <w:sz w:val="24"/>
          <w:szCs w:val="24"/>
        </w:rPr>
        <w:t xml:space="preserve"> decreases and </w:t>
      </w:r>
      <w:r w:rsidR="00BE06BC">
        <w:rPr>
          <w:rFonts w:asciiTheme="majorHAnsi" w:hAnsiTheme="majorHAnsi" w:cstheme="majorHAnsi"/>
          <w:sz w:val="24"/>
          <w:szCs w:val="24"/>
        </w:rPr>
        <w:t>total debt to equity</w:t>
      </w:r>
      <w:r>
        <w:rPr>
          <w:rFonts w:asciiTheme="majorHAnsi" w:hAnsiTheme="majorHAnsi" w:cstheme="majorHAnsi"/>
          <w:sz w:val="24"/>
          <w:szCs w:val="24"/>
        </w:rPr>
        <w:t xml:space="preserve"> ratio increase, profitability in terms of return on equity will decrease.</w:t>
      </w:r>
    </w:p>
    <w:p w14:paraId="409CD86E" w14:textId="7ED72A31" w:rsidR="003D63FC" w:rsidRDefault="003D63FC" w:rsidP="003D63FC">
      <w:pPr>
        <w:autoSpaceDE w:val="0"/>
        <w:autoSpaceDN w:val="0"/>
        <w:adjustRightInd w:val="0"/>
        <w:spacing w:after="0" w:line="480" w:lineRule="auto"/>
        <w:rPr>
          <w:rFonts w:asciiTheme="majorHAnsi" w:hAnsiTheme="majorHAnsi" w:cstheme="majorHAnsi"/>
          <w:sz w:val="24"/>
          <w:szCs w:val="24"/>
        </w:rPr>
      </w:pPr>
      <w:r w:rsidRPr="0022305D">
        <w:rPr>
          <w:rFonts w:asciiTheme="majorHAnsi" w:hAnsiTheme="majorHAnsi" w:cstheme="majorHAnsi"/>
          <w:sz w:val="24"/>
          <w:szCs w:val="24"/>
        </w:rPr>
        <w:t xml:space="preserve">According to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{"citationItems":[{"id":"ITEM-1","itemData":{"DOI":"10.1213/ANE.0000000000002864","ISBN":"0000000000","ISSN":"15267598","PMID":"29481436","abstract":"Correlation in the broadest sense is a measure of an association between variables. In correlated data, the change in the magnitude of 1 variable is associated with a change in the magnitude of another variable, either in the same (positive correlation) or in the opposite (negative correlation) direction. Most often, the term correlation is used in the context of a linear relationship between 2 continuous variables and expressed as Pearson product-moment correlation. The Pearson correlation coefficient is typically used for jointly normally distributed data (data that follow a bivariate normal distribution). For nonnormally distributed continuous data, for ordinal data, or for data with relevant outliers, a Spearman rank correlation can be used as a measure of a monotonic association. Both correlation coefficients are scaled such that they range from –1 to +1, where 0 indicates that there is no linear or monotonic association, and the relationship gets stronger and ultimately approaches a straight line (Pearson correlation) or a constantly increasing or decreasing curve (Spearman correlation) as the coefficient approaches an absolute value of 1. Hypothesis tests and confidence intervals can be used to address the statistical significance of the results and to estimate the strength of the relationship in the population from which the data were sampled. The aim of this tutorial is to guide researchers and clinicians in the appropriate use and interpretation of correlation coefficients. (Anesth Analg 2018;126:1763–8.","author":[{"dropping-particle":"","family":"Schober","given":"Patrick","non-dropping-particle":"","parse-names":false,"suffix":""},{"dropping-particle":"","family":"Schwarte","given":"Lothar A.","non-dropping-particle":"","parse-names":false,"suffix":""}],"container-title":"Anesthesia and Analgesia","id":"ITEM-1","issue":"5","issued":{"date-parts":[["2018"]]},"page":"1763-1768","title":"Correlation coefficients: Appropriate use and interpretation","type":"article-journal","volume":"126"},"uris":["http://www.mendeley.com/documents/?uuid=3125333c-4462-41a9-86a4-cfd5fb057cb3"]}],"mendeley":{"formattedCitation":"(Schober &amp; Schwarte, 2018)","manualFormatting":"Schober  and Schwarte (2018)","plainTextFormattedCitation":"(Schober &amp; Schwarte, 2018)","previouslyFormattedCitation":"(Schober &amp; Schwarte, 2018)"},"properties":{"noteIndex":0},"schema":"https://github.com/citation-style-language/schema/raw/master/csl-citation.json"}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Schober  and Schwarte (2018)</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xml:space="preserve">, weak correlation coefficient value </w:t>
      </w:r>
      <w:r w:rsidRPr="0022305D">
        <w:rPr>
          <w:rFonts w:asciiTheme="majorHAnsi" w:hAnsiTheme="majorHAnsi" w:cstheme="majorHAnsi"/>
          <w:i/>
          <w:iCs/>
          <w:sz w:val="24"/>
          <w:szCs w:val="24"/>
        </w:rPr>
        <w:t>(r</w:t>
      </w:r>
      <w:r w:rsidRPr="0022305D">
        <w:rPr>
          <w:rFonts w:asciiTheme="majorHAnsi" w:hAnsiTheme="majorHAnsi" w:cstheme="majorHAnsi"/>
          <w:sz w:val="24"/>
          <w:szCs w:val="24"/>
        </w:rPr>
        <w:t>) range from 0.10 to 0.29, moderate correlation coefficient value (r) range from 0.30 to 0.69, strong correlation coefficient value (</w:t>
      </w:r>
      <w:r w:rsidRPr="0022305D">
        <w:rPr>
          <w:rFonts w:asciiTheme="majorHAnsi" w:hAnsiTheme="majorHAnsi" w:cstheme="majorHAnsi"/>
          <w:i/>
          <w:iCs/>
          <w:sz w:val="24"/>
          <w:szCs w:val="24"/>
        </w:rPr>
        <w:t>r</w:t>
      </w:r>
      <w:r w:rsidRPr="0022305D">
        <w:rPr>
          <w:rFonts w:asciiTheme="majorHAnsi" w:hAnsiTheme="majorHAnsi" w:cstheme="majorHAnsi"/>
          <w:sz w:val="24"/>
          <w:szCs w:val="24"/>
        </w:rPr>
        <w:t>) range from 0.70 to 0.80 and very strong correlation coefficient value(</w:t>
      </w:r>
      <w:r w:rsidRPr="0022305D">
        <w:rPr>
          <w:rFonts w:asciiTheme="majorHAnsi" w:hAnsiTheme="majorHAnsi" w:cstheme="majorHAnsi"/>
          <w:i/>
          <w:iCs/>
          <w:sz w:val="24"/>
          <w:szCs w:val="24"/>
        </w:rPr>
        <w:t>r</w:t>
      </w:r>
      <w:r w:rsidRPr="0022305D">
        <w:rPr>
          <w:rFonts w:asciiTheme="majorHAnsi" w:hAnsiTheme="majorHAnsi" w:cstheme="majorHAnsi"/>
          <w:sz w:val="24"/>
          <w:szCs w:val="24"/>
        </w:rPr>
        <w:t xml:space="preserve">)  range from 0.81 to 1.00. Multicollinearity occurs when correlation coefficient is beyond 8.0 </w:t>
      </w:r>
      <w:r w:rsidRPr="0022305D">
        <w:rPr>
          <w:rFonts w:asciiTheme="majorHAnsi" w:hAnsiTheme="majorHAnsi" w:cstheme="majorHAnsi"/>
          <w:sz w:val="24"/>
          <w:szCs w:val="24"/>
        </w:rPr>
        <w:fldChar w:fldCharType="begin" w:fldLock="1"/>
      </w:r>
      <w:r w:rsidRPr="0022305D">
        <w:rPr>
          <w:rFonts w:asciiTheme="majorHAnsi" w:hAnsiTheme="majorHAnsi" w:cstheme="majorHAnsi"/>
          <w:sz w:val="24"/>
          <w:szCs w:val="24"/>
        </w:rPr>
        <w:instrText>ADDIN CSL_CITATION {"citationItems":[{"id":"ITEM-1","itemData":{"DOI":"10.12691/ajams-8-2-1","ISSN":"2328-7306","abstract":"Multicollinearity occurs when the multiple linear regression analysis includes several variables that are significantly correlated not only with the dependent variable but also to each other. Multicollinearity makes some of the significant variables under study to be statistically insignificant. This paper discusses on the three primary techniques for detecting the multicollinearity using the questionnaire survey data on customer satisfaction. The first two techniques are the correlation coefficients and the variance inflation factor, while the third method is eigenvalue method. It is observed that the product attractiveness is more rational cause for the customer satisfaction than other predictors. Furthermore, advanced regression procedures such as principal components regression, weighted regression, and ridge regression method can be used to determine the presence of multicollinearity","author":[{"dropping-particle":"","family":"Shrestha","given":"Noora","non-dropping-particle":"","parse-names":false,"suffix":""}],"container-title":"American Journal of Applied Mathematics and Statistics","id":"ITEM-1","issue":"2","issued":{"date-parts":[["2020"]]},"page":"39-42","title":"Detecting Multicollinearity in Regression Analysis","type":"article-journal","volume":"8"},"uris":["http://www.mendeley.com/documents/?uuid=dd7f2735-a00a-4df6-b62d-d0553cb5310c"]}],"mendeley":{"formattedCitation":"(Shrestha, 2020)","plainTextFormattedCitation":"(Shrestha, 2020)","previouslyFormattedCitation":"(Shrestha, 2020)"},"properties":{"noteIndex":0},"schema":"https://github.com/citation-style-language/schema/raw/master/csl-citation.json"}</w:instrText>
      </w:r>
      <w:r w:rsidRPr="0022305D">
        <w:rPr>
          <w:rFonts w:asciiTheme="majorHAnsi" w:hAnsiTheme="majorHAnsi" w:cstheme="majorHAnsi"/>
          <w:sz w:val="24"/>
          <w:szCs w:val="24"/>
        </w:rPr>
        <w:fldChar w:fldCharType="separate"/>
      </w:r>
      <w:r w:rsidRPr="0022305D">
        <w:rPr>
          <w:rFonts w:asciiTheme="majorHAnsi" w:hAnsiTheme="majorHAnsi" w:cstheme="majorHAnsi"/>
          <w:noProof/>
          <w:sz w:val="24"/>
          <w:szCs w:val="24"/>
        </w:rPr>
        <w:t>(Shrestha, 2020)</w:t>
      </w:r>
      <w:r w:rsidRPr="0022305D">
        <w:rPr>
          <w:rFonts w:asciiTheme="majorHAnsi" w:hAnsiTheme="majorHAnsi" w:cstheme="majorHAnsi"/>
          <w:sz w:val="24"/>
          <w:szCs w:val="24"/>
        </w:rPr>
        <w:fldChar w:fldCharType="end"/>
      </w:r>
      <w:r w:rsidRPr="0022305D">
        <w:rPr>
          <w:rFonts w:asciiTheme="majorHAnsi" w:hAnsiTheme="majorHAnsi" w:cstheme="majorHAnsi"/>
          <w:sz w:val="24"/>
          <w:szCs w:val="24"/>
        </w:rPr>
        <w:t>. Table 7.0 (below), shows that the highest correlation coefficient is 0.734 which is less than 0.8. Therefore, there was no multicollinearity problem in this research since all correlation coefficients are below the threshold limit of 0.8.</w:t>
      </w:r>
    </w:p>
    <w:p w14:paraId="1F7A86F9" w14:textId="77777777" w:rsidR="00C910B5" w:rsidRPr="0022305D" w:rsidRDefault="00C910B5" w:rsidP="003D63FC">
      <w:pPr>
        <w:autoSpaceDE w:val="0"/>
        <w:autoSpaceDN w:val="0"/>
        <w:adjustRightInd w:val="0"/>
        <w:spacing w:after="0" w:line="480" w:lineRule="auto"/>
        <w:rPr>
          <w:rFonts w:asciiTheme="majorHAnsi" w:hAnsiTheme="majorHAnsi" w:cstheme="majorHAnsi"/>
          <w:sz w:val="24"/>
          <w:szCs w:val="24"/>
        </w:rPr>
      </w:pPr>
    </w:p>
    <w:p w14:paraId="7AF6BF54" w14:textId="77777777" w:rsidR="00724D10" w:rsidRPr="00C553FC" w:rsidRDefault="00724D10" w:rsidP="004478B6">
      <w:pPr>
        <w:pStyle w:val="Heading2"/>
        <w:spacing w:line="480" w:lineRule="auto"/>
        <w:jc w:val="left"/>
        <w:rPr>
          <w:rFonts w:asciiTheme="majorHAnsi" w:hAnsiTheme="majorHAnsi" w:cstheme="majorHAnsi"/>
          <w:color w:val="FF0000"/>
          <w:sz w:val="28"/>
          <w:szCs w:val="28"/>
        </w:rPr>
      </w:pPr>
      <w:bookmarkStart w:id="104" w:name="_Toc76494418"/>
      <w:bookmarkStart w:id="105" w:name="_Toc78205811"/>
      <w:r w:rsidRPr="00C553FC">
        <w:rPr>
          <w:rFonts w:asciiTheme="majorHAnsi" w:hAnsiTheme="majorHAnsi" w:cstheme="majorHAnsi"/>
          <w:sz w:val="28"/>
          <w:szCs w:val="28"/>
        </w:rPr>
        <w:t>Regression Analysis</w:t>
      </w:r>
      <w:bookmarkEnd w:id="104"/>
      <w:bookmarkEnd w:id="105"/>
    </w:p>
    <w:p w14:paraId="215E16A3" w14:textId="05D712DF" w:rsidR="00724D10" w:rsidRPr="00392CA8" w:rsidRDefault="00724D10" w:rsidP="00392CA8">
      <w:pPr>
        <w:autoSpaceDE w:val="0"/>
        <w:autoSpaceDN w:val="0"/>
        <w:adjustRightInd w:val="0"/>
        <w:spacing w:before="240" w:after="0" w:line="480" w:lineRule="auto"/>
        <w:ind w:firstLine="720"/>
        <w:rPr>
          <w:rFonts w:asciiTheme="majorHAnsi" w:hAnsiTheme="majorHAnsi" w:cstheme="majorHAnsi"/>
          <w:sz w:val="24"/>
          <w:szCs w:val="24"/>
        </w:rPr>
      </w:pPr>
      <w:r w:rsidRPr="00392CA8">
        <w:rPr>
          <w:rFonts w:asciiTheme="majorHAnsi" w:hAnsiTheme="majorHAnsi" w:cstheme="majorHAnsi"/>
          <w:sz w:val="24"/>
          <w:szCs w:val="24"/>
        </w:rPr>
        <w:t xml:space="preserve">A </w:t>
      </w:r>
      <w:r w:rsidR="00A303B6" w:rsidRPr="00392CA8">
        <w:rPr>
          <w:rFonts w:asciiTheme="majorHAnsi" w:hAnsiTheme="majorHAnsi" w:cstheme="majorHAnsi"/>
          <w:sz w:val="24"/>
          <w:szCs w:val="24"/>
        </w:rPr>
        <w:t xml:space="preserve">multiple linear </w:t>
      </w:r>
      <w:r w:rsidRPr="00392CA8">
        <w:rPr>
          <w:rFonts w:asciiTheme="majorHAnsi" w:hAnsiTheme="majorHAnsi" w:cstheme="majorHAnsi"/>
          <w:sz w:val="24"/>
          <w:szCs w:val="24"/>
        </w:rPr>
        <w:t xml:space="preserve">regression analysis </w:t>
      </w:r>
      <w:r w:rsidR="00A303B6" w:rsidRPr="00392CA8">
        <w:rPr>
          <w:rFonts w:asciiTheme="majorHAnsi" w:hAnsiTheme="majorHAnsi" w:cstheme="majorHAnsi"/>
          <w:sz w:val="24"/>
          <w:szCs w:val="24"/>
        </w:rPr>
        <w:t xml:space="preserve">was conducted to assess whether there is a significant relationship between solvency and profitability of commercial banks in Kenya. </w:t>
      </w:r>
      <w:r w:rsidR="00C910B5" w:rsidRPr="00392CA8">
        <w:rPr>
          <w:rFonts w:asciiTheme="majorHAnsi" w:hAnsiTheme="majorHAnsi" w:cstheme="majorHAnsi"/>
          <w:sz w:val="24"/>
          <w:szCs w:val="24"/>
        </w:rPr>
        <w:t>The regressions findings gave values for R, R</w:t>
      </w:r>
      <w:r w:rsidR="00C910B5" w:rsidRPr="00392CA8">
        <w:rPr>
          <w:rFonts w:asciiTheme="majorHAnsi" w:hAnsiTheme="majorHAnsi" w:cstheme="majorHAnsi"/>
          <w:sz w:val="24"/>
          <w:szCs w:val="24"/>
          <w:vertAlign w:val="superscript"/>
        </w:rPr>
        <w:t>2</w:t>
      </w:r>
      <w:r w:rsidR="00C910B5" w:rsidRPr="00392CA8">
        <w:rPr>
          <w:rFonts w:asciiTheme="majorHAnsi" w:hAnsiTheme="majorHAnsi" w:cstheme="majorHAnsi"/>
          <w:sz w:val="24"/>
          <w:szCs w:val="24"/>
        </w:rPr>
        <w:t xml:space="preserve">, adjusted R and the standard error. </w:t>
      </w:r>
      <w:r w:rsidR="00BD58DF" w:rsidRPr="00392CA8">
        <w:rPr>
          <w:rFonts w:asciiTheme="majorHAnsi" w:hAnsiTheme="majorHAnsi" w:cstheme="majorHAnsi"/>
          <w:sz w:val="24"/>
          <w:szCs w:val="24"/>
        </w:rPr>
        <w:t xml:space="preserve">The results are presented in table </w:t>
      </w:r>
      <w:r w:rsidR="00392CA8" w:rsidRPr="00392CA8">
        <w:rPr>
          <w:rFonts w:asciiTheme="majorHAnsi" w:hAnsiTheme="majorHAnsi" w:cstheme="majorHAnsi"/>
          <w:sz w:val="24"/>
          <w:szCs w:val="24"/>
        </w:rPr>
        <w:t>7</w:t>
      </w:r>
      <w:r w:rsidR="00BD58DF" w:rsidRPr="00392CA8">
        <w:rPr>
          <w:rFonts w:asciiTheme="majorHAnsi" w:hAnsiTheme="majorHAnsi" w:cstheme="majorHAnsi"/>
          <w:sz w:val="24"/>
          <w:szCs w:val="24"/>
        </w:rPr>
        <w:t>.0 below.</w:t>
      </w:r>
    </w:p>
    <w:p w14:paraId="26FBA45E" w14:textId="77777777" w:rsidR="00392CA8" w:rsidRPr="0022305D" w:rsidRDefault="00392CA8" w:rsidP="002F1B66">
      <w:pPr>
        <w:autoSpaceDE w:val="0"/>
        <w:autoSpaceDN w:val="0"/>
        <w:adjustRightInd w:val="0"/>
        <w:spacing w:before="240" w:after="0" w:line="480" w:lineRule="auto"/>
        <w:ind w:firstLine="720"/>
        <w:rPr>
          <w:rFonts w:asciiTheme="majorHAnsi" w:hAnsiTheme="majorHAnsi" w:cstheme="majorHAnsi"/>
          <w:b/>
          <w:bCs/>
          <w:sz w:val="24"/>
          <w:szCs w:val="24"/>
        </w:rPr>
      </w:pPr>
    </w:p>
    <w:p w14:paraId="3B7CB758" w14:textId="724585E5" w:rsidR="00392CA8" w:rsidRPr="00392CA8" w:rsidRDefault="00392CA8" w:rsidP="00392CA8">
      <w:pPr>
        <w:pStyle w:val="Caption"/>
        <w:keepNext/>
        <w:rPr>
          <w:rFonts w:asciiTheme="majorHAnsi" w:hAnsiTheme="majorHAnsi" w:cstheme="majorHAnsi"/>
          <w:color w:val="auto"/>
          <w:sz w:val="24"/>
          <w:szCs w:val="24"/>
        </w:rPr>
      </w:pPr>
      <w:bookmarkStart w:id="106" w:name="_Toc78205372"/>
      <w:r w:rsidRPr="00392CA8">
        <w:rPr>
          <w:rFonts w:asciiTheme="majorHAnsi" w:hAnsiTheme="majorHAnsi" w:cstheme="majorHAnsi"/>
          <w:i w:val="0"/>
          <w:iCs w:val="0"/>
          <w:color w:val="auto"/>
          <w:sz w:val="24"/>
          <w:szCs w:val="24"/>
        </w:rPr>
        <w:t xml:space="preserve">Table </w:t>
      </w:r>
      <w:r w:rsidRPr="00392CA8">
        <w:rPr>
          <w:rFonts w:asciiTheme="majorHAnsi" w:hAnsiTheme="majorHAnsi" w:cstheme="majorHAnsi"/>
          <w:i w:val="0"/>
          <w:iCs w:val="0"/>
          <w:color w:val="auto"/>
          <w:sz w:val="24"/>
          <w:szCs w:val="24"/>
        </w:rPr>
        <w:fldChar w:fldCharType="begin"/>
      </w:r>
      <w:r w:rsidRPr="00392CA8">
        <w:rPr>
          <w:rFonts w:asciiTheme="majorHAnsi" w:hAnsiTheme="majorHAnsi" w:cstheme="majorHAnsi"/>
          <w:i w:val="0"/>
          <w:iCs w:val="0"/>
          <w:color w:val="auto"/>
          <w:sz w:val="24"/>
          <w:szCs w:val="24"/>
        </w:rPr>
        <w:instrText xml:space="preserve"> SEQ Table \* ARABIC </w:instrText>
      </w:r>
      <w:r w:rsidRPr="00392CA8">
        <w:rPr>
          <w:rFonts w:asciiTheme="majorHAnsi" w:hAnsiTheme="majorHAnsi" w:cstheme="majorHAnsi"/>
          <w:i w:val="0"/>
          <w:iCs w:val="0"/>
          <w:color w:val="auto"/>
          <w:sz w:val="24"/>
          <w:szCs w:val="24"/>
        </w:rPr>
        <w:fldChar w:fldCharType="separate"/>
      </w:r>
      <w:r w:rsidRPr="00392CA8">
        <w:rPr>
          <w:rFonts w:asciiTheme="majorHAnsi" w:hAnsiTheme="majorHAnsi" w:cstheme="majorHAnsi"/>
          <w:i w:val="0"/>
          <w:iCs w:val="0"/>
          <w:noProof/>
          <w:color w:val="auto"/>
          <w:sz w:val="24"/>
          <w:szCs w:val="24"/>
        </w:rPr>
        <w:t>7</w:t>
      </w:r>
      <w:r w:rsidRPr="00392CA8">
        <w:rPr>
          <w:rFonts w:asciiTheme="majorHAnsi" w:hAnsiTheme="majorHAnsi" w:cstheme="majorHAnsi"/>
          <w:i w:val="0"/>
          <w:iCs w:val="0"/>
          <w:color w:val="auto"/>
          <w:sz w:val="24"/>
          <w:szCs w:val="24"/>
        </w:rPr>
        <w:fldChar w:fldCharType="end"/>
      </w:r>
      <w:r w:rsidRPr="00392CA8">
        <w:rPr>
          <w:rFonts w:asciiTheme="majorHAnsi" w:hAnsiTheme="majorHAnsi" w:cstheme="majorHAnsi"/>
          <w:i w:val="0"/>
          <w:iCs w:val="0"/>
          <w:color w:val="auto"/>
          <w:sz w:val="24"/>
          <w:szCs w:val="24"/>
        </w:rPr>
        <w:t>.0</w:t>
      </w:r>
      <w:r w:rsidRPr="00392CA8">
        <w:rPr>
          <w:rFonts w:asciiTheme="majorHAnsi" w:hAnsiTheme="majorHAnsi" w:cstheme="majorHAnsi"/>
          <w:color w:val="auto"/>
          <w:sz w:val="24"/>
          <w:szCs w:val="24"/>
        </w:rPr>
        <w:t xml:space="preserve"> Model summary</w:t>
      </w:r>
      <w:bookmarkEnd w:id="106"/>
    </w:p>
    <w:tbl>
      <w:tblPr>
        <w:tblW w:w="9703" w:type="dxa"/>
        <w:tblLook w:val="04A0" w:firstRow="1" w:lastRow="0" w:firstColumn="1" w:lastColumn="0" w:noHBand="0" w:noVBand="1"/>
      </w:tblPr>
      <w:tblGrid>
        <w:gridCol w:w="1460"/>
        <w:gridCol w:w="1060"/>
        <w:gridCol w:w="1980"/>
        <w:gridCol w:w="2520"/>
        <w:gridCol w:w="2683"/>
      </w:tblGrid>
      <w:tr w:rsidR="00724D10" w:rsidRPr="0022305D" w14:paraId="5304EC5C" w14:textId="77777777" w:rsidTr="00A52602">
        <w:trPr>
          <w:trHeight w:val="300"/>
        </w:trPr>
        <w:tc>
          <w:tcPr>
            <w:tcW w:w="9703" w:type="dxa"/>
            <w:gridSpan w:val="5"/>
            <w:tcBorders>
              <w:top w:val="nil"/>
              <w:left w:val="nil"/>
              <w:bottom w:val="nil"/>
              <w:right w:val="nil"/>
            </w:tcBorders>
            <w:shd w:val="clear" w:color="auto" w:fill="auto"/>
            <w:vAlign w:val="center"/>
            <w:hideMark/>
          </w:tcPr>
          <w:p w14:paraId="11751074" w14:textId="6E758509" w:rsidR="00724D10" w:rsidRPr="0022305D" w:rsidRDefault="00724D10" w:rsidP="00B173B9">
            <w:pPr>
              <w:spacing w:after="0" w:line="480" w:lineRule="auto"/>
              <w:rPr>
                <w:rFonts w:asciiTheme="majorHAnsi" w:eastAsia="Times New Roman" w:hAnsiTheme="majorHAnsi" w:cstheme="majorHAnsi"/>
                <w:b/>
                <w:bCs/>
                <w:color w:val="000000"/>
                <w:sz w:val="24"/>
                <w:szCs w:val="24"/>
              </w:rPr>
            </w:pPr>
          </w:p>
        </w:tc>
      </w:tr>
      <w:tr w:rsidR="00724D10" w:rsidRPr="0022305D" w14:paraId="3D8BB2C8" w14:textId="77777777" w:rsidTr="00A52602">
        <w:trPr>
          <w:trHeight w:val="735"/>
        </w:trPr>
        <w:tc>
          <w:tcPr>
            <w:tcW w:w="1460" w:type="dxa"/>
            <w:tcBorders>
              <w:top w:val="single" w:sz="4" w:space="0" w:color="auto"/>
              <w:left w:val="nil"/>
              <w:bottom w:val="single" w:sz="4" w:space="0" w:color="auto"/>
              <w:right w:val="nil"/>
            </w:tcBorders>
            <w:shd w:val="clear" w:color="auto" w:fill="auto"/>
            <w:vAlign w:val="bottom"/>
            <w:hideMark/>
          </w:tcPr>
          <w:p w14:paraId="7EEC646D" w14:textId="77777777" w:rsidR="00724D10" w:rsidRPr="0022305D" w:rsidRDefault="00724D10" w:rsidP="00A52602">
            <w:pPr>
              <w:spacing w:after="0" w:line="480" w:lineRule="auto"/>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Model</w:t>
            </w:r>
          </w:p>
        </w:tc>
        <w:tc>
          <w:tcPr>
            <w:tcW w:w="1060" w:type="dxa"/>
            <w:tcBorders>
              <w:top w:val="single" w:sz="4" w:space="0" w:color="auto"/>
              <w:left w:val="nil"/>
              <w:bottom w:val="single" w:sz="4" w:space="0" w:color="auto"/>
              <w:right w:val="nil"/>
            </w:tcBorders>
            <w:shd w:val="clear" w:color="auto" w:fill="auto"/>
            <w:vAlign w:val="bottom"/>
            <w:hideMark/>
          </w:tcPr>
          <w:p w14:paraId="4DD5B616" w14:textId="77777777" w:rsidR="00724D10" w:rsidRPr="0022305D" w:rsidRDefault="00724D10" w:rsidP="00A52602">
            <w:pPr>
              <w:spacing w:after="0" w:line="480" w:lineRule="auto"/>
              <w:jc w:val="center"/>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R</w:t>
            </w:r>
          </w:p>
        </w:tc>
        <w:tc>
          <w:tcPr>
            <w:tcW w:w="1980" w:type="dxa"/>
            <w:tcBorders>
              <w:top w:val="single" w:sz="4" w:space="0" w:color="auto"/>
              <w:left w:val="nil"/>
              <w:bottom w:val="single" w:sz="4" w:space="0" w:color="auto"/>
              <w:right w:val="nil"/>
            </w:tcBorders>
            <w:shd w:val="clear" w:color="auto" w:fill="auto"/>
            <w:vAlign w:val="bottom"/>
            <w:hideMark/>
          </w:tcPr>
          <w:p w14:paraId="1AB75A03" w14:textId="77777777" w:rsidR="00724D10" w:rsidRPr="0022305D" w:rsidRDefault="00724D10" w:rsidP="00A52602">
            <w:pPr>
              <w:spacing w:after="0" w:line="480" w:lineRule="auto"/>
              <w:jc w:val="center"/>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R Square</w:t>
            </w:r>
          </w:p>
        </w:tc>
        <w:tc>
          <w:tcPr>
            <w:tcW w:w="2520" w:type="dxa"/>
            <w:tcBorders>
              <w:top w:val="single" w:sz="4" w:space="0" w:color="auto"/>
              <w:left w:val="nil"/>
              <w:bottom w:val="single" w:sz="4" w:space="0" w:color="auto"/>
              <w:right w:val="nil"/>
            </w:tcBorders>
            <w:shd w:val="clear" w:color="auto" w:fill="auto"/>
            <w:vAlign w:val="bottom"/>
            <w:hideMark/>
          </w:tcPr>
          <w:p w14:paraId="0704EDC6" w14:textId="77777777" w:rsidR="00724D10" w:rsidRPr="0022305D" w:rsidRDefault="00724D10" w:rsidP="00A52602">
            <w:pPr>
              <w:spacing w:after="0" w:line="480" w:lineRule="auto"/>
              <w:jc w:val="center"/>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Adjusted R Square</w:t>
            </w:r>
          </w:p>
        </w:tc>
        <w:tc>
          <w:tcPr>
            <w:tcW w:w="2683" w:type="dxa"/>
            <w:tcBorders>
              <w:top w:val="single" w:sz="4" w:space="0" w:color="auto"/>
              <w:left w:val="nil"/>
              <w:bottom w:val="single" w:sz="4" w:space="0" w:color="auto"/>
              <w:right w:val="nil"/>
            </w:tcBorders>
            <w:shd w:val="clear" w:color="auto" w:fill="auto"/>
            <w:vAlign w:val="bottom"/>
            <w:hideMark/>
          </w:tcPr>
          <w:p w14:paraId="63227FBF" w14:textId="77777777" w:rsidR="00724D10" w:rsidRPr="0022305D" w:rsidRDefault="00724D10" w:rsidP="00A52602">
            <w:pPr>
              <w:spacing w:after="0" w:line="480" w:lineRule="auto"/>
              <w:jc w:val="center"/>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Std. Error of the Estimate</w:t>
            </w:r>
          </w:p>
        </w:tc>
      </w:tr>
      <w:tr w:rsidR="00724D10" w:rsidRPr="0022305D" w14:paraId="36EC5867" w14:textId="77777777" w:rsidTr="00A52602">
        <w:trPr>
          <w:trHeight w:val="300"/>
        </w:trPr>
        <w:tc>
          <w:tcPr>
            <w:tcW w:w="1460" w:type="dxa"/>
            <w:tcBorders>
              <w:top w:val="nil"/>
              <w:left w:val="nil"/>
              <w:bottom w:val="single" w:sz="4" w:space="0" w:color="auto"/>
              <w:right w:val="nil"/>
            </w:tcBorders>
            <w:shd w:val="clear" w:color="auto" w:fill="auto"/>
            <w:noWrap/>
            <w:hideMark/>
          </w:tcPr>
          <w:p w14:paraId="335667D1"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1</w:t>
            </w:r>
          </w:p>
        </w:tc>
        <w:tc>
          <w:tcPr>
            <w:tcW w:w="1060" w:type="dxa"/>
            <w:tcBorders>
              <w:top w:val="nil"/>
              <w:left w:val="nil"/>
              <w:bottom w:val="single" w:sz="4" w:space="0" w:color="auto"/>
              <w:right w:val="nil"/>
            </w:tcBorders>
            <w:shd w:val="clear" w:color="auto" w:fill="auto"/>
            <w:noWrap/>
            <w:hideMark/>
          </w:tcPr>
          <w:p w14:paraId="14D98981"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.615</w:t>
            </w:r>
            <w:r w:rsidRPr="0022305D">
              <w:rPr>
                <w:rFonts w:asciiTheme="majorHAnsi" w:eastAsia="Times New Roman" w:hAnsiTheme="majorHAnsi" w:cstheme="majorHAnsi"/>
                <w:color w:val="000000"/>
                <w:sz w:val="24"/>
                <w:szCs w:val="24"/>
                <w:vertAlign w:val="superscript"/>
              </w:rPr>
              <w:t>a</w:t>
            </w:r>
          </w:p>
        </w:tc>
        <w:tc>
          <w:tcPr>
            <w:tcW w:w="1980" w:type="dxa"/>
            <w:tcBorders>
              <w:top w:val="nil"/>
              <w:left w:val="nil"/>
              <w:bottom w:val="single" w:sz="4" w:space="0" w:color="auto"/>
              <w:right w:val="nil"/>
            </w:tcBorders>
            <w:shd w:val="clear" w:color="auto" w:fill="auto"/>
            <w:noWrap/>
            <w:hideMark/>
          </w:tcPr>
          <w:p w14:paraId="787CE5C3"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.378</w:t>
            </w:r>
          </w:p>
        </w:tc>
        <w:tc>
          <w:tcPr>
            <w:tcW w:w="2520" w:type="dxa"/>
            <w:tcBorders>
              <w:top w:val="nil"/>
              <w:left w:val="nil"/>
              <w:bottom w:val="single" w:sz="4" w:space="0" w:color="auto"/>
              <w:right w:val="nil"/>
            </w:tcBorders>
            <w:shd w:val="clear" w:color="auto" w:fill="auto"/>
            <w:noWrap/>
            <w:hideMark/>
          </w:tcPr>
          <w:p w14:paraId="6A876A1D"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.341</w:t>
            </w:r>
          </w:p>
        </w:tc>
        <w:tc>
          <w:tcPr>
            <w:tcW w:w="2683" w:type="dxa"/>
            <w:tcBorders>
              <w:top w:val="nil"/>
              <w:left w:val="nil"/>
              <w:bottom w:val="single" w:sz="4" w:space="0" w:color="auto"/>
              <w:right w:val="nil"/>
            </w:tcBorders>
            <w:shd w:val="clear" w:color="auto" w:fill="auto"/>
            <w:noWrap/>
            <w:hideMark/>
          </w:tcPr>
          <w:p w14:paraId="67FED989"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1.71382</w:t>
            </w:r>
          </w:p>
        </w:tc>
      </w:tr>
    </w:tbl>
    <w:p w14:paraId="24083605" w14:textId="3E6B25D2" w:rsidR="00724D10" w:rsidRPr="0022305D" w:rsidRDefault="00724D10" w:rsidP="00724D10">
      <w:pPr>
        <w:autoSpaceDE w:val="0"/>
        <w:autoSpaceDN w:val="0"/>
        <w:adjustRightInd w:val="0"/>
        <w:spacing w:after="0" w:line="480" w:lineRule="auto"/>
        <w:rPr>
          <w:rFonts w:asciiTheme="majorHAnsi" w:hAnsiTheme="majorHAnsi" w:cstheme="majorHAnsi"/>
          <w:sz w:val="24"/>
          <w:szCs w:val="24"/>
        </w:rPr>
      </w:pPr>
      <w:r w:rsidRPr="0022305D">
        <w:rPr>
          <w:rFonts w:asciiTheme="majorHAnsi" w:hAnsiTheme="majorHAnsi" w:cstheme="majorHAnsi"/>
          <w:sz w:val="24"/>
          <w:szCs w:val="24"/>
        </w:rPr>
        <w:t>Source: Research findings</w:t>
      </w:r>
      <w:r w:rsidR="006E6AAA">
        <w:rPr>
          <w:rFonts w:asciiTheme="majorHAnsi" w:hAnsiTheme="majorHAnsi" w:cstheme="majorHAnsi"/>
          <w:sz w:val="24"/>
          <w:szCs w:val="24"/>
        </w:rPr>
        <w:t xml:space="preserve"> (2021)</w:t>
      </w:r>
    </w:p>
    <w:p w14:paraId="1B65FC04" w14:textId="6BEEEE6D" w:rsidR="00BD58DF" w:rsidRPr="0022305D" w:rsidRDefault="00BD58DF" w:rsidP="00BD58DF">
      <w:pPr>
        <w:autoSpaceDE w:val="0"/>
        <w:autoSpaceDN w:val="0"/>
        <w:adjustRightInd w:val="0"/>
        <w:spacing w:before="240" w:after="0" w:line="480" w:lineRule="auto"/>
        <w:ind w:firstLine="720"/>
        <w:rPr>
          <w:rFonts w:asciiTheme="majorHAnsi" w:hAnsiTheme="majorHAnsi" w:cstheme="majorHAnsi"/>
          <w:b/>
          <w:bCs/>
          <w:sz w:val="24"/>
          <w:szCs w:val="24"/>
        </w:rPr>
      </w:pPr>
      <w:r>
        <w:rPr>
          <w:rFonts w:asciiTheme="majorHAnsi" w:hAnsiTheme="majorHAnsi" w:cstheme="majorHAnsi"/>
          <w:sz w:val="24"/>
          <w:szCs w:val="24"/>
        </w:rPr>
        <w:t>The results of the regression (t</w:t>
      </w:r>
      <w:r w:rsidRPr="0022305D">
        <w:rPr>
          <w:rFonts w:asciiTheme="majorHAnsi" w:hAnsiTheme="majorHAnsi" w:cstheme="majorHAnsi"/>
          <w:sz w:val="24"/>
          <w:szCs w:val="24"/>
        </w:rPr>
        <w:t xml:space="preserve">able </w:t>
      </w:r>
      <w:r w:rsidR="00392CA8">
        <w:rPr>
          <w:rFonts w:asciiTheme="majorHAnsi" w:hAnsiTheme="majorHAnsi" w:cstheme="majorHAnsi"/>
          <w:sz w:val="24"/>
          <w:szCs w:val="24"/>
        </w:rPr>
        <w:t>7</w:t>
      </w:r>
      <w:r w:rsidRPr="0022305D">
        <w:rPr>
          <w:rFonts w:asciiTheme="majorHAnsi" w:hAnsiTheme="majorHAnsi" w:cstheme="majorHAnsi"/>
          <w:sz w:val="24"/>
          <w:szCs w:val="24"/>
        </w:rPr>
        <w:t>.</w:t>
      </w:r>
      <w:r>
        <w:rPr>
          <w:rFonts w:asciiTheme="majorHAnsi" w:hAnsiTheme="majorHAnsi" w:cstheme="majorHAnsi"/>
          <w:sz w:val="24"/>
          <w:szCs w:val="24"/>
        </w:rPr>
        <w:t>0) indicated that 37.8% of the variation in profitability is explained by solvency (R</w:t>
      </w:r>
      <w:r w:rsidRPr="00A303B6">
        <w:rPr>
          <w:rFonts w:asciiTheme="majorHAnsi" w:hAnsiTheme="majorHAnsi" w:cstheme="majorHAnsi"/>
          <w:sz w:val="24"/>
          <w:szCs w:val="24"/>
          <w:vertAlign w:val="superscript"/>
        </w:rPr>
        <w:t>2</w:t>
      </w:r>
      <w:r>
        <w:rPr>
          <w:rFonts w:asciiTheme="majorHAnsi" w:hAnsiTheme="majorHAnsi" w:cstheme="majorHAnsi"/>
          <w:sz w:val="24"/>
          <w:szCs w:val="24"/>
          <w:vertAlign w:val="superscript"/>
        </w:rPr>
        <w:t xml:space="preserve"> </w:t>
      </w:r>
      <w:r>
        <w:rPr>
          <w:rFonts w:asciiTheme="majorHAnsi" w:hAnsiTheme="majorHAnsi" w:cstheme="majorHAnsi"/>
          <w:sz w:val="24"/>
          <w:szCs w:val="24"/>
        </w:rPr>
        <w:t>= .378, F</w:t>
      </w:r>
      <w:r w:rsidR="00FC69EC">
        <w:rPr>
          <w:rFonts w:asciiTheme="majorHAnsi" w:hAnsiTheme="majorHAnsi" w:cstheme="majorHAnsi"/>
          <w:sz w:val="24"/>
          <w:szCs w:val="24"/>
        </w:rPr>
        <w:t xml:space="preserve"> </w:t>
      </w:r>
      <w:r>
        <w:rPr>
          <w:rFonts w:asciiTheme="majorHAnsi" w:hAnsiTheme="majorHAnsi" w:cstheme="majorHAnsi"/>
          <w:sz w:val="24"/>
          <w:szCs w:val="24"/>
        </w:rPr>
        <w:t xml:space="preserve">(2,36), P&lt;0.01) </w:t>
      </w:r>
      <w:r w:rsidRPr="0022305D">
        <w:rPr>
          <w:rFonts w:asciiTheme="majorHAnsi" w:hAnsiTheme="majorHAnsi" w:cstheme="majorHAnsi"/>
          <w:sz w:val="23"/>
          <w:szCs w:val="23"/>
        </w:rPr>
        <w:t>while the remaining 62.2% is attributed to other factors outside the model</w:t>
      </w:r>
      <w:r>
        <w:rPr>
          <w:rFonts w:asciiTheme="majorHAnsi" w:hAnsiTheme="majorHAnsi" w:cstheme="majorHAnsi"/>
          <w:sz w:val="23"/>
          <w:szCs w:val="23"/>
        </w:rPr>
        <w:t>.</w:t>
      </w:r>
    </w:p>
    <w:p w14:paraId="15797819" w14:textId="77777777" w:rsidR="00724D10" w:rsidRPr="0022305D" w:rsidRDefault="00724D10" w:rsidP="00724D10">
      <w:pPr>
        <w:autoSpaceDE w:val="0"/>
        <w:autoSpaceDN w:val="0"/>
        <w:adjustRightInd w:val="0"/>
        <w:spacing w:after="0" w:line="480" w:lineRule="auto"/>
        <w:rPr>
          <w:rFonts w:asciiTheme="majorHAnsi" w:hAnsiTheme="majorHAnsi" w:cstheme="majorHAnsi"/>
          <w:sz w:val="24"/>
          <w:szCs w:val="24"/>
        </w:rPr>
      </w:pPr>
    </w:p>
    <w:p w14:paraId="7454F23A" w14:textId="275BDD24" w:rsidR="00724D10" w:rsidRPr="004478B6" w:rsidRDefault="00724D10" w:rsidP="004478B6">
      <w:pPr>
        <w:pStyle w:val="Heading2"/>
        <w:spacing w:line="480" w:lineRule="auto"/>
        <w:jc w:val="left"/>
        <w:rPr>
          <w:rFonts w:asciiTheme="majorHAnsi" w:hAnsiTheme="majorHAnsi" w:cstheme="majorHAnsi"/>
          <w:sz w:val="28"/>
          <w:szCs w:val="28"/>
        </w:rPr>
      </w:pPr>
      <w:bookmarkStart w:id="107" w:name="_Toc76494419"/>
      <w:bookmarkStart w:id="108" w:name="_Toc78205812"/>
      <w:r w:rsidRPr="00C553FC">
        <w:rPr>
          <w:rFonts w:asciiTheme="majorHAnsi" w:hAnsiTheme="majorHAnsi" w:cstheme="majorHAnsi"/>
          <w:sz w:val="28"/>
          <w:szCs w:val="28"/>
        </w:rPr>
        <w:t>Analysis of Variance (ANOVA)</w:t>
      </w:r>
      <w:bookmarkEnd w:id="107"/>
      <w:bookmarkEnd w:id="108"/>
    </w:p>
    <w:p w14:paraId="23BC99E4" w14:textId="483DBEC3" w:rsidR="00D656A9" w:rsidRDefault="00C910B5" w:rsidP="00ED3DDE">
      <w:pPr>
        <w:spacing w:after="0" w:line="480" w:lineRule="auto"/>
        <w:ind w:firstLine="720"/>
        <w:rPr>
          <w:rFonts w:asciiTheme="majorHAnsi" w:eastAsia="Times New Roman" w:hAnsiTheme="majorHAnsi" w:cstheme="majorHAnsi"/>
          <w:sz w:val="30"/>
          <w:szCs w:val="30"/>
        </w:rPr>
      </w:pPr>
      <w:r w:rsidRPr="00D656A9">
        <w:rPr>
          <w:rFonts w:asciiTheme="majorHAnsi" w:hAnsiTheme="majorHAnsi" w:cstheme="majorHAnsi"/>
          <w:sz w:val="24"/>
          <w:szCs w:val="24"/>
        </w:rPr>
        <w:t>A</w:t>
      </w:r>
      <w:r>
        <w:rPr>
          <w:rFonts w:asciiTheme="majorHAnsi" w:hAnsiTheme="majorHAnsi" w:cstheme="majorHAnsi"/>
          <w:sz w:val="24"/>
          <w:szCs w:val="24"/>
        </w:rPr>
        <w:t>nalysis of Variance (A</w:t>
      </w:r>
      <w:r w:rsidRPr="00D656A9">
        <w:rPr>
          <w:rFonts w:asciiTheme="majorHAnsi" w:hAnsiTheme="majorHAnsi" w:cstheme="majorHAnsi"/>
          <w:sz w:val="24"/>
          <w:szCs w:val="24"/>
        </w:rPr>
        <w:t>NOVA</w:t>
      </w:r>
      <w:r>
        <w:rPr>
          <w:rFonts w:asciiTheme="majorHAnsi" w:hAnsiTheme="majorHAnsi" w:cstheme="majorHAnsi"/>
          <w:sz w:val="24"/>
          <w:szCs w:val="24"/>
        </w:rPr>
        <w:t>)</w:t>
      </w:r>
      <w:r w:rsidRPr="00D656A9">
        <w:rPr>
          <w:rFonts w:asciiTheme="majorHAnsi" w:hAnsiTheme="majorHAnsi" w:cstheme="majorHAnsi"/>
          <w:sz w:val="24"/>
          <w:szCs w:val="24"/>
        </w:rPr>
        <w:t xml:space="preserve"> was conducted to assess the relationship between solvency and profitability of commercial banks in Kenya. </w:t>
      </w:r>
      <w:r w:rsidR="00724D10" w:rsidRPr="0022305D">
        <w:rPr>
          <w:rFonts w:asciiTheme="majorHAnsi" w:eastAsia="Times New Roman" w:hAnsiTheme="majorHAnsi" w:cstheme="majorHAnsi"/>
          <w:sz w:val="24"/>
          <w:szCs w:val="24"/>
        </w:rPr>
        <w:t xml:space="preserve">The significance of variation contributed by independent variables on the dependent variable compared to the variation contributed by residuals is measured by the analysis of variance </w:t>
      </w:r>
      <w:r w:rsidR="00724D10" w:rsidRPr="0022305D">
        <w:rPr>
          <w:rFonts w:asciiTheme="majorHAnsi" w:eastAsia="Times New Roman" w:hAnsiTheme="majorHAnsi" w:cstheme="majorHAnsi"/>
          <w:sz w:val="24"/>
          <w:szCs w:val="24"/>
        </w:rPr>
        <w:fldChar w:fldCharType="begin" w:fldLock="1"/>
      </w:r>
      <w:r w:rsidR="00724D10" w:rsidRPr="0022305D">
        <w:rPr>
          <w:rFonts w:asciiTheme="majorHAnsi" w:eastAsia="Times New Roman" w:hAnsiTheme="majorHAnsi" w:cstheme="majorHAnsi"/>
          <w:sz w:val="24"/>
          <w:szCs w:val="24"/>
        </w:rPr>
        <w:instrText>ADDIN CSL_CITATION {"citationItems":[{"id":"ITEM-1","itemData":{"DOI":"10.5334/IRSP.198","ISSN":"23978570","abstract":"Student's t-test and classical F-test ANOVA rely on the assumptions that two or more samples are independent, and that independent and identically distributed residuals are normal and have equal variances between groups. We focus on the assumptions of normality and equality of variances, and argue that these assumptions are often unrealistic in the field of psychology. We underline the current lack of attention to these assumptions through an analysis of researchers' practices. Through Monte Carlo simulations, we illustrate the consequences of performing the classic parametric F-test for ANOVA when the test assumptions are not met on the Type I error rate and statistical power. Under realistic deviations from the assumption of equal variances, the classic F-test can yield severely biased results and lead to invalid statistical inferences. We examine two common alternatives to the F-test, namely the Welch's ANOVA (W-test) and the Brown-Forsythe test (F*-test). Our simulations show that under a range of realistic scenarios, the W-test is a better alternative and we therefore recommend using the W-test by default when comparing means. We provide a detailed example explaining how to perform the W-test in SPSS and R. We summarize our conclusions in practical recommendations that researchers can use to improve their statistical practices.","author":[{"dropping-particle":"","family":"Delacre","given":"Marie","non-dropping-particle":"","parse-names":false,"suffix":""},{"dropping-particle":"","family":"Leys","given":"Christophe","non-dropping-particle":"","parse-names":false,"suffix":""},{"dropping-particle":"","family":"Mora","given":"Youri L.","non-dropping-particle":"","parse-names":false,"suffix":""},{"dropping-particle":"","family":"Lakens","given":"Daniël","non-dropping-particle":"","parse-names":false,"suffix":""}],"container-title":"International Review of Social Psychology","id":"ITEM-1","issue":"1","issued":{"date-parts":[["2020"]]},"page":"1-12","title":"Taking parametric assumptions seriously: Arguments for the use of welch's f-test instead of the classical f-test in one-way ANOVA","type":"article-journal","volume":"32"},"uris":["http://www.mendeley.com/documents/?uuid=0c8f267c-90e8-4c66-8435-0a9253658646"]}],"mendeley":{"formattedCitation":"(Delacre, Leys, Mora, &amp; Lakens, 2020)","plainTextFormattedCitation":"(Delacre, Leys, Mora, &amp; Lakens, 2020)","previouslyFormattedCitation":"(Delacre, Leys, Mora, &amp; Lakens, 2020)"},"properties":{"noteIndex":0},"schema":"https://github.com/citation-style-language/schema/raw/master/csl-citation.json"}</w:instrText>
      </w:r>
      <w:r w:rsidR="00724D10" w:rsidRPr="0022305D">
        <w:rPr>
          <w:rFonts w:asciiTheme="majorHAnsi" w:eastAsia="Times New Roman" w:hAnsiTheme="majorHAnsi" w:cstheme="majorHAnsi"/>
          <w:sz w:val="24"/>
          <w:szCs w:val="24"/>
        </w:rPr>
        <w:fldChar w:fldCharType="separate"/>
      </w:r>
      <w:r w:rsidR="00724D10" w:rsidRPr="0022305D">
        <w:rPr>
          <w:rFonts w:asciiTheme="majorHAnsi" w:eastAsia="Times New Roman" w:hAnsiTheme="majorHAnsi" w:cstheme="majorHAnsi"/>
          <w:noProof/>
          <w:sz w:val="24"/>
          <w:szCs w:val="24"/>
        </w:rPr>
        <w:t>(Delacre, Leys, Mora, &amp; Lakens, 2020)</w:t>
      </w:r>
      <w:r w:rsidR="00724D10" w:rsidRPr="0022305D">
        <w:rPr>
          <w:rFonts w:asciiTheme="majorHAnsi" w:eastAsia="Times New Roman" w:hAnsiTheme="majorHAnsi" w:cstheme="majorHAnsi"/>
          <w:sz w:val="24"/>
          <w:szCs w:val="24"/>
        </w:rPr>
        <w:fldChar w:fldCharType="end"/>
      </w:r>
      <w:r w:rsidR="00724D10" w:rsidRPr="0022305D">
        <w:rPr>
          <w:rFonts w:asciiTheme="majorHAnsi" w:eastAsia="Times New Roman" w:hAnsiTheme="majorHAnsi" w:cstheme="majorHAnsi"/>
          <w:sz w:val="24"/>
          <w:szCs w:val="24"/>
        </w:rPr>
        <w:t xml:space="preserve">. The F test determines existence of a significant relationship between the dependent variable and the whole set of independent variables </w:t>
      </w:r>
      <w:r w:rsidR="00724D10" w:rsidRPr="0022305D">
        <w:rPr>
          <w:rFonts w:asciiTheme="majorHAnsi" w:eastAsia="Times New Roman" w:hAnsiTheme="majorHAnsi" w:cstheme="majorHAnsi"/>
          <w:sz w:val="24"/>
          <w:szCs w:val="24"/>
        </w:rPr>
        <w:fldChar w:fldCharType="begin" w:fldLock="1"/>
      </w:r>
      <w:r w:rsidR="00724D10" w:rsidRPr="0022305D">
        <w:rPr>
          <w:rFonts w:asciiTheme="majorHAnsi" w:eastAsia="Times New Roman" w:hAnsiTheme="majorHAnsi" w:cstheme="majorHAnsi"/>
          <w:sz w:val="24"/>
          <w:szCs w:val="24"/>
        </w:rPr>
        <w:instrText>ADDIN CSL_CITATION {"citationItems":[{"id":"ITEM-1","itemData":{"DOI":"10.1016/j.jeconom.2015.06.004","ISSN":"18726895","abstract":"We consider testing for weak instruments in a model with multiple endogenous variables. Unlike Stock and Yogo (2005), who considered a weak instruments problem where the rank of the matrix of reduced form parameters is near zero, here we consider a weak instruments problem of a near rank reduction of one in the matrix of reduced form parameters. For example, in a two-variable model, we consider weak instrument asymptotics of the form π1=δπ2+c/n where π1 and π2 are the parameters in the two reduced-form equations, c is a vector of constants and n is the sample size. We investigate the use of a conditional first-stage F-statistic along the lines of the proposal by Angrist and Pischke (2009) and show that, unless δ=0, the variance in the denominator of their F-statistic needs to be adjusted in order to get a correct asymptotic distribution when testing the hypothesis H0:π1=δπ2. We show that a corrected conditional F-statistic is equivalent to the Cragg and Donald (1993) minimum eigenvalue rank test statistic, and is informative about the maximum total relative bias of the 2SLS estimator and the Wald tests size distortions. When δ=0 in the two-variable model, or when there are more than two endogenous variables, further information over and above the Cragg-Donald statistic can be obtained about the nature of the weak instrument problem by computing the conditional first-stage F-statistics.","author":[{"dropping-particle":"","family":"Sanderson","given":"Eleanor","non-dropping-particle":"","parse-names":false,"suffix":""},{"dropping-particle":"","family":"Windmeijer","given":"Frank","non-dropping-particle":"","parse-names":false,"suffix":""}],"container-title":"Journal of Econometrics","id":"ITEM-1","issue":"2","issued":{"date-parts":[["2016"]]},"page":"212-221","publisher":"Elsevier B.V.","title":"A weak instrument F-test in linear IV models with multiple endogenous variables","type":"article-journal","volume":"190"},"uris":["http://www.mendeley.com/documents/?uuid=5b77855a-c767-47dd-ab09-8b22463270df"]}],"mendeley":{"formattedCitation":"(Sanderson &amp; Windmeijer, 2016)","plainTextFormattedCitation":"(Sanderson &amp; Windmeijer, 2016)","previouslyFormattedCitation":"(Sanderson &amp; Windmeijer, 2016)"},"properties":{"noteIndex":0},"schema":"https://github.com/citation-style-language/schema/raw/master/csl-citation.json"}</w:instrText>
      </w:r>
      <w:r w:rsidR="00724D10" w:rsidRPr="0022305D">
        <w:rPr>
          <w:rFonts w:asciiTheme="majorHAnsi" w:eastAsia="Times New Roman" w:hAnsiTheme="majorHAnsi" w:cstheme="majorHAnsi"/>
          <w:sz w:val="24"/>
          <w:szCs w:val="24"/>
        </w:rPr>
        <w:fldChar w:fldCharType="separate"/>
      </w:r>
      <w:r w:rsidR="00724D10" w:rsidRPr="0022305D">
        <w:rPr>
          <w:rFonts w:asciiTheme="majorHAnsi" w:eastAsia="Times New Roman" w:hAnsiTheme="majorHAnsi" w:cstheme="majorHAnsi"/>
          <w:noProof/>
          <w:sz w:val="24"/>
          <w:szCs w:val="24"/>
        </w:rPr>
        <w:t>(Sanderson &amp; Windmeijer, 2016)</w:t>
      </w:r>
      <w:r w:rsidR="00724D10" w:rsidRPr="0022305D">
        <w:rPr>
          <w:rFonts w:asciiTheme="majorHAnsi" w:eastAsia="Times New Roman" w:hAnsiTheme="majorHAnsi" w:cstheme="majorHAnsi"/>
          <w:sz w:val="24"/>
          <w:szCs w:val="24"/>
        </w:rPr>
        <w:fldChar w:fldCharType="end"/>
      </w:r>
      <w:r w:rsidR="00724D10" w:rsidRPr="0022305D">
        <w:rPr>
          <w:rFonts w:asciiTheme="majorHAnsi" w:eastAsia="Times New Roman" w:hAnsiTheme="majorHAnsi" w:cstheme="majorHAnsi"/>
          <w:sz w:val="24"/>
          <w:szCs w:val="24"/>
        </w:rPr>
        <w:t>, hence tests how fit the model is.</w:t>
      </w:r>
      <w:r w:rsidR="00724D10" w:rsidRPr="0022305D">
        <w:rPr>
          <w:rFonts w:asciiTheme="majorHAnsi" w:eastAsia="Times New Roman" w:hAnsiTheme="majorHAnsi" w:cstheme="majorHAnsi"/>
          <w:sz w:val="30"/>
          <w:szCs w:val="30"/>
        </w:rPr>
        <w:t xml:space="preserve"> </w:t>
      </w:r>
    </w:p>
    <w:p w14:paraId="03CC1FBA" w14:textId="48E9D0BA" w:rsidR="00392CA8" w:rsidRDefault="00392CA8" w:rsidP="00ED3DDE">
      <w:pPr>
        <w:spacing w:after="0" w:line="480" w:lineRule="auto"/>
        <w:ind w:firstLine="720"/>
        <w:rPr>
          <w:rFonts w:asciiTheme="majorHAnsi" w:eastAsia="Times New Roman" w:hAnsiTheme="majorHAnsi" w:cstheme="majorHAnsi"/>
          <w:sz w:val="30"/>
          <w:szCs w:val="30"/>
        </w:rPr>
      </w:pPr>
    </w:p>
    <w:p w14:paraId="4CF94536" w14:textId="77777777" w:rsidR="00392CA8" w:rsidRPr="00ED3DDE" w:rsidRDefault="00392CA8" w:rsidP="00ED3DDE">
      <w:pPr>
        <w:spacing w:after="0" w:line="480" w:lineRule="auto"/>
        <w:ind w:firstLine="720"/>
        <w:rPr>
          <w:rFonts w:asciiTheme="majorHAnsi" w:eastAsia="Times New Roman" w:hAnsiTheme="majorHAnsi" w:cstheme="majorHAnsi"/>
          <w:sz w:val="30"/>
          <w:szCs w:val="30"/>
        </w:rPr>
      </w:pPr>
    </w:p>
    <w:p w14:paraId="508AFE48" w14:textId="6DBC6BB8" w:rsidR="004E4CA3" w:rsidRPr="004E4CA3" w:rsidRDefault="004E4CA3" w:rsidP="004E4CA3">
      <w:pPr>
        <w:pStyle w:val="Caption"/>
        <w:keepNext/>
        <w:rPr>
          <w:rFonts w:asciiTheme="majorHAnsi" w:hAnsiTheme="majorHAnsi" w:cstheme="majorHAnsi"/>
          <w:i w:val="0"/>
          <w:iCs w:val="0"/>
          <w:color w:val="auto"/>
          <w:sz w:val="24"/>
          <w:szCs w:val="24"/>
        </w:rPr>
      </w:pPr>
      <w:bookmarkStart w:id="109" w:name="_Toc78205373"/>
      <w:r w:rsidRPr="004E4CA3">
        <w:rPr>
          <w:rFonts w:asciiTheme="majorHAnsi" w:hAnsiTheme="majorHAnsi" w:cstheme="majorHAnsi"/>
          <w:i w:val="0"/>
          <w:iCs w:val="0"/>
          <w:color w:val="auto"/>
          <w:sz w:val="24"/>
          <w:szCs w:val="24"/>
        </w:rPr>
        <w:t xml:space="preserve">Table </w:t>
      </w:r>
      <w:r w:rsidRPr="004E4CA3">
        <w:rPr>
          <w:rFonts w:asciiTheme="majorHAnsi" w:hAnsiTheme="majorHAnsi" w:cstheme="majorHAnsi"/>
          <w:i w:val="0"/>
          <w:iCs w:val="0"/>
          <w:color w:val="auto"/>
          <w:sz w:val="24"/>
          <w:szCs w:val="24"/>
        </w:rPr>
        <w:fldChar w:fldCharType="begin"/>
      </w:r>
      <w:r w:rsidRPr="004E4CA3">
        <w:rPr>
          <w:rFonts w:asciiTheme="majorHAnsi" w:hAnsiTheme="majorHAnsi" w:cstheme="majorHAnsi"/>
          <w:i w:val="0"/>
          <w:iCs w:val="0"/>
          <w:color w:val="auto"/>
          <w:sz w:val="24"/>
          <w:szCs w:val="24"/>
        </w:rPr>
        <w:instrText xml:space="preserve"> SEQ Table \* ARABIC </w:instrText>
      </w:r>
      <w:r w:rsidRPr="004E4CA3">
        <w:rPr>
          <w:rFonts w:asciiTheme="majorHAnsi" w:hAnsiTheme="majorHAnsi" w:cstheme="majorHAnsi"/>
          <w:i w:val="0"/>
          <w:iCs w:val="0"/>
          <w:color w:val="auto"/>
          <w:sz w:val="24"/>
          <w:szCs w:val="24"/>
        </w:rPr>
        <w:fldChar w:fldCharType="separate"/>
      </w:r>
      <w:r w:rsidR="00392CA8">
        <w:rPr>
          <w:rFonts w:asciiTheme="majorHAnsi" w:hAnsiTheme="majorHAnsi" w:cstheme="majorHAnsi"/>
          <w:i w:val="0"/>
          <w:iCs w:val="0"/>
          <w:noProof/>
          <w:color w:val="auto"/>
          <w:sz w:val="24"/>
          <w:szCs w:val="24"/>
        </w:rPr>
        <w:t>8</w:t>
      </w:r>
      <w:r w:rsidRPr="004E4CA3">
        <w:rPr>
          <w:rFonts w:asciiTheme="majorHAnsi" w:hAnsiTheme="majorHAnsi" w:cstheme="majorHAnsi"/>
          <w:i w:val="0"/>
          <w:iCs w:val="0"/>
          <w:color w:val="auto"/>
          <w:sz w:val="24"/>
          <w:szCs w:val="24"/>
        </w:rPr>
        <w:fldChar w:fldCharType="end"/>
      </w:r>
      <w:r w:rsidRPr="004E4CA3">
        <w:rPr>
          <w:rFonts w:asciiTheme="majorHAnsi" w:hAnsiTheme="majorHAnsi" w:cstheme="majorHAnsi"/>
          <w:i w:val="0"/>
          <w:iCs w:val="0"/>
          <w:color w:val="auto"/>
          <w:sz w:val="24"/>
          <w:szCs w:val="24"/>
        </w:rPr>
        <w:t>:</w:t>
      </w:r>
      <w:r>
        <w:rPr>
          <w:rFonts w:asciiTheme="majorHAnsi" w:hAnsiTheme="majorHAnsi" w:cstheme="majorHAnsi"/>
          <w:i w:val="0"/>
          <w:iCs w:val="0"/>
          <w:color w:val="auto"/>
          <w:sz w:val="24"/>
          <w:szCs w:val="24"/>
        </w:rPr>
        <w:t xml:space="preserve"> </w:t>
      </w:r>
      <w:r w:rsidRPr="004E4CA3">
        <w:rPr>
          <w:rFonts w:asciiTheme="majorHAnsi" w:hAnsiTheme="majorHAnsi" w:cstheme="majorHAnsi"/>
          <w:color w:val="auto"/>
          <w:sz w:val="24"/>
          <w:szCs w:val="24"/>
        </w:rPr>
        <w:t>Ano</w:t>
      </w:r>
      <w:r>
        <w:rPr>
          <w:rFonts w:asciiTheme="majorHAnsi" w:hAnsiTheme="majorHAnsi" w:cstheme="majorHAnsi"/>
          <w:color w:val="auto"/>
          <w:sz w:val="24"/>
          <w:szCs w:val="24"/>
        </w:rPr>
        <w:t>v</w:t>
      </w:r>
      <w:r w:rsidRPr="004E4CA3">
        <w:rPr>
          <w:rFonts w:asciiTheme="majorHAnsi" w:hAnsiTheme="majorHAnsi" w:cstheme="majorHAnsi"/>
          <w:color w:val="auto"/>
          <w:sz w:val="24"/>
          <w:szCs w:val="24"/>
        </w:rPr>
        <w:t>a table</w:t>
      </w:r>
      <w:bookmarkEnd w:id="109"/>
    </w:p>
    <w:tbl>
      <w:tblPr>
        <w:tblW w:w="10076" w:type="dxa"/>
        <w:tblLook w:val="04A0" w:firstRow="1" w:lastRow="0" w:firstColumn="1" w:lastColumn="0" w:noHBand="0" w:noVBand="1"/>
      </w:tblPr>
      <w:tblGrid>
        <w:gridCol w:w="336"/>
        <w:gridCol w:w="1283"/>
        <w:gridCol w:w="1631"/>
        <w:gridCol w:w="456"/>
        <w:gridCol w:w="2120"/>
        <w:gridCol w:w="2925"/>
        <w:gridCol w:w="1325"/>
      </w:tblGrid>
      <w:tr w:rsidR="00724D10" w:rsidRPr="0022305D" w14:paraId="2C96AA6E" w14:textId="77777777" w:rsidTr="004E4CA3">
        <w:trPr>
          <w:trHeight w:val="606"/>
        </w:trPr>
        <w:tc>
          <w:tcPr>
            <w:tcW w:w="1619" w:type="dxa"/>
            <w:gridSpan w:val="2"/>
            <w:tcBorders>
              <w:top w:val="single" w:sz="4" w:space="0" w:color="auto"/>
              <w:left w:val="nil"/>
              <w:bottom w:val="nil"/>
              <w:right w:val="nil"/>
            </w:tcBorders>
            <w:shd w:val="clear" w:color="auto" w:fill="auto"/>
            <w:vAlign w:val="bottom"/>
            <w:hideMark/>
          </w:tcPr>
          <w:p w14:paraId="67647338" w14:textId="77777777" w:rsidR="00724D10" w:rsidRPr="0022305D" w:rsidRDefault="00724D10" w:rsidP="00A52602">
            <w:pPr>
              <w:spacing w:after="0" w:line="480" w:lineRule="auto"/>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Model</w:t>
            </w:r>
          </w:p>
        </w:tc>
        <w:tc>
          <w:tcPr>
            <w:tcW w:w="1631" w:type="dxa"/>
            <w:tcBorders>
              <w:top w:val="single" w:sz="4" w:space="0" w:color="auto"/>
              <w:left w:val="nil"/>
              <w:bottom w:val="single" w:sz="4" w:space="0" w:color="auto"/>
              <w:right w:val="nil"/>
            </w:tcBorders>
            <w:shd w:val="clear" w:color="auto" w:fill="auto"/>
            <w:vAlign w:val="bottom"/>
            <w:hideMark/>
          </w:tcPr>
          <w:p w14:paraId="13A5240F" w14:textId="77777777" w:rsidR="00724D10" w:rsidRPr="0022305D" w:rsidRDefault="00724D10" w:rsidP="00A52602">
            <w:pPr>
              <w:spacing w:after="0" w:line="480" w:lineRule="auto"/>
              <w:jc w:val="center"/>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Sum of Squares</w:t>
            </w:r>
          </w:p>
        </w:tc>
        <w:tc>
          <w:tcPr>
            <w:tcW w:w="456" w:type="dxa"/>
            <w:tcBorders>
              <w:top w:val="single" w:sz="4" w:space="0" w:color="auto"/>
              <w:left w:val="nil"/>
              <w:bottom w:val="single" w:sz="4" w:space="0" w:color="auto"/>
              <w:right w:val="nil"/>
            </w:tcBorders>
            <w:shd w:val="clear" w:color="auto" w:fill="auto"/>
            <w:vAlign w:val="bottom"/>
            <w:hideMark/>
          </w:tcPr>
          <w:p w14:paraId="416503EE" w14:textId="77777777" w:rsidR="00724D10" w:rsidRPr="0022305D" w:rsidRDefault="00724D10" w:rsidP="00A52602">
            <w:pPr>
              <w:spacing w:after="0" w:line="480" w:lineRule="auto"/>
              <w:jc w:val="center"/>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df</w:t>
            </w:r>
          </w:p>
        </w:tc>
        <w:tc>
          <w:tcPr>
            <w:tcW w:w="2120" w:type="dxa"/>
            <w:tcBorders>
              <w:top w:val="single" w:sz="4" w:space="0" w:color="auto"/>
              <w:left w:val="nil"/>
              <w:bottom w:val="single" w:sz="4" w:space="0" w:color="auto"/>
              <w:right w:val="nil"/>
            </w:tcBorders>
            <w:shd w:val="clear" w:color="auto" w:fill="auto"/>
            <w:vAlign w:val="bottom"/>
            <w:hideMark/>
          </w:tcPr>
          <w:p w14:paraId="5B5488F1" w14:textId="77777777" w:rsidR="00724D10" w:rsidRPr="0022305D" w:rsidRDefault="00724D10" w:rsidP="00A52602">
            <w:pPr>
              <w:spacing w:after="0" w:line="480" w:lineRule="auto"/>
              <w:jc w:val="center"/>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 xml:space="preserve">              Mean Square</w:t>
            </w:r>
          </w:p>
        </w:tc>
        <w:tc>
          <w:tcPr>
            <w:tcW w:w="2925" w:type="dxa"/>
            <w:tcBorders>
              <w:top w:val="single" w:sz="4" w:space="0" w:color="auto"/>
              <w:left w:val="nil"/>
              <w:bottom w:val="single" w:sz="4" w:space="0" w:color="auto"/>
              <w:right w:val="nil"/>
            </w:tcBorders>
            <w:shd w:val="clear" w:color="auto" w:fill="auto"/>
            <w:vAlign w:val="bottom"/>
            <w:hideMark/>
          </w:tcPr>
          <w:p w14:paraId="55166A54" w14:textId="77777777" w:rsidR="00724D10" w:rsidRPr="0022305D" w:rsidRDefault="00724D10" w:rsidP="00A52602">
            <w:pPr>
              <w:spacing w:after="0" w:line="480" w:lineRule="auto"/>
              <w:jc w:val="center"/>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F</w:t>
            </w:r>
          </w:p>
        </w:tc>
        <w:tc>
          <w:tcPr>
            <w:tcW w:w="1325" w:type="dxa"/>
            <w:tcBorders>
              <w:top w:val="single" w:sz="4" w:space="0" w:color="auto"/>
              <w:left w:val="nil"/>
              <w:bottom w:val="single" w:sz="4" w:space="0" w:color="auto"/>
              <w:right w:val="nil"/>
            </w:tcBorders>
            <w:shd w:val="clear" w:color="auto" w:fill="auto"/>
            <w:vAlign w:val="bottom"/>
            <w:hideMark/>
          </w:tcPr>
          <w:p w14:paraId="57F9FE1E" w14:textId="77777777" w:rsidR="00724D10" w:rsidRPr="0022305D" w:rsidRDefault="00724D10" w:rsidP="00A52602">
            <w:pPr>
              <w:spacing w:after="0" w:line="480" w:lineRule="auto"/>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Sig.</w:t>
            </w:r>
          </w:p>
        </w:tc>
      </w:tr>
      <w:tr w:rsidR="00724D10" w:rsidRPr="0022305D" w14:paraId="7A0519BF" w14:textId="77777777" w:rsidTr="004E4CA3">
        <w:trPr>
          <w:trHeight w:val="360"/>
        </w:trPr>
        <w:tc>
          <w:tcPr>
            <w:tcW w:w="336" w:type="dxa"/>
            <w:vMerge w:val="restart"/>
            <w:tcBorders>
              <w:top w:val="single" w:sz="4" w:space="0" w:color="auto"/>
              <w:left w:val="nil"/>
              <w:bottom w:val="nil"/>
              <w:right w:val="nil"/>
            </w:tcBorders>
            <w:shd w:val="clear" w:color="auto" w:fill="auto"/>
            <w:noWrap/>
            <w:hideMark/>
          </w:tcPr>
          <w:p w14:paraId="2B14F629"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1</w:t>
            </w:r>
          </w:p>
        </w:tc>
        <w:tc>
          <w:tcPr>
            <w:tcW w:w="1283" w:type="dxa"/>
            <w:tcBorders>
              <w:top w:val="single" w:sz="4" w:space="0" w:color="auto"/>
              <w:left w:val="nil"/>
              <w:bottom w:val="nil"/>
              <w:right w:val="nil"/>
            </w:tcBorders>
            <w:shd w:val="clear" w:color="auto" w:fill="auto"/>
            <w:hideMark/>
          </w:tcPr>
          <w:p w14:paraId="5E343F36"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Regression</w:t>
            </w:r>
          </w:p>
        </w:tc>
        <w:tc>
          <w:tcPr>
            <w:tcW w:w="1631" w:type="dxa"/>
            <w:tcBorders>
              <w:top w:val="single" w:sz="4" w:space="0" w:color="auto"/>
              <w:left w:val="nil"/>
              <w:bottom w:val="nil"/>
              <w:right w:val="nil"/>
            </w:tcBorders>
            <w:shd w:val="clear" w:color="auto" w:fill="auto"/>
            <w:noWrap/>
            <w:hideMark/>
          </w:tcPr>
          <w:p w14:paraId="1569DCED"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60.638</w:t>
            </w:r>
          </w:p>
        </w:tc>
        <w:tc>
          <w:tcPr>
            <w:tcW w:w="456" w:type="dxa"/>
            <w:tcBorders>
              <w:top w:val="single" w:sz="4" w:space="0" w:color="auto"/>
              <w:left w:val="nil"/>
              <w:bottom w:val="nil"/>
              <w:right w:val="nil"/>
            </w:tcBorders>
            <w:shd w:val="clear" w:color="auto" w:fill="auto"/>
            <w:noWrap/>
            <w:hideMark/>
          </w:tcPr>
          <w:p w14:paraId="194D2F91"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2</w:t>
            </w:r>
          </w:p>
        </w:tc>
        <w:tc>
          <w:tcPr>
            <w:tcW w:w="2120" w:type="dxa"/>
            <w:tcBorders>
              <w:top w:val="single" w:sz="4" w:space="0" w:color="auto"/>
              <w:left w:val="nil"/>
              <w:bottom w:val="nil"/>
              <w:right w:val="nil"/>
            </w:tcBorders>
            <w:shd w:val="clear" w:color="auto" w:fill="auto"/>
            <w:noWrap/>
            <w:hideMark/>
          </w:tcPr>
          <w:p w14:paraId="41267B62" w14:textId="77777777" w:rsidR="00724D10" w:rsidRPr="0022305D" w:rsidRDefault="00724D10" w:rsidP="00A52602">
            <w:pPr>
              <w:spacing w:after="0" w:line="480" w:lineRule="auto"/>
              <w:jc w:val="center"/>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 xml:space="preserve">        30.319</w:t>
            </w:r>
          </w:p>
        </w:tc>
        <w:tc>
          <w:tcPr>
            <w:tcW w:w="2925" w:type="dxa"/>
            <w:tcBorders>
              <w:top w:val="single" w:sz="4" w:space="0" w:color="auto"/>
              <w:left w:val="nil"/>
              <w:bottom w:val="nil"/>
              <w:right w:val="nil"/>
            </w:tcBorders>
            <w:shd w:val="clear" w:color="auto" w:fill="auto"/>
            <w:noWrap/>
            <w:hideMark/>
          </w:tcPr>
          <w:p w14:paraId="7C5830CB"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 xml:space="preserve">                   10.322</w:t>
            </w:r>
          </w:p>
        </w:tc>
        <w:tc>
          <w:tcPr>
            <w:tcW w:w="1325" w:type="dxa"/>
            <w:tcBorders>
              <w:top w:val="single" w:sz="4" w:space="0" w:color="auto"/>
              <w:left w:val="nil"/>
              <w:bottom w:val="nil"/>
              <w:right w:val="nil"/>
            </w:tcBorders>
            <w:shd w:val="clear" w:color="auto" w:fill="auto"/>
            <w:noWrap/>
            <w:hideMark/>
          </w:tcPr>
          <w:p w14:paraId="5E54E5EA"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.000</w:t>
            </w:r>
            <w:r w:rsidRPr="0022305D">
              <w:rPr>
                <w:rFonts w:asciiTheme="majorHAnsi" w:eastAsia="Times New Roman" w:hAnsiTheme="majorHAnsi" w:cstheme="majorHAnsi"/>
                <w:color w:val="000000"/>
                <w:sz w:val="24"/>
                <w:szCs w:val="24"/>
                <w:vertAlign w:val="superscript"/>
              </w:rPr>
              <w:t>b</w:t>
            </w:r>
          </w:p>
        </w:tc>
      </w:tr>
      <w:tr w:rsidR="00724D10" w:rsidRPr="0022305D" w14:paraId="3F7E0E12" w14:textId="77777777" w:rsidTr="004E4CA3">
        <w:trPr>
          <w:trHeight w:val="303"/>
        </w:trPr>
        <w:tc>
          <w:tcPr>
            <w:tcW w:w="336" w:type="dxa"/>
            <w:vMerge/>
            <w:tcBorders>
              <w:top w:val="nil"/>
              <w:left w:val="nil"/>
              <w:bottom w:val="nil"/>
              <w:right w:val="nil"/>
            </w:tcBorders>
            <w:vAlign w:val="center"/>
            <w:hideMark/>
          </w:tcPr>
          <w:p w14:paraId="30B9A920"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p>
        </w:tc>
        <w:tc>
          <w:tcPr>
            <w:tcW w:w="1283" w:type="dxa"/>
            <w:tcBorders>
              <w:top w:val="nil"/>
              <w:left w:val="nil"/>
              <w:bottom w:val="nil"/>
              <w:right w:val="nil"/>
            </w:tcBorders>
            <w:shd w:val="clear" w:color="auto" w:fill="auto"/>
            <w:hideMark/>
          </w:tcPr>
          <w:p w14:paraId="5D9A0A76"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Residual</w:t>
            </w:r>
          </w:p>
        </w:tc>
        <w:tc>
          <w:tcPr>
            <w:tcW w:w="1631" w:type="dxa"/>
            <w:tcBorders>
              <w:top w:val="nil"/>
              <w:left w:val="nil"/>
              <w:bottom w:val="nil"/>
              <w:right w:val="nil"/>
            </w:tcBorders>
            <w:shd w:val="clear" w:color="auto" w:fill="auto"/>
            <w:noWrap/>
            <w:hideMark/>
          </w:tcPr>
          <w:p w14:paraId="799048E6"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99.864</w:t>
            </w:r>
          </w:p>
        </w:tc>
        <w:tc>
          <w:tcPr>
            <w:tcW w:w="456" w:type="dxa"/>
            <w:tcBorders>
              <w:top w:val="nil"/>
              <w:left w:val="nil"/>
              <w:bottom w:val="nil"/>
              <w:right w:val="nil"/>
            </w:tcBorders>
            <w:shd w:val="clear" w:color="auto" w:fill="auto"/>
            <w:noWrap/>
            <w:hideMark/>
          </w:tcPr>
          <w:p w14:paraId="2F499F4F"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34</w:t>
            </w:r>
          </w:p>
        </w:tc>
        <w:tc>
          <w:tcPr>
            <w:tcW w:w="2120" w:type="dxa"/>
            <w:tcBorders>
              <w:top w:val="nil"/>
              <w:left w:val="nil"/>
              <w:bottom w:val="nil"/>
              <w:right w:val="nil"/>
            </w:tcBorders>
            <w:shd w:val="clear" w:color="auto" w:fill="auto"/>
            <w:noWrap/>
            <w:hideMark/>
          </w:tcPr>
          <w:p w14:paraId="36716800" w14:textId="77777777" w:rsidR="00724D10" w:rsidRPr="0022305D" w:rsidRDefault="00724D10" w:rsidP="00A52602">
            <w:pPr>
              <w:spacing w:after="0" w:line="480" w:lineRule="auto"/>
              <w:jc w:val="center"/>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 xml:space="preserve">      2.937</w:t>
            </w:r>
          </w:p>
        </w:tc>
        <w:tc>
          <w:tcPr>
            <w:tcW w:w="2925" w:type="dxa"/>
            <w:tcBorders>
              <w:top w:val="nil"/>
              <w:left w:val="nil"/>
              <w:bottom w:val="nil"/>
              <w:right w:val="nil"/>
            </w:tcBorders>
            <w:shd w:val="clear" w:color="auto" w:fill="auto"/>
            <w:hideMark/>
          </w:tcPr>
          <w:p w14:paraId="37AF9AB9"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p>
        </w:tc>
        <w:tc>
          <w:tcPr>
            <w:tcW w:w="1325" w:type="dxa"/>
            <w:tcBorders>
              <w:top w:val="nil"/>
              <w:left w:val="nil"/>
              <w:bottom w:val="nil"/>
              <w:right w:val="nil"/>
            </w:tcBorders>
            <w:shd w:val="clear" w:color="auto" w:fill="auto"/>
            <w:hideMark/>
          </w:tcPr>
          <w:p w14:paraId="66CF7310" w14:textId="77777777" w:rsidR="00724D10" w:rsidRPr="0022305D" w:rsidRDefault="00724D10" w:rsidP="00A52602">
            <w:pPr>
              <w:spacing w:after="0" w:line="480" w:lineRule="auto"/>
              <w:rPr>
                <w:rFonts w:asciiTheme="majorHAnsi" w:eastAsia="Times New Roman" w:hAnsiTheme="majorHAnsi" w:cstheme="majorHAnsi"/>
                <w:sz w:val="24"/>
                <w:szCs w:val="24"/>
              </w:rPr>
            </w:pPr>
          </w:p>
        </w:tc>
      </w:tr>
      <w:tr w:rsidR="00724D10" w:rsidRPr="0022305D" w14:paraId="26E5B970" w14:textId="77777777" w:rsidTr="004E4CA3">
        <w:trPr>
          <w:trHeight w:val="303"/>
        </w:trPr>
        <w:tc>
          <w:tcPr>
            <w:tcW w:w="336" w:type="dxa"/>
            <w:vMerge/>
            <w:tcBorders>
              <w:top w:val="nil"/>
              <w:left w:val="nil"/>
              <w:bottom w:val="single" w:sz="4" w:space="0" w:color="auto"/>
              <w:right w:val="nil"/>
            </w:tcBorders>
            <w:vAlign w:val="center"/>
            <w:hideMark/>
          </w:tcPr>
          <w:p w14:paraId="61EE9989"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p>
        </w:tc>
        <w:tc>
          <w:tcPr>
            <w:tcW w:w="1283" w:type="dxa"/>
            <w:tcBorders>
              <w:top w:val="nil"/>
              <w:left w:val="nil"/>
              <w:bottom w:val="single" w:sz="4" w:space="0" w:color="auto"/>
              <w:right w:val="nil"/>
            </w:tcBorders>
            <w:shd w:val="clear" w:color="auto" w:fill="auto"/>
            <w:hideMark/>
          </w:tcPr>
          <w:p w14:paraId="1985042C"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Total</w:t>
            </w:r>
          </w:p>
        </w:tc>
        <w:tc>
          <w:tcPr>
            <w:tcW w:w="1631" w:type="dxa"/>
            <w:tcBorders>
              <w:top w:val="nil"/>
              <w:left w:val="nil"/>
              <w:bottom w:val="single" w:sz="4" w:space="0" w:color="auto"/>
              <w:right w:val="nil"/>
            </w:tcBorders>
            <w:shd w:val="clear" w:color="auto" w:fill="auto"/>
            <w:noWrap/>
            <w:hideMark/>
          </w:tcPr>
          <w:p w14:paraId="1EFDD8F0"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160.501</w:t>
            </w:r>
          </w:p>
        </w:tc>
        <w:tc>
          <w:tcPr>
            <w:tcW w:w="456" w:type="dxa"/>
            <w:tcBorders>
              <w:top w:val="nil"/>
              <w:left w:val="nil"/>
              <w:bottom w:val="single" w:sz="4" w:space="0" w:color="auto"/>
              <w:right w:val="nil"/>
            </w:tcBorders>
            <w:shd w:val="clear" w:color="auto" w:fill="auto"/>
            <w:noWrap/>
            <w:hideMark/>
          </w:tcPr>
          <w:p w14:paraId="0B783792"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36</w:t>
            </w:r>
          </w:p>
        </w:tc>
        <w:tc>
          <w:tcPr>
            <w:tcW w:w="2120" w:type="dxa"/>
            <w:tcBorders>
              <w:top w:val="nil"/>
              <w:left w:val="nil"/>
              <w:bottom w:val="single" w:sz="4" w:space="0" w:color="auto"/>
              <w:right w:val="nil"/>
            </w:tcBorders>
            <w:shd w:val="clear" w:color="auto" w:fill="auto"/>
            <w:hideMark/>
          </w:tcPr>
          <w:p w14:paraId="1DF8A15A"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p>
        </w:tc>
        <w:tc>
          <w:tcPr>
            <w:tcW w:w="2925" w:type="dxa"/>
            <w:tcBorders>
              <w:top w:val="nil"/>
              <w:left w:val="nil"/>
              <w:bottom w:val="single" w:sz="4" w:space="0" w:color="auto"/>
              <w:right w:val="nil"/>
            </w:tcBorders>
            <w:shd w:val="clear" w:color="auto" w:fill="auto"/>
            <w:hideMark/>
          </w:tcPr>
          <w:p w14:paraId="6652ADD8" w14:textId="77777777" w:rsidR="00724D10" w:rsidRPr="0022305D" w:rsidRDefault="00724D10" w:rsidP="00A52602">
            <w:pPr>
              <w:spacing w:after="0" w:line="480" w:lineRule="auto"/>
              <w:rPr>
                <w:rFonts w:asciiTheme="majorHAnsi" w:eastAsia="Times New Roman" w:hAnsiTheme="majorHAnsi" w:cstheme="majorHAnsi"/>
                <w:sz w:val="24"/>
                <w:szCs w:val="24"/>
              </w:rPr>
            </w:pPr>
          </w:p>
        </w:tc>
        <w:tc>
          <w:tcPr>
            <w:tcW w:w="1325" w:type="dxa"/>
            <w:tcBorders>
              <w:top w:val="nil"/>
              <w:left w:val="nil"/>
              <w:bottom w:val="single" w:sz="4" w:space="0" w:color="auto"/>
              <w:right w:val="nil"/>
            </w:tcBorders>
            <w:shd w:val="clear" w:color="auto" w:fill="auto"/>
            <w:hideMark/>
          </w:tcPr>
          <w:p w14:paraId="0CE4217F" w14:textId="77777777" w:rsidR="00724D10" w:rsidRPr="0022305D" w:rsidRDefault="00724D10" w:rsidP="00A52602">
            <w:pPr>
              <w:spacing w:after="0" w:line="480" w:lineRule="auto"/>
              <w:rPr>
                <w:rFonts w:asciiTheme="majorHAnsi" w:eastAsia="Times New Roman" w:hAnsiTheme="majorHAnsi" w:cstheme="majorHAnsi"/>
                <w:sz w:val="24"/>
                <w:szCs w:val="24"/>
              </w:rPr>
            </w:pPr>
          </w:p>
        </w:tc>
      </w:tr>
    </w:tbl>
    <w:p w14:paraId="5607CF49" w14:textId="6587BA93" w:rsidR="00724D10" w:rsidRPr="006E6AAA" w:rsidRDefault="006E6AAA" w:rsidP="00724D10">
      <w:pPr>
        <w:pStyle w:val="Caption"/>
        <w:keepNext/>
        <w:spacing w:line="480" w:lineRule="auto"/>
        <w:rPr>
          <w:rFonts w:asciiTheme="majorHAnsi" w:hAnsiTheme="majorHAnsi" w:cstheme="majorHAnsi"/>
          <w:i w:val="0"/>
          <w:iCs w:val="0"/>
          <w:color w:val="auto"/>
          <w:sz w:val="24"/>
          <w:szCs w:val="24"/>
        </w:rPr>
      </w:pPr>
      <w:r w:rsidRPr="006E6AAA">
        <w:rPr>
          <w:rFonts w:asciiTheme="majorHAnsi" w:hAnsiTheme="majorHAnsi" w:cstheme="majorHAnsi"/>
          <w:i w:val="0"/>
          <w:iCs w:val="0"/>
          <w:color w:val="auto"/>
          <w:sz w:val="24"/>
          <w:szCs w:val="24"/>
        </w:rPr>
        <w:t>Source: Research findings (2021)</w:t>
      </w:r>
    </w:p>
    <w:p w14:paraId="54417E17" w14:textId="77777777" w:rsidR="00C910B5" w:rsidRPr="00ED3DDE" w:rsidRDefault="00C910B5" w:rsidP="00C910B5">
      <w:pPr>
        <w:spacing w:after="0" w:line="480" w:lineRule="auto"/>
        <w:ind w:firstLine="720"/>
        <w:rPr>
          <w:rFonts w:asciiTheme="majorHAnsi" w:eastAsia="Times New Roman" w:hAnsiTheme="majorHAnsi" w:cstheme="majorHAnsi"/>
          <w:sz w:val="30"/>
          <w:szCs w:val="30"/>
        </w:rPr>
      </w:pPr>
      <w:r w:rsidRPr="00D656A9">
        <w:rPr>
          <w:rFonts w:asciiTheme="majorHAnsi" w:hAnsiTheme="majorHAnsi" w:cstheme="majorHAnsi"/>
          <w:sz w:val="24"/>
          <w:szCs w:val="24"/>
        </w:rPr>
        <w:t>The findings indicated that there was a significant relationship at the p&lt;.0</w:t>
      </w:r>
      <w:r>
        <w:rPr>
          <w:rFonts w:asciiTheme="majorHAnsi" w:hAnsiTheme="majorHAnsi" w:cstheme="majorHAnsi"/>
          <w:sz w:val="24"/>
          <w:szCs w:val="24"/>
        </w:rPr>
        <w:t>01</w:t>
      </w:r>
      <w:r w:rsidRPr="00D656A9">
        <w:rPr>
          <w:rFonts w:asciiTheme="majorHAnsi" w:hAnsiTheme="majorHAnsi" w:cstheme="majorHAnsi"/>
          <w:sz w:val="24"/>
          <w:szCs w:val="24"/>
        </w:rPr>
        <w:t xml:space="preserve"> level F</w:t>
      </w:r>
      <w:r>
        <w:rPr>
          <w:rFonts w:asciiTheme="majorHAnsi" w:hAnsiTheme="majorHAnsi" w:cstheme="majorHAnsi"/>
          <w:sz w:val="24"/>
          <w:szCs w:val="24"/>
        </w:rPr>
        <w:t xml:space="preserve"> </w:t>
      </w:r>
      <w:r w:rsidRPr="00D656A9">
        <w:rPr>
          <w:rFonts w:asciiTheme="majorHAnsi" w:hAnsiTheme="majorHAnsi" w:cstheme="majorHAnsi"/>
          <w:sz w:val="24"/>
          <w:szCs w:val="24"/>
        </w:rPr>
        <w:t xml:space="preserve">(2, 34) = 10.32, </w:t>
      </w:r>
      <w:r>
        <w:rPr>
          <w:rFonts w:asciiTheme="majorHAnsi" w:hAnsiTheme="majorHAnsi" w:cstheme="majorHAnsi"/>
          <w:sz w:val="24"/>
          <w:szCs w:val="24"/>
        </w:rPr>
        <w:t>p</w:t>
      </w:r>
      <w:r w:rsidRPr="00D656A9">
        <w:rPr>
          <w:rFonts w:asciiTheme="majorHAnsi" w:hAnsiTheme="majorHAnsi" w:cstheme="majorHAnsi"/>
          <w:sz w:val="24"/>
          <w:szCs w:val="24"/>
        </w:rPr>
        <w:t xml:space="preserve"> </w:t>
      </w:r>
      <w:r>
        <w:rPr>
          <w:rFonts w:asciiTheme="majorHAnsi" w:hAnsiTheme="majorHAnsi" w:cstheme="majorHAnsi"/>
          <w:sz w:val="24"/>
          <w:szCs w:val="24"/>
        </w:rPr>
        <w:t>&lt;</w:t>
      </w:r>
      <w:r w:rsidRPr="00D656A9">
        <w:rPr>
          <w:rFonts w:asciiTheme="majorHAnsi" w:hAnsiTheme="majorHAnsi" w:cstheme="majorHAnsi"/>
          <w:sz w:val="24"/>
          <w:szCs w:val="24"/>
        </w:rPr>
        <w:t>0.00</w:t>
      </w:r>
      <w:r>
        <w:rPr>
          <w:rFonts w:asciiTheme="majorHAnsi" w:hAnsiTheme="majorHAnsi" w:cstheme="majorHAnsi"/>
          <w:sz w:val="24"/>
          <w:szCs w:val="24"/>
        </w:rPr>
        <w:t>1</w:t>
      </w:r>
      <w:r>
        <w:rPr>
          <w:rFonts w:asciiTheme="majorHAnsi" w:eastAsia="Times New Roman" w:hAnsiTheme="majorHAnsi" w:cstheme="majorHAnsi"/>
          <w:sz w:val="24"/>
          <w:szCs w:val="24"/>
        </w:rPr>
        <w:t xml:space="preserve">. This indicates that the model accounts for more than 10 times variation is attributed to solvency when compared to residuals. </w:t>
      </w:r>
      <w:r w:rsidRPr="0022305D">
        <w:rPr>
          <w:rFonts w:asciiTheme="majorHAnsi" w:eastAsia="Times New Roman" w:hAnsiTheme="majorHAnsi" w:cstheme="majorHAnsi"/>
          <w:sz w:val="24"/>
          <w:szCs w:val="24"/>
        </w:rPr>
        <w:t>This suggests that the model is not biased and there was goodness of fit hence the model was fit to predict the relationship between solvency and profitability of commercial banks in Kenya. The table below shows the results of the model.</w:t>
      </w:r>
    </w:p>
    <w:p w14:paraId="04A7F5F2" w14:textId="77777777" w:rsidR="00724D10" w:rsidRPr="0022305D" w:rsidRDefault="00724D10" w:rsidP="00724D10">
      <w:pPr>
        <w:autoSpaceDE w:val="0"/>
        <w:autoSpaceDN w:val="0"/>
        <w:adjustRightInd w:val="0"/>
        <w:spacing w:after="0" w:line="480" w:lineRule="auto"/>
        <w:rPr>
          <w:rFonts w:asciiTheme="majorHAnsi" w:hAnsiTheme="majorHAnsi" w:cstheme="majorHAnsi"/>
          <w:sz w:val="24"/>
          <w:szCs w:val="24"/>
        </w:rPr>
      </w:pPr>
    </w:p>
    <w:p w14:paraId="3A92F0E6" w14:textId="48D03967" w:rsidR="00724D10" w:rsidRPr="00C553FC" w:rsidRDefault="00724D10" w:rsidP="004478B6">
      <w:pPr>
        <w:pStyle w:val="Heading2"/>
        <w:spacing w:line="480" w:lineRule="auto"/>
        <w:jc w:val="left"/>
        <w:rPr>
          <w:rFonts w:asciiTheme="majorHAnsi" w:hAnsiTheme="majorHAnsi" w:cstheme="majorHAnsi"/>
          <w:sz w:val="28"/>
          <w:szCs w:val="28"/>
        </w:rPr>
      </w:pPr>
      <w:bookmarkStart w:id="110" w:name="_Toc76494420"/>
      <w:bookmarkStart w:id="111" w:name="_Toc78205813"/>
      <w:r w:rsidRPr="00C553FC">
        <w:rPr>
          <w:rFonts w:asciiTheme="majorHAnsi" w:hAnsiTheme="majorHAnsi" w:cstheme="majorHAnsi"/>
          <w:sz w:val="28"/>
          <w:szCs w:val="28"/>
        </w:rPr>
        <w:t>Coeffic</w:t>
      </w:r>
      <w:r w:rsidR="00486F63" w:rsidRPr="00C553FC">
        <w:rPr>
          <w:rFonts w:asciiTheme="majorHAnsi" w:hAnsiTheme="majorHAnsi" w:cstheme="majorHAnsi"/>
          <w:sz w:val="28"/>
          <w:szCs w:val="28"/>
        </w:rPr>
        <w:t>i</w:t>
      </w:r>
      <w:r w:rsidRPr="00C553FC">
        <w:rPr>
          <w:rFonts w:asciiTheme="majorHAnsi" w:hAnsiTheme="majorHAnsi" w:cstheme="majorHAnsi"/>
          <w:sz w:val="28"/>
          <w:szCs w:val="28"/>
        </w:rPr>
        <w:t>ents</w:t>
      </w:r>
      <w:bookmarkEnd w:id="110"/>
      <w:bookmarkEnd w:id="111"/>
    </w:p>
    <w:p w14:paraId="7736F56A" w14:textId="4D3F274C" w:rsidR="00C910B5" w:rsidRDefault="00C910B5" w:rsidP="00C910B5">
      <w:pPr>
        <w:spacing w:line="480" w:lineRule="auto"/>
        <w:ind w:firstLine="720"/>
        <w:rPr>
          <w:rFonts w:asciiTheme="majorHAnsi" w:hAnsiTheme="majorHAnsi" w:cstheme="majorHAnsi"/>
          <w:sz w:val="24"/>
          <w:szCs w:val="24"/>
        </w:rPr>
      </w:pPr>
      <w:r w:rsidRPr="00C910B5">
        <w:rPr>
          <w:rFonts w:asciiTheme="majorHAnsi" w:hAnsiTheme="majorHAnsi" w:cstheme="majorHAnsi"/>
          <w:sz w:val="24"/>
          <w:szCs w:val="24"/>
        </w:rPr>
        <w:t xml:space="preserve">Regression coefficients were tested for significance using t-statistic at 5% level of significance and conclusions drawn. The beta coefficients </w:t>
      </w:r>
      <w:r>
        <w:rPr>
          <w:rFonts w:asciiTheme="majorHAnsi" w:hAnsiTheme="majorHAnsi" w:cstheme="majorHAnsi"/>
          <w:sz w:val="24"/>
          <w:szCs w:val="24"/>
        </w:rPr>
        <w:t>indicated</w:t>
      </w:r>
      <w:r w:rsidRPr="00C910B5">
        <w:rPr>
          <w:rFonts w:asciiTheme="majorHAnsi" w:hAnsiTheme="majorHAnsi" w:cstheme="majorHAnsi"/>
          <w:sz w:val="24"/>
          <w:szCs w:val="24"/>
        </w:rPr>
        <w:t xml:space="preserve"> the </w:t>
      </w:r>
      <w:r>
        <w:rPr>
          <w:rFonts w:asciiTheme="majorHAnsi" w:hAnsiTheme="majorHAnsi" w:cstheme="majorHAnsi"/>
          <w:sz w:val="24"/>
          <w:szCs w:val="24"/>
        </w:rPr>
        <w:t xml:space="preserve">direction </w:t>
      </w:r>
      <w:r w:rsidRPr="00C910B5">
        <w:rPr>
          <w:rFonts w:asciiTheme="majorHAnsi" w:hAnsiTheme="majorHAnsi" w:cstheme="majorHAnsi"/>
          <w:sz w:val="24"/>
          <w:szCs w:val="24"/>
        </w:rPr>
        <w:t xml:space="preserve">of relationship </w:t>
      </w:r>
      <w:r>
        <w:rPr>
          <w:rFonts w:asciiTheme="majorHAnsi" w:hAnsiTheme="majorHAnsi" w:cstheme="majorHAnsi"/>
          <w:sz w:val="24"/>
          <w:szCs w:val="24"/>
        </w:rPr>
        <w:t xml:space="preserve">between solvency and profitability of commercial banks in Kenya. </w:t>
      </w:r>
      <w:r w:rsidR="00D42D99">
        <w:rPr>
          <w:rFonts w:asciiTheme="majorHAnsi" w:hAnsiTheme="majorHAnsi" w:cstheme="majorHAnsi"/>
          <w:sz w:val="24"/>
          <w:szCs w:val="24"/>
        </w:rPr>
        <w:t>The</w:t>
      </w:r>
      <w:r w:rsidRPr="00C910B5">
        <w:rPr>
          <w:rFonts w:asciiTheme="majorHAnsi" w:hAnsiTheme="majorHAnsi" w:cstheme="majorHAnsi"/>
          <w:sz w:val="24"/>
          <w:szCs w:val="24"/>
        </w:rPr>
        <w:t xml:space="preserve"> P-value was used to </w:t>
      </w:r>
      <w:r w:rsidR="00D42D99">
        <w:rPr>
          <w:rFonts w:asciiTheme="majorHAnsi" w:hAnsiTheme="majorHAnsi" w:cstheme="majorHAnsi"/>
          <w:sz w:val="24"/>
          <w:szCs w:val="24"/>
        </w:rPr>
        <w:t>assess</w:t>
      </w:r>
      <w:r w:rsidRPr="00C910B5">
        <w:rPr>
          <w:rFonts w:asciiTheme="majorHAnsi" w:hAnsiTheme="majorHAnsi" w:cstheme="majorHAnsi"/>
          <w:sz w:val="24"/>
          <w:szCs w:val="24"/>
        </w:rPr>
        <w:t xml:space="preserve"> </w:t>
      </w:r>
      <w:r w:rsidR="00D42D99">
        <w:rPr>
          <w:rFonts w:asciiTheme="majorHAnsi" w:hAnsiTheme="majorHAnsi" w:cstheme="majorHAnsi"/>
          <w:sz w:val="24"/>
          <w:szCs w:val="24"/>
        </w:rPr>
        <w:t xml:space="preserve">whether the </w:t>
      </w:r>
      <w:r w:rsidRPr="00C910B5">
        <w:rPr>
          <w:rFonts w:asciiTheme="majorHAnsi" w:hAnsiTheme="majorHAnsi" w:cstheme="majorHAnsi"/>
          <w:sz w:val="24"/>
          <w:szCs w:val="24"/>
        </w:rPr>
        <w:t xml:space="preserve">hypothesis </w:t>
      </w:r>
      <w:r w:rsidR="00D42D99">
        <w:rPr>
          <w:rFonts w:asciiTheme="majorHAnsi" w:hAnsiTheme="majorHAnsi" w:cstheme="majorHAnsi"/>
          <w:sz w:val="24"/>
          <w:szCs w:val="24"/>
        </w:rPr>
        <w:t>will be rejected or not.</w:t>
      </w:r>
    </w:p>
    <w:p w14:paraId="0AD35FC3" w14:textId="321CC654" w:rsidR="00392CA8" w:rsidRDefault="00392CA8" w:rsidP="00C910B5">
      <w:pPr>
        <w:spacing w:line="480" w:lineRule="auto"/>
        <w:ind w:firstLine="720"/>
        <w:rPr>
          <w:rFonts w:asciiTheme="majorHAnsi" w:hAnsiTheme="majorHAnsi" w:cstheme="majorHAnsi"/>
          <w:sz w:val="24"/>
          <w:szCs w:val="24"/>
        </w:rPr>
      </w:pPr>
    </w:p>
    <w:p w14:paraId="14F142C9" w14:textId="1BE8E0C3" w:rsidR="00392CA8" w:rsidRDefault="00392CA8" w:rsidP="00C910B5">
      <w:pPr>
        <w:spacing w:line="480" w:lineRule="auto"/>
        <w:ind w:firstLine="720"/>
        <w:rPr>
          <w:rFonts w:asciiTheme="majorHAnsi" w:hAnsiTheme="majorHAnsi" w:cstheme="majorHAnsi"/>
          <w:sz w:val="24"/>
          <w:szCs w:val="24"/>
        </w:rPr>
      </w:pPr>
    </w:p>
    <w:p w14:paraId="50035C33" w14:textId="77777777" w:rsidR="00392CA8" w:rsidRPr="00C910B5" w:rsidRDefault="00392CA8" w:rsidP="00C910B5">
      <w:pPr>
        <w:spacing w:line="480" w:lineRule="auto"/>
        <w:ind w:firstLine="720"/>
      </w:pPr>
    </w:p>
    <w:p w14:paraId="224B4F4E" w14:textId="24F5B984" w:rsidR="004E4CA3" w:rsidRPr="004E4CA3" w:rsidRDefault="004E4CA3" w:rsidP="004E4CA3">
      <w:pPr>
        <w:pStyle w:val="Caption"/>
        <w:keepNext/>
        <w:rPr>
          <w:rFonts w:ascii="Times New Roman" w:hAnsi="Times New Roman" w:cs="Times New Roman"/>
          <w:color w:val="auto"/>
          <w:sz w:val="24"/>
          <w:szCs w:val="24"/>
        </w:rPr>
      </w:pPr>
      <w:bookmarkStart w:id="112" w:name="_Toc78205374"/>
      <w:r w:rsidRPr="004E4CA3">
        <w:rPr>
          <w:rFonts w:ascii="Times New Roman" w:hAnsi="Times New Roman" w:cs="Times New Roman"/>
          <w:i w:val="0"/>
          <w:iCs w:val="0"/>
          <w:color w:val="auto"/>
          <w:sz w:val="24"/>
          <w:szCs w:val="24"/>
        </w:rPr>
        <w:t xml:space="preserve">Table </w:t>
      </w:r>
      <w:r w:rsidRPr="004E4CA3">
        <w:rPr>
          <w:rFonts w:ascii="Times New Roman" w:hAnsi="Times New Roman" w:cs="Times New Roman"/>
          <w:i w:val="0"/>
          <w:iCs w:val="0"/>
          <w:color w:val="auto"/>
          <w:sz w:val="24"/>
          <w:szCs w:val="24"/>
        </w:rPr>
        <w:fldChar w:fldCharType="begin"/>
      </w:r>
      <w:r w:rsidRPr="004E4CA3">
        <w:rPr>
          <w:rFonts w:ascii="Times New Roman" w:hAnsi="Times New Roman" w:cs="Times New Roman"/>
          <w:i w:val="0"/>
          <w:iCs w:val="0"/>
          <w:color w:val="auto"/>
          <w:sz w:val="24"/>
          <w:szCs w:val="24"/>
        </w:rPr>
        <w:instrText xml:space="preserve"> SEQ Table \* ARABIC </w:instrText>
      </w:r>
      <w:r w:rsidRPr="004E4CA3">
        <w:rPr>
          <w:rFonts w:ascii="Times New Roman" w:hAnsi="Times New Roman" w:cs="Times New Roman"/>
          <w:i w:val="0"/>
          <w:iCs w:val="0"/>
          <w:color w:val="auto"/>
          <w:sz w:val="24"/>
          <w:szCs w:val="24"/>
        </w:rPr>
        <w:fldChar w:fldCharType="separate"/>
      </w:r>
      <w:r w:rsidR="00392CA8">
        <w:rPr>
          <w:rFonts w:ascii="Times New Roman" w:hAnsi="Times New Roman" w:cs="Times New Roman"/>
          <w:i w:val="0"/>
          <w:iCs w:val="0"/>
          <w:noProof/>
          <w:color w:val="auto"/>
          <w:sz w:val="24"/>
          <w:szCs w:val="24"/>
        </w:rPr>
        <w:t>9</w:t>
      </w:r>
      <w:r w:rsidRPr="004E4CA3">
        <w:rPr>
          <w:rFonts w:ascii="Times New Roman" w:hAnsi="Times New Roman" w:cs="Times New Roman"/>
          <w:i w:val="0"/>
          <w:iCs w:val="0"/>
          <w:color w:val="auto"/>
          <w:sz w:val="24"/>
          <w:szCs w:val="24"/>
        </w:rPr>
        <w:fldChar w:fldCharType="end"/>
      </w:r>
      <w:r w:rsidRPr="004E4CA3">
        <w:rPr>
          <w:rFonts w:ascii="Times New Roman" w:hAnsi="Times New Roman" w:cs="Times New Roman"/>
          <w:i w:val="0"/>
          <w:iCs w:val="0"/>
          <w:color w:val="auto"/>
          <w:sz w:val="24"/>
          <w:szCs w:val="24"/>
        </w:rPr>
        <w:t>.0</w:t>
      </w:r>
      <w:r w:rsidRPr="004E4CA3">
        <w:rPr>
          <w:rFonts w:ascii="Times New Roman" w:hAnsi="Times New Roman" w:cs="Times New Roman"/>
          <w:color w:val="auto"/>
          <w:sz w:val="24"/>
          <w:szCs w:val="24"/>
        </w:rPr>
        <w:t xml:space="preserve"> Coefficients table</w:t>
      </w:r>
      <w:bookmarkEnd w:id="112"/>
    </w:p>
    <w:tbl>
      <w:tblPr>
        <w:tblW w:w="10160" w:type="dxa"/>
        <w:tblLook w:val="04A0" w:firstRow="1" w:lastRow="0" w:firstColumn="1" w:lastColumn="0" w:noHBand="0" w:noVBand="1"/>
      </w:tblPr>
      <w:tblGrid>
        <w:gridCol w:w="336"/>
        <w:gridCol w:w="2197"/>
        <w:gridCol w:w="1904"/>
        <w:gridCol w:w="1643"/>
        <w:gridCol w:w="2688"/>
        <w:gridCol w:w="756"/>
        <w:gridCol w:w="636"/>
      </w:tblGrid>
      <w:tr w:rsidR="00724D10" w:rsidRPr="0022305D" w14:paraId="75DB3703" w14:textId="77777777" w:rsidTr="00A52602">
        <w:trPr>
          <w:trHeight w:val="300"/>
        </w:trPr>
        <w:tc>
          <w:tcPr>
            <w:tcW w:w="10160" w:type="dxa"/>
            <w:gridSpan w:val="7"/>
            <w:tcBorders>
              <w:top w:val="nil"/>
              <w:left w:val="nil"/>
              <w:bottom w:val="nil"/>
              <w:right w:val="nil"/>
            </w:tcBorders>
            <w:shd w:val="clear" w:color="auto" w:fill="auto"/>
            <w:vAlign w:val="center"/>
            <w:hideMark/>
          </w:tcPr>
          <w:p w14:paraId="1BED3371" w14:textId="77777777" w:rsidR="00724D10" w:rsidRPr="0022305D" w:rsidRDefault="00724D10" w:rsidP="00A52602">
            <w:pPr>
              <w:spacing w:after="0" w:line="480" w:lineRule="auto"/>
              <w:rPr>
                <w:rFonts w:asciiTheme="majorHAnsi" w:eastAsia="Times New Roman" w:hAnsiTheme="majorHAnsi" w:cstheme="majorHAnsi"/>
                <w:b/>
                <w:bCs/>
                <w:color w:val="000000"/>
                <w:sz w:val="24"/>
                <w:szCs w:val="24"/>
              </w:rPr>
            </w:pPr>
          </w:p>
        </w:tc>
      </w:tr>
      <w:tr w:rsidR="00724D10" w:rsidRPr="0022305D" w14:paraId="023FE12D" w14:textId="77777777" w:rsidTr="008712B4">
        <w:trPr>
          <w:trHeight w:val="615"/>
        </w:trPr>
        <w:tc>
          <w:tcPr>
            <w:tcW w:w="2533" w:type="dxa"/>
            <w:gridSpan w:val="2"/>
            <w:tcBorders>
              <w:top w:val="single" w:sz="4" w:space="0" w:color="auto"/>
              <w:left w:val="nil"/>
              <w:bottom w:val="single" w:sz="4" w:space="0" w:color="auto"/>
              <w:right w:val="nil"/>
            </w:tcBorders>
            <w:shd w:val="clear" w:color="auto" w:fill="auto"/>
            <w:vAlign w:val="bottom"/>
            <w:hideMark/>
          </w:tcPr>
          <w:p w14:paraId="75DA5A6F" w14:textId="77777777" w:rsidR="00724D10" w:rsidRPr="0022305D" w:rsidRDefault="00724D10" w:rsidP="00A52602">
            <w:pPr>
              <w:spacing w:after="0" w:line="480" w:lineRule="auto"/>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Model</w:t>
            </w:r>
          </w:p>
        </w:tc>
        <w:tc>
          <w:tcPr>
            <w:tcW w:w="3547" w:type="dxa"/>
            <w:gridSpan w:val="2"/>
            <w:tcBorders>
              <w:top w:val="single" w:sz="4" w:space="0" w:color="auto"/>
              <w:left w:val="nil"/>
              <w:bottom w:val="single" w:sz="4" w:space="0" w:color="auto"/>
              <w:right w:val="nil"/>
            </w:tcBorders>
            <w:shd w:val="clear" w:color="auto" w:fill="auto"/>
            <w:vAlign w:val="bottom"/>
            <w:hideMark/>
          </w:tcPr>
          <w:p w14:paraId="54CC4757" w14:textId="77777777" w:rsidR="00724D10" w:rsidRPr="0022305D" w:rsidRDefault="00724D10" w:rsidP="00A52602">
            <w:pPr>
              <w:spacing w:after="0" w:line="480" w:lineRule="auto"/>
              <w:jc w:val="center"/>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Unstandardized Coefficients</w:t>
            </w:r>
          </w:p>
        </w:tc>
        <w:tc>
          <w:tcPr>
            <w:tcW w:w="2688" w:type="dxa"/>
            <w:tcBorders>
              <w:top w:val="single" w:sz="4" w:space="0" w:color="auto"/>
              <w:left w:val="nil"/>
              <w:bottom w:val="single" w:sz="4" w:space="0" w:color="auto"/>
              <w:right w:val="nil"/>
            </w:tcBorders>
            <w:shd w:val="clear" w:color="auto" w:fill="auto"/>
            <w:vAlign w:val="bottom"/>
            <w:hideMark/>
          </w:tcPr>
          <w:p w14:paraId="3BD9A78D" w14:textId="77777777" w:rsidR="00724D10" w:rsidRPr="0022305D" w:rsidRDefault="00724D10" w:rsidP="00A52602">
            <w:pPr>
              <w:spacing w:after="0" w:line="480" w:lineRule="auto"/>
              <w:jc w:val="center"/>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Standardized Coefficients</w:t>
            </w:r>
          </w:p>
        </w:tc>
        <w:tc>
          <w:tcPr>
            <w:tcW w:w="756" w:type="dxa"/>
            <w:tcBorders>
              <w:top w:val="single" w:sz="4" w:space="0" w:color="auto"/>
              <w:left w:val="nil"/>
              <w:bottom w:val="single" w:sz="4" w:space="0" w:color="auto"/>
              <w:right w:val="nil"/>
            </w:tcBorders>
            <w:shd w:val="clear" w:color="auto" w:fill="auto"/>
            <w:vAlign w:val="bottom"/>
            <w:hideMark/>
          </w:tcPr>
          <w:p w14:paraId="27FDA8FC" w14:textId="77777777" w:rsidR="00724D10" w:rsidRPr="0022305D" w:rsidRDefault="00724D10" w:rsidP="00A52602">
            <w:pPr>
              <w:spacing w:after="0" w:line="480" w:lineRule="auto"/>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t</w:t>
            </w:r>
          </w:p>
        </w:tc>
        <w:tc>
          <w:tcPr>
            <w:tcW w:w="636" w:type="dxa"/>
            <w:tcBorders>
              <w:top w:val="single" w:sz="4" w:space="0" w:color="auto"/>
              <w:left w:val="nil"/>
              <w:bottom w:val="single" w:sz="4" w:space="0" w:color="auto"/>
              <w:right w:val="nil"/>
            </w:tcBorders>
            <w:shd w:val="clear" w:color="auto" w:fill="auto"/>
            <w:vAlign w:val="bottom"/>
            <w:hideMark/>
          </w:tcPr>
          <w:p w14:paraId="4948A071" w14:textId="77777777" w:rsidR="00724D10" w:rsidRPr="0022305D" w:rsidRDefault="00724D10" w:rsidP="00A52602">
            <w:pPr>
              <w:spacing w:after="0" w:line="480" w:lineRule="auto"/>
              <w:jc w:val="center"/>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Sig.</w:t>
            </w:r>
          </w:p>
        </w:tc>
      </w:tr>
      <w:tr w:rsidR="00724D10" w:rsidRPr="0022305D" w14:paraId="77A6170D" w14:textId="77777777" w:rsidTr="008712B4">
        <w:trPr>
          <w:trHeight w:val="300"/>
        </w:trPr>
        <w:tc>
          <w:tcPr>
            <w:tcW w:w="2533" w:type="dxa"/>
            <w:gridSpan w:val="2"/>
            <w:tcBorders>
              <w:top w:val="single" w:sz="4" w:space="0" w:color="auto"/>
              <w:left w:val="nil"/>
              <w:bottom w:val="nil"/>
              <w:right w:val="nil"/>
            </w:tcBorders>
            <w:vAlign w:val="center"/>
            <w:hideMark/>
          </w:tcPr>
          <w:p w14:paraId="67AE31D2" w14:textId="77777777" w:rsidR="00724D10" w:rsidRPr="0022305D" w:rsidRDefault="00724D10" w:rsidP="00A52602">
            <w:pPr>
              <w:spacing w:after="0" w:line="480" w:lineRule="auto"/>
              <w:rPr>
                <w:rFonts w:asciiTheme="majorHAnsi" w:eastAsia="Times New Roman" w:hAnsiTheme="majorHAnsi" w:cstheme="majorHAnsi"/>
                <w:b/>
                <w:bCs/>
                <w:color w:val="000000"/>
                <w:sz w:val="24"/>
                <w:szCs w:val="24"/>
              </w:rPr>
            </w:pPr>
          </w:p>
        </w:tc>
        <w:tc>
          <w:tcPr>
            <w:tcW w:w="1904" w:type="dxa"/>
            <w:tcBorders>
              <w:top w:val="single" w:sz="4" w:space="0" w:color="auto"/>
              <w:left w:val="nil"/>
              <w:bottom w:val="nil"/>
              <w:right w:val="nil"/>
            </w:tcBorders>
            <w:shd w:val="clear" w:color="auto" w:fill="auto"/>
            <w:vAlign w:val="bottom"/>
            <w:hideMark/>
          </w:tcPr>
          <w:p w14:paraId="20BA2128" w14:textId="77777777" w:rsidR="00724D10" w:rsidRPr="0022305D" w:rsidRDefault="00724D10" w:rsidP="00A52602">
            <w:pPr>
              <w:spacing w:after="0" w:line="480" w:lineRule="auto"/>
              <w:jc w:val="center"/>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B</w:t>
            </w:r>
          </w:p>
        </w:tc>
        <w:tc>
          <w:tcPr>
            <w:tcW w:w="1643" w:type="dxa"/>
            <w:tcBorders>
              <w:top w:val="single" w:sz="4" w:space="0" w:color="auto"/>
              <w:left w:val="nil"/>
              <w:bottom w:val="nil"/>
              <w:right w:val="nil"/>
            </w:tcBorders>
            <w:shd w:val="clear" w:color="auto" w:fill="auto"/>
            <w:vAlign w:val="bottom"/>
            <w:hideMark/>
          </w:tcPr>
          <w:p w14:paraId="1F96BA2C" w14:textId="77777777" w:rsidR="00724D10" w:rsidRPr="0022305D" w:rsidRDefault="00724D10" w:rsidP="00A52602">
            <w:pPr>
              <w:spacing w:after="0" w:line="480" w:lineRule="auto"/>
              <w:jc w:val="center"/>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Std. Error</w:t>
            </w:r>
          </w:p>
        </w:tc>
        <w:tc>
          <w:tcPr>
            <w:tcW w:w="2688" w:type="dxa"/>
            <w:tcBorders>
              <w:top w:val="single" w:sz="4" w:space="0" w:color="auto"/>
              <w:left w:val="nil"/>
              <w:bottom w:val="nil"/>
              <w:right w:val="nil"/>
            </w:tcBorders>
            <w:shd w:val="clear" w:color="auto" w:fill="auto"/>
            <w:vAlign w:val="bottom"/>
            <w:hideMark/>
          </w:tcPr>
          <w:p w14:paraId="7470FE20" w14:textId="77777777" w:rsidR="00724D10" w:rsidRPr="0022305D" w:rsidRDefault="00724D10" w:rsidP="00A52602">
            <w:pPr>
              <w:spacing w:after="0" w:line="480" w:lineRule="auto"/>
              <w:jc w:val="center"/>
              <w:rPr>
                <w:rFonts w:asciiTheme="majorHAnsi" w:eastAsia="Times New Roman" w:hAnsiTheme="majorHAnsi" w:cstheme="majorHAnsi"/>
                <w:b/>
                <w:bCs/>
                <w:color w:val="000000"/>
                <w:sz w:val="24"/>
                <w:szCs w:val="24"/>
              </w:rPr>
            </w:pPr>
            <w:r w:rsidRPr="0022305D">
              <w:rPr>
                <w:rFonts w:asciiTheme="majorHAnsi" w:eastAsia="Times New Roman" w:hAnsiTheme="majorHAnsi" w:cstheme="majorHAnsi"/>
                <w:b/>
                <w:bCs/>
                <w:color w:val="000000"/>
                <w:sz w:val="24"/>
                <w:szCs w:val="24"/>
              </w:rPr>
              <w:t>Beta</w:t>
            </w:r>
          </w:p>
        </w:tc>
        <w:tc>
          <w:tcPr>
            <w:tcW w:w="756" w:type="dxa"/>
            <w:tcBorders>
              <w:top w:val="single" w:sz="4" w:space="0" w:color="auto"/>
              <w:left w:val="nil"/>
              <w:bottom w:val="nil"/>
              <w:right w:val="nil"/>
            </w:tcBorders>
            <w:vAlign w:val="center"/>
            <w:hideMark/>
          </w:tcPr>
          <w:p w14:paraId="2DD21128" w14:textId="77777777" w:rsidR="00724D10" w:rsidRPr="0022305D" w:rsidRDefault="00724D10" w:rsidP="00A52602">
            <w:pPr>
              <w:spacing w:after="0" w:line="480" w:lineRule="auto"/>
              <w:rPr>
                <w:rFonts w:asciiTheme="majorHAnsi" w:eastAsia="Times New Roman" w:hAnsiTheme="majorHAnsi" w:cstheme="majorHAnsi"/>
                <w:b/>
                <w:bCs/>
                <w:color w:val="000000"/>
                <w:sz w:val="24"/>
                <w:szCs w:val="24"/>
              </w:rPr>
            </w:pPr>
          </w:p>
        </w:tc>
        <w:tc>
          <w:tcPr>
            <w:tcW w:w="636" w:type="dxa"/>
            <w:tcBorders>
              <w:top w:val="single" w:sz="4" w:space="0" w:color="auto"/>
              <w:left w:val="nil"/>
              <w:bottom w:val="nil"/>
              <w:right w:val="nil"/>
            </w:tcBorders>
            <w:vAlign w:val="center"/>
            <w:hideMark/>
          </w:tcPr>
          <w:p w14:paraId="6EE8E500" w14:textId="77777777" w:rsidR="00724D10" w:rsidRPr="0022305D" w:rsidRDefault="00724D10" w:rsidP="00A52602">
            <w:pPr>
              <w:spacing w:after="0" w:line="480" w:lineRule="auto"/>
              <w:jc w:val="center"/>
              <w:rPr>
                <w:rFonts w:asciiTheme="majorHAnsi" w:eastAsia="Times New Roman" w:hAnsiTheme="majorHAnsi" w:cstheme="majorHAnsi"/>
                <w:b/>
                <w:bCs/>
                <w:color w:val="000000"/>
                <w:sz w:val="24"/>
                <w:szCs w:val="24"/>
              </w:rPr>
            </w:pPr>
          </w:p>
        </w:tc>
      </w:tr>
      <w:tr w:rsidR="00724D10" w:rsidRPr="0022305D" w14:paraId="28B668B0" w14:textId="77777777" w:rsidTr="00A52602">
        <w:trPr>
          <w:trHeight w:val="300"/>
        </w:trPr>
        <w:tc>
          <w:tcPr>
            <w:tcW w:w="336" w:type="dxa"/>
            <w:vMerge w:val="restart"/>
            <w:tcBorders>
              <w:top w:val="nil"/>
              <w:left w:val="nil"/>
              <w:bottom w:val="single" w:sz="4" w:space="0" w:color="000000"/>
              <w:right w:val="nil"/>
            </w:tcBorders>
            <w:shd w:val="clear" w:color="auto" w:fill="auto"/>
            <w:noWrap/>
            <w:hideMark/>
          </w:tcPr>
          <w:p w14:paraId="39CF36D9"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1</w:t>
            </w:r>
          </w:p>
        </w:tc>
        <w:tc>
          <w:tcPr>
            <w:tcW w:w="2197" w:type="dxa"/>
            <w:tcBorders>
              <w:top w:val="nil"/>
              <w:left w:val="nil"/>
              <w:bottom w:val="nil"/>
              <w:right w:val="nil"/>
            </w:tcBorders>
            <w:shd w:val="clear" w:color="auto" w:fill="auto"/>
            <w:hideMark/>
          </w:tcPr>
          <w:p w14:paraId="5D77F6AD"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(Constant)</w:t>
            </w:r>
          </w:p>
        </w:tc>
        <w:tc>
          <w:tcPr>
            <w:tcW w:w="1904" w:type="dxa"/>
            <w:tcBorders>
              <w:top w:val="nil"/>
              <w:left w:val="nil"/>
              <w:bottom w:val="nil"/>
              <w:right w:val="nil"/>
            </w:tcBorders>
            <w:shd w:val="clear" w:color="auto" w:fill="auto"/>
            <w:noWrap/>
            <w:hideMark/>
          </w:tcPr>
          <w:p w14:paraId="5E3F2E80" w14:textId="77777777" w:rsidR="00724D10" w:rsidRPr="0022305D" w:rsidRDefault="00724D10" w:rsidP="00A52602">
            <w:pPr>
              <w:spacing w:after="0" w:line="480" w:lineRule="auto"/>
              <w:jc w:val="center"/>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52.670</w:t>
            </w:r>
          </w:p>
        </w:tc>
        <w:tc>
          <w:tcPr>
            <w:tcW w:w="1643" w:type="dxa"/>
            <w:tcBorders>
              <w:top w:val="nil"/>
              <w:left w:val="nil"/>
              <w:bottom w:val="nil"/>
              <w:right w:val="nil"/>
            </w:tcBorders>
            <w:shd w:val="clear" w:color="auto" w:fill="auto"/>
            <w:noWrap/>
            <w:hideMark/>
          </w:tcPr>
          <w:p w14:paraId="38E7D4AB" w14:textId="77777777" w:rsidR="00724D10" w:rsidRPr="0022305D" w:rsidRDefault="00724D10" w:rsidP="00A52602">
            <w:pPr>
              <w:spacing w:after="0" w:line="480" w:lineRule="auto"/>
              <w:jc w:val="center"/>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11.912</w:t>
            </w:r>
          </w:p>
        </w:tc>
        <w:tc>
          <w:tcPr>
            <w:tcW w:w="2688" w:type="dxa"/>
            <w:tcBorders>
              <w:top w:val="nil"/>
              <w:left w:val="nil"/>
              <w:bottom w:val="nil"/>
              <w:right w:val="nil"/>
            </w:tcBorders>
            <w:shd w:val="clear" w:color="auto" w:fill="auto"/>
            <w:hideMark/>
          </w:tcPr>
          <w:p w14:paraId="30D67ABD"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p>
        </w:tc>
        <w:tc>
          <w:tcPr>
            <w:tcW w:w="756" w:type="dxa"/>
            <w:tcBorders>
              <w:top w:val="nil"/>
              <w:left w:val="nil"/>
              <w:bottom w:val="nil"/>
              <w:right w:val="nil"/>
            </w:tcBorders>
            <w:shd w:val="clear" w:color="auto" w:fill="auto"/>
            <w:noWrap/>
            <w:hideMark/>
          </w:tcPr>
          <w:p w14:paraId="2F2F7D9A" w14:textId="77777777" w:rsidR="00724D10" w:rsidRPr="0022305D" w:rsidRDefault="00724D10" w:rsidP="00A52602">
            <w:pPr>
              <w:spacing w:after="0" w:line="480" w:lineRule="auto"/>
              <w:jc w:val="center"/>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4.421</w:t>
            </w:r>
          </w:p>
        </w:tc>
        <w:tc>
          <w:tcPr>
            <w:tcW w:w="636" w:type="dxa"/>
            <w:tcBorders>
              <w:top w:val="nil"/>
              <w:left w:val="nil"/>
              <w:bottom w:val="nil"/>
              <w:right w:val="nil"/>
            </w:tcBorders>
            <w:shd w:val="clear" w:color="auto" w:fill="auto"/>
            <w:noWrap/>
            <w:hideMark/>
          </w:tcPr>
          <w:p w14:paraId="4BF247B9"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.000</w:t>
            </w:r>
          </w:p>
        </w:tc>
      </w:tr>
      <w:tr w:rsidR="00724D10" w:rsidRPr="0022305D" w14:paraId="54F000AF" w14:textId="77777777" w:rsidTr="00A52602">
        <w:trPr>
          <w:trHeight w:val="300"/>
        </w:trPr>
        <w:tc>
          <w:tcPr>
            <w:tcW w:w="336" w:type="dxa"/>
            <w:vMerge/>
            <w:tcBorders>
              <w:top w:val="nil"/>
              <w:left w:val="nil"/>
              <w:bottom w:val="single" w:sz="4" w:space="0" w:color="000000"/>
              <w:right w:val="nil"/>
            </w:tcBorders>
            <w:vAlign w:val="center"/>
            <w:hideMark/>
          </w:tcPr>
          <w:p w14:paraId="78DAF1AA"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p>
        </w:tc>
        <w:tc>
          <w:tcPr>
            <w:tcW w:w="2197" w:type="dxa"/>
            <w:tcBorders>
              <w:top w:val="nil"/>
              <w:left w:val="nil"/>
              <w:bottom w:val="nil"/>
              <w:right w:val="nil"/>
            </w:tcBorders>
            <w:shd w:val="clear" w:color="auto" w:fill="auto"/>
            <w:hideMark/>
          </w:tcPr>
          <w:p w14:paraId="0275FCC6"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DR</w:t>
            </w:r>
          </w:p>
        </w:tc>
        <w:tc>
          <w:tcPr>
            <w:tcW w:w="1904" w:type="dxa"/>
            <w:tcBorders>
              <w:top w:val="nil"/>
              <w:left w:val="nil"/>
              <w:bottom w:val="nil"/>
              <w:right w:val="nil"/>
            </w:tcBorders>
            <w:shd w:val="clear" w:color="auto" w:fill="auto"/>
            <w:noWrap/>
            <w:hideMark/>
          </w:tcPr>
          <w:p w14:paraId="036EEEB5" w14:textId="77777777" w:rsidR="00724D10" w:rsidRPr="0022305D" w:rsidRDefault="00724D10" w:rsidP="00A52602">
            <w:pPr>
              <w:spacing w:after="0" w:line="480" w:lineRule="auto"/>
              <w:jc w:val="center"/>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-7.298</w:t>
            </w:r>
          </w:p>
        </w:tc>
        <w:tc>
          <w:tcPr>
            <w:tcW w:w="1643" w:type="dxa"/>
            <w:tcBorders>
              <w:top w:val="nil"/>
              <w:left w:val="nil"/>
              <w:bottom w:val="nil"/>
              <w:right w:val="nil"/>
            </w:tcBorders>
            <w:shd w:val="clear" w:color="auto" w:fill="auto"/>
            <w:noWrap/>
            <w:hideMark/>
          </w:tcPr>
          <w:p w14:paraId="51C840C4" w14:textId="77777777" w:rsidR="00724D10" w:rsidRPr="0022305D" w:rsidRDefault="00724D10" w:rsidP="00A52602">
            <w:pPr>
              <w:spacing w:after="0" w:line="480" w:lineRule="auto"/>
              <w:jc w:val="center"/>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1.722</w:t>
            </w:r>
          </w:p>
        </w:tc>
        <w:tc>
          <w:tcPr>
            <w:tcW w:w="2688" w:type="dxa"/>
            <w:tcBorders>
              <w:top w:val="nil"/>
              <w:left w:val="nil"/>
              <w:bottom w:val="nil"/>
              <w:right w:val="nil"/>
            </w:tcBorders>
            <w:shd w:val="clear" w:color="auto" w:fill="auto"/>
            <w:noWrap/>
            <w:hideMark/>
          </w:tcPr>
          <w:p w14:paraId="0A6973B7" w14:textId="77777777" w:rsidR="00724D10" w:rsidRPr="0022305D" w:rsidRDefault="00724D10" w:rsidP="00A52602">
            <w:pPr>
              <w:spacing w:after="0" w:line="480" w:lineRule="auto"/>
              <w:jc w:val="center"/>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-.894</w:t>
            </w:r>
          </w:p>
        </w:tc>
        <w:tc>
          <w:tcPr>
            <w:tcW w:w="756" w:type="dxa"/>
            <w:tcBorders>
              <w:top w:val="nil"/>
              <w:left w:val="nil"/>
              <w:bottom w:val="nil"/>
              <w:right w:val="nil"/>
            </w:tcBorders>
            <w:shd w:val="clear" w:color="auto" w:fill="auto"/>
            <w:noWrap/>
            <w:hideMark/>
          </w:tcPr>
          <w:p w14:paraId="0A88F9D7"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4.237</w:t>
            </w:r>
          </w:p>
        </w:tc>
        <w:tc>
          <w:tcPr>
            <w:tcW w:w="636" w:type="dxa"/>
            <w:tcBorders>
              <w:top w:val="nil"/>
              <w:left w:val="nil"/>
              <w:bottom w:val="nil"/>
              <w:right w:val="nil"/>
            </w:tcBorders>
            <w:shd w:val="clear" w:color="auto" w:fill="auto"/>
            <w:noWrap/>
            <w:hideMark/>
          </w:tcPr>
          <w:p w14:paraId="43E57616"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.000</w:t>
            </w:r>
          </w:p>
        </w:tc>
      </w:tr>
      <w:tr w:rsidR="00724D10" w:rsidRPr="0022305D" w14:paraId="7D0831DF" w14:textId="77777777" w:rsidTr="00A52602">
        <w:trPr>
          <w:trHeight w:val="300"/>
        </w:trPr>
        <w:tc>
          <w:tcPr>
            <w:tcW w:w="336" w:type="dxa"/>
            <w:vMerge/>
            <w:tcBorders>
              <w:top w:val="nil"/>
              <w:left w:val="nil"/>
              <w:bottom w:val="single" w:sz="4" w:space="0" w:color="000000"/>
              <w:right w:val="nil"/>
            </w:tcBorders>
            <w:vAlign w:val="center"/>
            <w:hideMark/>
          </w:tcPr>
          <w:p w14:paraId="1657197C"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p>
        </w:tc>
        <w:tc>
          <w:tcPr>
            <w:tcW w:w="2197" w:type="dxa"/>
            <w:tcBorders>
              <w:top w:val="nil"/>
              <w:left w:val="nil"/>
              <w:bottom w:val="single" w:sz="4" w:space="0" w:color="auto"/>
              <w:right w:val="nil"/>
            </w:tcBorders>
            <w:shd w:val="clear" w:color="auto" w:fill="auto"/>
            <w:hideMark/>
          </w:tcPr>
          <w:p w14:paraId="267970B5" w14:textId="77777777" w:rsidR="00724D10" w:rsidRPr="0022305D" w:rsidRDefault="00724D10" w:rsidP="00A52602">
            <w:pPr>
              <w:spacing w:after="0" w:line="480" w:lineRule="auto"/>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DER</w:t>
            </w:r>
          </w:p>
        </w:tc>
        <w:tc>
          <w:tcPr>
            <w:tcW w:w="1904" w:type="dxa"/>
            <w:tcBorders>
              <w:top w:val="nil"/>
              <w:left w:val="nil"/>
              <w:bottom w:val="single" w:sz="4" w:space="0" w:color="auto"/>
              <w:right w:val="nil"/>
            </w:tcBorders>
            <w:shd w:val="clear" w:color="auto" w:fill="auto"/>
            <w:noWrap/>
            <w:hideMark/>
          </w:tcPr>
          <w:p w14:paraId="1BE58E3F" w14:textId="77777777" w:rsidR="00724D10" w:rsidRPr="0022305D" w:rsidRDefault="00724D10" w:rsidP="00A52602">
            <w:pPr>
              <w:spacing w:after="0" w:line="480" w:lineRule="auto"/>
              <w:jc w:val="center"/>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.585</w:t>
            </w:r>
          </w:p>
        </w:tc>
        <w:tc>
          <w:tcPr>
            <w:tcW w:w="1643" w:type="dxa"/>
            <w:tcBorders>
              <w:top w:val="nil"/>
              <w:left w:val="nil"/>
              <w:bottom w:val="single" w:sz="4" w:space="0" w:color="auto"/>
              <w:right w:val="nil"/>
            </w:tcBorders>
            <w:shd w:val="clear" w:color="auto" w:fill="auto"/>
            <w:noWrap/>
            <w:hideMark/>
          </w:tcPr>
          <w:p w14:paraId="508ECD18" w14:textId="77777777" w:rsidR="00724D10" w:rsidRPr="0022305D" w:rsidRDefault="00724D10" w:rsidP="00A52602">
            <w:pPr>
              <w:spacing w:after="0" w:line="480" w:lineRule="auto"/>
              <w:jc w:val="center"/>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.136</w:t>
            </w:r>
          </w:p>
        </w:tc>
        <w:tc>
          <w:tcPr>
            <w:tcW w:w="2688" w:type="dxa"/>
            <w:tcBorders>
              <w:top w:val="nil"/>
              <w:left w:val="nil"/>
              <w:bottom w:val="single" w:sz="4" w:space="0" w:color="auto"/>
              <w:right w:val="nil"/>
            </w:tcBorders>
            <w:shd w:val="clear" w:color="auto" w:fill="auto"/>
            <w:noWrap/>
            <w:hideMark/>
          </w:tcPr>
          <w:p w14:paraId="115EF321" w14:textId="77777777" w:rsidR="00724D10" w:rsidRPr="0022305D" w:rsidRDefault="00724D10" w:rsidP="00A52602">
            <w:pPr>
              <w:spacing w:after="0" w:line="480" w:lineRule="auto"/>
              <w:jc w:val="center"/>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.907</w:t>
            </w:r>
          </w:p>
        </w:tc>
        <w:tc>
          <w:tcPr>
            <w:tcW w:w="756" w:type="dxa"/>
            <w:tcBorders>
              <w:top w:val="nil"/>
              <w:left w:val="nil"/>
              <w:bottom w:val="single" w:sz="4" w:space="0" w:color="auto"/>
              <w:right w:val="nil"/>
            </w:tcBorders>
            <w:shd w:val="clear" w:color="auto" w:fill="auto"/>
            <w:noWrap/>
            <w:hideMark/>
          </w:tcPr>
          <w:p w14:paraId="02A1F190"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4.303</w:t>
            </w:r>
          </w:p>
        </w:tc>
        <w:tc>
          <w:tcPr>
            <w:tcW w:w="636" w:type="dxa"/>
            <w:tcBorders>
              <w:top w:val="nil"/>
              <w:left w:val="nil"/>
              <w:bottom w:val="single" w:sz="4" w:space="0" w:color="auto"/>
              <w:right w:val="nil"/>
            </w:tcBorders>
            <w:shd w:val="clear" w:color="auto" w:fill="auto"/>
            <w:noWrap/>
            <w:hideMark/>
          </w:tcPr>
          <w:p w14:paraId="19BCDA1C" w14:textId="77777777" w:rsidR="00724D10" w:rsidRPr="0022305D" w:rsidRDefault="00724D10" w:rsidP="00A52602">
            <w:pPr>
              <w:spacing w:after="0" w:line="480" w:lineRule="auto"/>
              <w:jc w:val="right"/>
              <w:rPr>
                <w:rFonts w:asciiTheme="majorHAnsi" w:eastAsia="Times New Roman" w:hAnsiTheme="majorHAnsi" w:cstheme="majorHAnsi"/>
                <w:color w:val="000000"/>
                <w:sz w:val="24"/>
                <w:szCs w:val="24"/>
              </w:rPr>
            </w:pPr>
            <w:r w:rsidRPr="0022305D">
              <w:rPr>
                <w:rFonts w:asciiTheme="majorHAnsi" w:eastAsia="Times New Roman" w:hAnsiTheme="majorHAnsi" w:cstheme="majorHAnsi"/>
                <w:color w:val="000000"/>
                <w:sz w:val="24"/>
                <w:szCs w:val="24"/>
              </w:rPr>
              <w:t>.000</w:t>
            </w:r>
          </w:p>
        </w:tc>
      </w:tr>
    </w:tbl>
    <w:p w14:paraId="3E6E36B7" w14:textId="5B450038" w:rsidR="00724D10" w:rsidRDefault="006E6AAA" w:rsidP="00724D10">
      <w:pPr>
        <w:autoSpaceDE w:val="0"/>
        <w:autoSpaceDN w:val="0"/>
        <w:adjustRightInd w:val="0"/>
        <w:spacing w:after="0" w:line="480" w:lineRule="auto"/>
        <w:rPr>
          <w:rFonts w:asciiTheme="majorHAnsi" w:hAnsiTheme="majorHAnsi" w:cstheme="majorHAnsi"/>
          <w:sz w:val="24"/>
          <w:szCs w:val="24"/>
        </w:rPr>
      </w:pPr>
      <w:r>
        <w:rPr>
          <w:rFonts w:asciiTheme="majorHAnsi" w:hAnsiTheme="majorHAnsi" w:cstheme="majorHAnsi"/>
          <w:sz w:val="24"/>
          <w:szCs w:val="24"/>
        </w:rPr>
        <w:t>Source: Research findings</w:t>
      </w:r>
      <w:r w:rsidR="00262F69">
        <w:rPr>
          <w:rFonts w:asciiTheme="majorHAnsi" w:hAnsiTheme="majorHAnsi" w:cstheme="majorHAnsi"/>
          <w:sz w:val="24"/>
          <w:szCs w:val="24"/>
        </w:rPr>
        <w:t xml:space="preserve"> (2021)</w:t>
      </w:r>
    </w:p>
    <w:p w14:paraId="47B42F88" w14:textId="186E7DD4" w:rsidR="00C910B5" w:rsidRPr="0022305D" w:rsidRDefault="00C910B5" w:rsidP="00C910B5">
      <w:pPr>
        <w:autoSpaceDE w:val="0"/>
        <w:autoSpaceDN w:val="0"/>
        <w:adjustRightInd w:val="0"/>
        <w:spacing w:after="0" w:line="480" w:lineRule="auto"/>
        <w:ind w:firstLine="720"/>
        <w:rPr>
          <w:rFonts w:asciiTheme="majorHAnsi" w:hAnsiTheme="majorHAnsi" w:cstheme="majorHAnsi"/>
          <w:sz w:val="24"/>
          <w:szCs w:val="24"/>
        </w:rPr>
      </w:pPr>
      <w:r w:rsidRPr="0022305D">
        <w:rPr>
          <w:rFonts w:asciiTheme="majorHAnsi" w:hAnsiTheme="majorHAnsi" w:cstheme="majorHAnsi"/>
          <w:sz w:val="24"/>
          <w:szCs w:val="24"/>
        </w:rPr>
        <w:t xml:space="preserve">The coefficients table below (Table 10.0) shows that </w:t>
      </w:r>
      <w:r w:rsidR="00BE06BC">
        <w:rPr>
          <w:rFonts w:asciiTheme="majorHAnsi" w:hAnsiTheme="majorHAnsi" w:cstheme="majorHAnsi"/>
          <w:sz w:val="24"/>
          <w:szCs w:val="24"/>
        </w:rPr>
        <w:t>total debt to equity</w:t>
      </w:r>
      <w:r w:rsidRPr="0022305D">
        <w:rPr>
          <w:rFonts w:asciiTheme="majorHAnsi" w:hAnsiTheme="majorHAnsi" w:cstheme="majorHAnsi"/>
          <w:sz w:val="24"/>
          <w:szCs w:val="24"/>
        </w:rPr>
        <w:t xml:space="preserve"> ratio has positive relationship with profitability. The coefficient of DER (0.585) indicates that for every one unit change in </w:t>
      </w:r>
      <w:r w:rsidR="00BE06BC">
        <w:rPr>
          <w:rFonts w:asciiTheme="majorHAnsi" w:hAnsiTheme="majorHAnsi" w:cstheme="majorHAnsi"/>
          <w:sz w:val="24"/>
          <w:szCs w:val="24"/>
        </w:rPr>
        <w:t>total debt to equity</w:t>
      </w:r>
      <w:r w:rsidRPr="0022305D">
        <w:rPr>
          <w:rFonts w:asciiTheme="majorHAnsi" w:hAnsiTheme="majorHAnsi" w:cstheme="majorHAnsi"/>
          <w:sz w:val="24"/>
          <w:szCs w:val="24"/>
        </w:rPr>
        <w:t xml:space="preserve"> ratio, there is a 0.585 unit change in profitability. Further, it can be observed that regression coefficient of </w:t>
      </w:r>
      <w:r w:rsidR="00BE06BC">
        <w:rPr>
          <w:rFonts w:asciiTheme="majorHAnsi" w:hAnsiTheme="majorHAnsi" w:cstheme="majorHAnsi"/>
          <w:sz w:val="24"/>
          <w:szCs w:val="24"/>
        </w:rPr>
        <w:t>total debt to equity</w:t>
      </w:r>
      <w:r w:rsidRPr="0022305D">
        <w:rPr>
          <w:rFonts w:asciiTheme="majorHAnsi" w:hAnsiTheme="majorHAnsi" w:cstheme="majorHAnsi"/>
          <w:sz w:val="24"/>
          <w:szCs w:val="24"/>
        </w:rPr>
        <w:t xml:space="preserve"> ratio is statistically significant at 5% level of significance (Sig. &lt; 0.05). Therefore, the null hypothesis is rejected. The findings also indicates that </w:t>
      </w:r>
      <w:r w:rsidR="00CB2CDC">
        <w:rPr>
          <w:rFonts w:asciiTheme="majorHAnsi" w:hAnsiTheme="majorHAnsi" w:cstheme="majorHAnsi"/>
          <w:sz w:val="24"/>
          <w:szCs w:val="24"/>
        </w:rPr>
        <w:t>total debt to total assets ratio</w:t>
      </w:r>
      <w:r w:rsidRPr="0022305D">
        <w:rPr>
          <w:rFonts w:asciiTheme="majorHAnsi" w:hAnsiTheme="majorHAnsi" w:cstheme="majorHAnsi"/>
          <w:sz w:val="24"/>
          <w:szCs w:val="24"/>
        </w:rPr>
        <w:t xml:space="preserve"> has inverse relationship with profitability. The coefficient of DR (-7.298) shows that for every one unit increase in </w:t>
      </w:r>
      <w:r w:rsidR="00CB2CDC">
        <w:rPr>
          <w:rFonts w:asciiTheme="majorHAnsi" w:hAnsiTheme="majorHAnsi" w:cstheme="majorHAnsi"/>
          <w:sz w:val="24"/>
          <w:szCs w:val="24"/>
        </w:rPr>
        <w:t>total debt to total assets ratio</w:t>
      </w:r>
      <w:r w:rsidRPr="0022305D">
        <w:rPr>
          <w:rFonts w:asciiTheme="majorHAnsi" w:hAnsiTheme="majorHAnsi" w:cstheme="majorHAnsi"/>
          <w:sz w:val="24"/>
          <w:szCs w:val="24"/>
        </w:rPr>
        <w:t>, there is a 7.298 unit decrease in profitability. It can be observed that regression coefficient of DR is statistically significant at 5% level of significance (Sig. &lt; 0.05). Therefore, the null hypothesis is rejected.</w:t>
      </w:r>
    </w:p>
    <w:p w14:paraId="01263BCA" w14:textId="77777777" w:rsidR="00C910B5" w:rsidRPr="0022305D" w:rsidRDefault="00C910B5" w:rsidP="00724D10">
      <w:pPr>
        <w:autoSpaceDE w:val="0"/>
        <w:autoSpaceDN w:val="0"/>
        <w:adjustRightInd w:val="0"/>
        <w:spacing w:after="0" w:line="480" w:lineRule="auto"/>
        <w:rPr>
          <w:rFonts w:asciiTheme="majorHAnsi" w:hAnsiTheme="majorHAnsi" w:cstheme="majorHAnsi"/>
          <w:sz w:val="24"/>
          <w:szCs w:val="24"/>
        </w:rPr>
      </w:pPr>
    </w:p>
    <w:p w14:paraId="3FE47283" w14:textId="77777777" w:rsidR="00724D10" w:rsidRPr="0022305D" w:rsidRDefault="00724D10" w:rsidP="00EC53C3">
      <w:pPr>
        <w:autoSpaceDE w:val="0"/>
        <w:autoSpaceDN w:val="0"/>
        <w:adjustRightInd w:val="0"/>
        <w:spacing w:after="0" w:line="480" w:lineRule="auto"/>
        <w:ind w:right="60"/>
        <w:rPr>
          <w:rFonts w:asciiTheme="majorHAnsi" w:hAnsiTheme="majorHAnsi" w:cstheme="majorHAnsi"/>
          <w:color w:val="000000"/>
          <w:sz w:val="18"/>
          <w:szCs w:val="18"/>
        </w:rPr>
      </w:pPr>
    </w:p>
    <w:p w14:paraId="3A09D16C" w14:textId="77777777" w:rsidR="00724D10" w:rsidRPr="00C553FC" w:rsidRDefault="00724D10" w:rsidP="004478B6">
      <w:pPr>
        <w:pStyle w:val="Heading2"/>
        <w:spacing w:line="480" w:lineRule="auto"/>
        <w:jc w:val="left"/>
        <w:rPr>
          <w:rFonts w:asciiTheme="majorHAnsi" w:hAnsiTheme="majorHAnsi" w:cstheme="majorHAnsi"/>
          <w:sz w:val="28"/>
          <w:szCs w:val="28"/>
        </w:rPr>
      </w:pPr>
      <w:bookmarkStart w:id="113" w:name="_Toc76494421"/>
      <w:bookmarkStart w:id="114" w:name="_Toc78205814"/>
      <w:r w:rsidRPr="00C553FC">
        <w:rPr>
          <w:rFonts w:asciiTheme="majorHAnsi" w:hAnsiTheme="majorHAnsi" w:cstheme="majorHAnsi"/>
          <w:sz w:val="28"/>
          <w:szCs w:val="28"/>
        </w:rPr>
        <w:t>Estimated Model Coefficients</w:t>
      </w:r>
      <w:bookmarkEnd w:id="113"/>
      <w:bookmarkEnd w:id="114"/>
    </w:p>
    <w:p w14:paraId="25B4012A" w14:textId="77777777" w:rsidR="00724D10" w:rsidRPr="0022305D" w:rsidRDefault="00724D10" w:rsidP="00724D10">
      <w:pPr>
        <w:autoSpaceDE w:val="0"/>
        <w:autoSpaceDN w:val="0"/>
        <w:adjustRightInd w:val="0"/>
        <w:spacing w:after="0" w:line="480" w:lineRule="auto"/>
        <w:ind w:firstLine="720"/>
        <w:rPr>
          <w:rFonts w:asciiTheme="majorHAnsi" w:hAnsiTheme="majorHAnsi" w:cstheme="majorHAnsi"/>
          <w:color w:val="000000"/>
          <w:sz w:val="24"/>
          <w:szCs w:val="24"/>
        </w:rPr>
      </w:pPr>
      <w:r w:rsidRPr="0022305D">
        <w:rPr>
          <w:rFonts w:asciiTheme="majorHAnsi" w:hAnsiTheme="majorHAnsi" w:cstheme="majorHAnsi"/>
          <w:color w:val="000000"/>
          <w:sz w:val="24"/>
          <w:szCs w:val="24"/>
        </w:rPr>
        <w:t xml:space="preserve"> The regression model coefficients resulting from the analysis are shown in the below equation </w:t>
      </w:r>
    </w:p>
    <w:p w14:paraId="059D7570" w14:textId="77777777" w:rsidR="00724D10" w:rsidRPr="0022305D" w:rsidRDefault="00724D10" w:rsidP="00724D10">
      <w:pPr>
        <w:autoSpaceDE w:val="0"/>
        <w:autoSpaceDN w:val="0"/>
        <w:adjustRightInd w:val="0"/>
        <w:spacing w:after="0" w:line="480" w:lineRule="auto"/>
        <w:ind w:left="1440"/>
        <w:rPr>
          <w:rFonts w:asciiTheme="majorHAnsi" w:hAnsiTheme="majorHAnsi" w:cstheme="majorHAnsi"/>
          <w:color w:val="000000"/>
          <w:sz w:val="24"/>
          <w:szCs w:val="24"/>
        </w:rPr>
      </w:pPr>
      <w:r w:rsidRPr="0022305D">
        <w:rPr>
          <w:rFonts w:asciiTheme="majorHAnsi" w:hAnsiTheme="majorHAnsi" w:cstheme="majorHAnsi"/>
          <w:color w:val="000000"/>
          <w:sz w:val="24"/>
          <w:szCs w:val="24"/>
        </w:rPr>
        <w:t xml:space="preserve">Y = 52.67 – 7.298DR + 0.585DER + </w:t>
      </w:r>
      <w:r w:rsidRPr="0022305D">
        <w:rPr>
          <w:rFonts w:asciiTheme="majorHAnsi" w:hAnsiTheme="majorHAnsi" w:cstheme="majorHAnsi"/>
          <w:i/>
          <w:iCs/>
          <w:sz w:val="24"/>
          <w:szCs w:val="24"/>
        </w:rPr>
        <w:t>e</w:t>
      </w:r>
    </w:p>
    <w:p w14:paraId="04AF009D" w14:textId="77777777" w:rsidR="00724D10" w:rsidRPr="0022305D" w:rsidRDefault="00724D10" w:rsidP="00724D10">
      <w:pPr>
        <w:autoSpaceDE w:val="0"/>
        <w:autoSpaceDN w:val="0"/>
        <w:adjustRightInd w:val="0"/>
        <w:spacing w:after="0" w:line="480" w:lineRule="auto"/>
        <w:ind w:left="1440"/>
        <w:rPr>
          <w:rFonts w:asciiTheme="majorHAnsi" w:hAnsiTheme="majorHAnsi" w:cstheme="majorHAnsi"/>
          <w:color w:val="000000"/>
          <w:sz w:val="24"/>
          <w:szCs w:val="24"/>
        </w:rPr>
      </w:pPr>
      <w:r w:rsidRPr="0022305D">
        <w:rPr>
          <w:rFonts w:asciiTheme="majorHAnsi" w:hAnsiTheme="majorHAnsi" w:cstheme="majorHAnsi"/>
          <w:color w:val="000000"/>
          <w:sz w:val="24"/>
          <w:szCs w:val="24"/>
        </w:rPr>
        <w:t>Where</w:t>
      </w:r>
    </w:p>
    <w:p w14:paraId="48B73FFB" w14:textId="77777777" w:rsidR="00724D10" w:rsidRPr="00AE6641" w:rsidRDefault="00724D10" w:rsidP="00724D10">
      <w:pPr>
        <w:autoSpaceDE w:val="0"/>
        <w:autoSpaceDN w:val="0"/>
        <w:adjustRightInd w:val="0"/>
        <w:spacing w:after="0" w:line="480" w:lineRule="auto"/>
        <w:ind w:left="1440"/>
        <w:rPr>
          <w:rFonts w:asciiTheme="majorHAnsi" w:hAnsiTheme="majorHAnsi" w:cstheme="majorHAnsi"/>
          <w:color w:val="000000"/>
          <w:sz w:val="24"/>
          <w:szCs w:val="24"/>
        </w:rPr>
      </w:pPr>
      <w:r w:rsidRPr="00AE6641">
        <w:rPr>
          <w:rFonts w:asciiTheme="majorHAnsi" w:hAnsiTheme="majorHAnsi" w:cstheme="majorHAnsi"/>
          <w:color w:val="000000"/>
          <w:sz w:val="24"/>
          <w:szCs w:val="24"/>
        </w:rPr>
        <w:t>Y= Profitability</w:t>
      </w:r>
    </w:p>
    <w:p w14:paraId="391E5BD2" w14:textId="0B9B69F4" w:rsidR="00724D10" w:rsidRPr="00AE6641" w:rsidRDefault="00724D10" w:rsidP="00724D10">
      <w:pPr>
        <w:autoSpaceDE w:val="0"/>
        <w:autoSpaceDN w:val="0"/>
        <w:adjustRightInd w:val="0"/>
        <w:spacing w:after="0" w:line="480" w:lineRule="auto"/>
        <w:ind w:left="1440"/>
        <w:rPr>
          <w:rFonts w:asciiTheme="majorHAnsi" w:hAnsiTheme="majorHAnsi" w:cstheme="majorHAnsi"/>
          <w:color w:val="000000"/>
          <w:sz w:val="24"/>
          <w:szCs w:val="24"/>
        </w:rPr>
      </w:pPr>
      <w:r w:rsidRPr="00AE6641">
        <w:rPr>
          <w:rFonts w:asciiTheme="majorHAnsi" w:hAnsiTheme="majorHAnsi" w:cstheme="majorHAnsi"/>
          <w:color w:val="000000"/>
          <w:sz w:val="24"/>
          <w:szCs w:val="24"/>
        </w:rPr>
        <w:t>DR=</w:t>
      </w:r>
      <w:r w:rsidR="00CB2CDC">
        <w:rPr>
          <w:rFonts w:asciiTheme="majorHAnsi" w:hAnsiTheme="majorHAnsi" w:cstheme="majorHAnsi"/>
          <w:color w:val="000000"/>
          <w:sz w:val="24"/>
          <w:szCs w:val="24"/>
        </w:rPr>
        <w:t>Total debt to total assets ratio</w:t>
      </w:r>
    </w:p>
    <w:p w14:paraId="5CB566BF" w14:textId="1B5F2B13" w:rsidR="00724D10" w:rsidRPr="00AE6641" w:rsidRDefault="00724D10" w:rsidP="00724D10">
      <w:pPr>
        <w:autoSpaceDE w:val="0"/>
        <w:autoSpaceDN w:val="0"/>
        <w:adjustRightInd w:val="0"/>
        <w:spacing w:after="0" w:line="480" w:lineRule="auto"/>
        <w:ind w:left="1440"/>
        <w:rPr>
          <w:rFonts w:asciiTheme="majorHAnsi" w:hAnsiTheme="majorHAnsi" w:cstheme="majorHAnsi"/>
          <w:color w:val="000000"/>
          <w:sz w:val="24"/>
          <w:szCs w:val="24"/>
        </w:rPr>
      </w:pPr>
      <w:r w:rsidRPr="00AE6641">
        <w:rPr>
          <w:rFonts w:asciiTheme="majorHAnsi" w:hAnsiTheme="majorHAnsi" w:cstheme="majorHAnsi"/>
          <w:color w:val="000000"/>
          <w:sz w:val="24"/>
          <w:szCs w:val="24"/>
        </w:rPr>
        <w:t>DER=</w:t>
      </w:r>
      <w:r w:rsidR="00BE06BC">
        <w:rPr>
          <w:rFonts w:asciiTheme="majorHAnsi" w:hAnsiTheme="majorHAnsi" w:cstheme="majorHAnsi"/>
          <w:color w:val="000000"/>
          <w:sz w:val="24"/>
          <w:szCs w:val="24"/>
        </w:rPr>
        <w:t>Total debt to equity</w:t>
      </w:r>
      <w:r w:rsidRPr="00AE6641">
        <w:rPr>
          <w:rFonts w:asciiTheme="majorHAnsi" w:hAnsiTheme="majorHAnsi" w:cstheme="majorHAnsi"/>
          <w:color w:val="000000"/>
          <w:sz w:val="24"/>
          <w:szCs w:val="24"/>
        </w:rPr>
        <w:t xml:space="preserve"> ratio</w:t>
      </w:r>
    </w:p>
    <w:p w14:paraId="6B286873" w14:textId="00047CC4" w:rsidR="00724D10" w:rsidRPr="00AE6641" w:rsidRDefault="00724D10" w:rsidP="00262F69">
      <w:pPr>
        <w:autoSpaceDE w:val="0"/>
        <w:autoSpaceDN w:val="0"/>
        <w:adjustRightInd w:val="0"/>
        <w:spacing w:after="0" w:line="480" w:lineRule="auto"/>
        <w:ind w:left="1440"/>
        <w:rPr>
          <w:rFonts w:asciiTheme="majorHAnsi" w:hAnsiTheme="majorHAnsi" w:cstheme="majorHAnsi"/>
          <w:sz w:val="24"/>
          <w:szCs w:val="24"/>
        </w:rPr>
      </w:pPr>
      <w:r w:rsidRPr="00AE6641">
        <w:rPr>
          <w:rFonts w:asciiTheme="majorHAnsi" w:hAnsiTheme="majorHAnsi" w:cstheme="majorHAnsi"/>
          <w:i/>
          <w:iCs/>
          <w:color w:val="000000"/>
          <w:sz w:val="24"/>
          <w:szCs w:val="24"/>
        </w:rPr>
        <w:t>e</w:t>
      </w:r>
      <w:r w:rsidRPr="00AE6641">
        <w:rPr>
          <w:rFonts w:asciiTheme="majorHAnsi" w:hAnsiTheme="majorHAnsi" w:cstheme="majorHAnsi"/>
          <w:color w:val="000000"/>
          <w:sz w:val="24"/>
          <w:szCs w:val="24"/>
        </w:rPr>
        <w:t xml:space="preserve"> </w:t>
      </w:r>
      <w:r w:rsidRPr="00AE6641">
        <w:rPr>
          <w:rFonts w:asciiTheme="majorHAnsi" w:hAnsiTheme="majorHAnsi" w:cstheme="majorHAnsi"/>
          <w:i/>
          <w:iCs/>
          <w:color w:val="000000"/>
          <w:sz w:val="24"/>
          <w:szCs w:val="24"/>
        </w:rPr>
        <w:t xml:space="preserve">= </w:t>
      </w:r>
      <w:r w:rsidRPr="00AE6641">
        <w:rPr>
          <w:rFonts w:asciiTheme="majorHAnsi" w:hAnsiTheme="majorHAnsi" w:cstheme="majorHAnsi"/>
          <w:sz w:val="24"/>
          <w:szCs w:val="24"/>
        </w:rPr>
        <w:t>error term</w:t>
      </w:r>
    </w:p>
    <w:p w14:paraId="4EA592F1" w14:textId="6673C69D" w:rsidR="008712B4" w:rsidRDefault="0056066B" w:rsidP="00AE6641">
      <w:pPr>
        <w:autoSpaceDE w:val="0"/>
        <w:autoSpaceDN w:val="0"/>
        <w:adjustRightInd w:val="0"/>
        <w:spacing w:after="0" w:line="480" w:lineRule="auto"/>
        <w:ind w:firstLine="720"/>
        <w:rPr>
          <w:rFonts w:asciiTheme="majorHAnsi" w:hAnsiTheme="majorHAnsi" w:cstheme="majorHAnsi"/>
          <w:sz w:val="24"/>
          <w:szCs w:val="24"/>
        </w:rPr>
      </w:pPr>
      <w:r w:rsidRPr="00AE6641">
        <w:rPr>
          <w:rFonts w:asciiTheme="majorHAnsi" w:hAnsiTheme="majorHAnsi" w:cstheme="majorHAnsi"/>
          <w:sz w:val="24"/>
          <w:szCs w:val="24"/>
        </w:rPr>
        <w:t xml:space="preserve">According to the model above, 52.67 is a constant while </w:t>
      </w:r>
      <w:r w:rsidR="00CB2CDC">
        <w:rPr>
          <w:rFonts w:asciiTheme="majorHAnsi" w:hAnsiTheme="majorHAnsi" w:cstheme="majorHAnsi"/>
          <w:sz w:val="24"/>
          <w:szCs w:val="24"/>
        </w:rPr>
        <w:t>total debt to total assets ratio</w:t>
      </w:r>
      <w:r w:rsidRPr="00AE6641">
        <w:rPr>
          <w:rFonts w:asciiTheme="majorHAnsi" w:hAnsiTheme="majorHAnsi" w:cstheme="majorHAnsi"/>
          <w:sz w:val="24"/>
          <w:szCs w:val="24"/>
        </w:rPr>
        <w:t xml:space="preserve"> has inverse relationship with profitability. The coefficient of DR (-7.298) shows that for every one unit increase in </w:t>
      </w:r>
      <w:r w:rsidR="00CB2CDC">
        <w:rPr>
          <w:rFonts w:asciiTheme="majorHAnsi" w:hAnsiTheme="majorHAnsi" w:cstheme="majorHAnsi"/>
          <w:sz w:val="24"/>
          <w:szCs w:val="24"/>
        </w:rPr>
        <w:t>total debt to total assets ratio</w:t>
      </w:r>
      <w:r w:rsidRPr="00AE6641">
        <w:rPr>
          <w:rFonts w:asciiTheme="majorHAnsi" w:hAnsiTheme="majorHAnsi" w:cstheme="majorHAnsi"/>
          <w:sz w:val="24"/>
          <w:szCs w:val="24"/>
        </w:rPr>
        <w:t xml:space="preserve">, there is a 7.298 unit decrease in profitability. The model also reveals that </w:t>
      </w:r>
      <w:r w:rsidR="00BE06BC">
        <w:rPr>
          <w:rFonts w:asciiTheme="majorHAnsi" w:hAnsiTheme="majorHAnsi" w:cstheme="majorHAnsi"/>
          <w:sz w:val="24"/>
          <w:szCs w:val="24"/>
        </w:rPr>
        <w:t>total debt to equity</w:t>
      </w:r>
      <w:r w:rsidR="008712B4" w:rsidRPr="00AE6641">
        <w:rPr>
          <w:rFonts w:asciiTheme="majorHAnsi" w:hAnsiTheme="majorHAnsi" w:cstheme="majorHAnsi"/>
          <w:sz w:val="24"/>
          <w:szCs w:val="24"/>
        </w:rPr>
        <w:t xml:space="preserve"> ratio has positive relationship with profitability. The coefficient of DER (0.585)</w:t>
      </w:r>
      <w:r w:rsidR="008712B4" w:rsidRPr="0056066B">
        <w:rPr>
          <w:rFonts w:asciiTheme="majorHAnsi" w:hAnsiTheme="majorHAnsi" w:cstheme="majorHAnsi"/>
          <w:sz w:val="24"/>
          <w:szCs w:val="24"/>
        </w:rPr>
        <w:t xml:space="preserve"> indicates that for every one unit change in </w:t>
      </w:r>
      <w:r w:rsidR="00BE06BC">
        <w:rPr>
          <w:rFonts w:asciiTheme="majorHAnsi" w:hAnsiTheme="majorHAnsi" w:cstheme="majorHAnsi"/>
          <w:sz w:val="24"/>
          <w:szCs w:val="24"/>
        </w:rPr>
        <w:t>total debt to equity</w:t>
      </w:r>
      <w:r w:rsidR="008712B4" w:rsidRPr="0056066B">
        <w:rPr>
          <w:rFonts w:asciiTheme="majorHAnsi" w:hAnsiTheme="majorHAnsi" w:cstheme="majorHAnsi"/>
          <w:sz w:val="24"/>
          <w:szCs w:val="24"/>
        </w:rPr>
        <w:t xml:space="preserve"> ratio, there is 0.585 unit change in profitability.</w:t>
      </w:r>
    </w:p>
    <w:p w14:paraId="3DE964E6" w14:textId="3DD08F4A" w:rsidR="00AE6641" w:rsidRDefault="00AE6641" w:rsidP="00AE6641">
      <w:pPr>
        <w:autoSpaceDE w:val="0"/>
        <w:autoSpaceDN w:val="0"/>
        <w:adjustRightInd w:val="0"/>
        <w:spacing w:after="0" w:line="480" w:lineRule="auto"/>
        <w:ind w:firstLine="720"/>
        <w:rPr>
          <w:rFonts w:asciiTheme="majorHAnsi" w:hAnsiTheme="majorHAnsi" w:cstheme="majorHAnsi"/>
          <w:sz w:val="24"/>
          <w:szCs w:val="24"/>
        </w:rPr>
      </w:pPr>
    </w:p>
    <w:p w14:paraId="0515EB85" w14:textId="3DFECB4D" w:rsidR="00AE6641" w:rsidRDefault="00AE6641" w:rsidP="00AE6641">
      <w:pPr>
        <w:autoSpaceDE w:val="0"/>
        <w:autoSpaceDN w:val="0"/>
        <w:adjustRightInd w:val="0"/>
        <w:spacing w:after="0" w:line="480" w:lineRule="auto"/>
        <w:ind w:firstLine="720"/>
        <w:rPr>
          <w:rFonts w:asciiTheme="majorHAnsi" w:hAnsiTheme="majorHAnsi" w:cstheme="majorHAnsi"/>
          <w:sz w:val="24"/>
          <w:szCs w:val="24"/>
        </w:rPr>
      </w:pPr>
    </w:p>
    <w:p w14:paraId="72CA261B" w14:textId="48802186" w:rsidR="00AE6641" w:rsidRPr="00327F98" w:rsidRDefault="004D347F" w:rsidP="00BD12A1">
      <w:pPr>
        <w:pStyle w:val="Heading2"/>
        <w:spacing w:line="480" w:lineRule="auto"/>
        <w:jc w:val="left"/>
        <w:rPr>
          <w:sz w:val="28"/>
          <w:szCs w:val="28"/>
        </w:rPr>
      </w:pPr>
      <w:bookmarkStart w:id="115" w:name="_Toc78205815"/>
      <w:r w:rsidRPr="00327F98">
        <w:rPr>
          <w:sz w:val="28"/>
          <w:szCs w:val="28"/>
        </w:rPr>
        <w:t>Discussion of the fi</w:t>
      </w:r>
      <w:r w:rsidR="0008701B" w:rsidRPr="00327F98">
        <w:rPr>
          <w:sz w:val="28"/>
          <w:szCs w:val="28"/>
        </w:rPr>
        <w:t>ndings</w:t>
      </w:r>
      <w:bookmarkEnd w:id="115"/>
    </w:p>
    <w:p w14:paraId="58D2A451" w14:textId="6B179601" w:rsidR="00AE6641" w:rsidRPr="00327F98" w:rsidRDefault="0008701B" w:rsidP="00BD12A1">
      <w:pPr>
        <w:pStyle w:val="Heading2"/>
        <w:spacing w:line="480" w:lineRule="auto"/>
        <w:jc w:val="left"/>
      </w:pPr>
      <w:bookmarkStart w:id="116" w:name="_Toc78205816"/>
      <w:r w:rsidRPr="00327F98">
        <w:t>The level of solvency</w:t>
      </w:r>
      <w:bookmarkEnd w:id="116"/>
    </w:p>
    <w:p w14:paraId="64182310" w14:textId="567D174D" w:rsidR="008F5957" w:rsidRPr="008F5957" w:rsidRDefault="00C1058E" w:rsidP="008F5957">
      <w:pPr>
        <w:spacing w:line="480" w:lineRule="auto"/>
        <w:ind w:firstLine="720"/>
        <w:rPr>
          <w:rFonts w:asciiTheme="majorHAnsi" w:eastAsia="Times New Roman" w:hAnsiTheme="majorHAnsi" w:cstheme="majorHAnsi"/>
          <w:sz w:val="24"/>
          <w:szCs w:val="24"/>
        </w:rPr>
      </w:pPr>
      <w:r>
        <w:rPr>
          <w:rFonts w:asciiTheme="majorHAnsi" w:hAnsiTheme="majorHAnsi" w:cstheme="majorHAnsi"/>
          <w:sz w:val="24"/>
          <w:szCs w:val="24"/>
        </w:rPr>
        <w:t xml:space="preserve">The research question number one was: What is the level of solvency of commercial banks in Kenya in terms of </w:t>
      </w:r>
      <w:r>
        <w:rPr>
          <w:rFonts w:ascii="Times New Roman" w:hAnsi="Times New Roman" w:cs="Times New Roman"/>
          <w:sz w:val="24"/>
          <w:szCs w:val="24"/>
        </w:rPr>
        <w:t xml:space="preserve">total debt to total assets ratio and total debt to equity </w:t>
      </w:r>
      <w:r w:rsidRPr="00C1058E">
        <w:rPr>
          <w:rFonts w:ascii="Times New Roman" w:hAnsi="Times New Roman" w:cs="Times New Roman"/>
          <w:sz w:val="24"/>
          <w:szCs w:val="24"/>
        </w:rPr>
        <w:t>ratio?</w:t>
      </w:r>
      <w:r w:rsidR="008F5957">
        <w:rPr>
          <w:rFonts w:ascii="Times New Roman" w:hAnsi="Times New Roman" w:cs="Times New Roman"/>
          <w:sz w:val="24"/>
          <w:szCs w:val="24"/>
        </w:rPr>
        <w:t xml:space="preserve"> </w:t>
      </w:r>
      <w:r w:rsidR="008F5957" w:rsidRPr="008F5957">
        <w:rPr>
          <w:rFonts w:asciiTheme="majorHAnsi" w:eastAsia="Times New Roman" w:hAnsiTheme="majorHAnsi" w:cstheme="majorHAnsi"/>
          <w:sz w:val="24"/>
          <w:szCs w:val="24"/>
        </w:rPr>
        <w:t>The study found out that</w:t>
      </w:r>
      <w:r w:rsidR="008F5957" w:rsidRPr="008F5957">
        <w:rPr>
          <w:rFonts w:asciiTheme="majorHAnsi" w:hAnsiTheme="majorHAnsi" w:cstheme="majorHAnsi"/>
          <w:sz w:val="24"/>
          <w:szCs w:val="24"/>
        </w:rPr>
        <w:t xml:space="preserve"> the minimum value of total debt to total assets ratio and total debt to equity ratio for commercial banks in Kenya during the period of the study was 7.38 and 16.73.72 respectively; while the maximum value of total debt to total assets ratio and total debt to equity ratio was 8.91 and 29.88 respectively. The average value for total debt to total assets ratio and total debt to equity ratio for commercial banks in Kenya during the study period was 8.21 and 22.71 respectively. This </w:t>
      </w:r>
      <w:r w:rsidR="008F5957">
        <w:rPr>
          <w:rFonts w:asciiTheme="majorHAnsi" w:hAnsiTheme="majorHAnsi" w:cstheme="majorHAnsi"/>
          <w:sz w:val="24"/>
          <w:szCs w:val="24"/>
        </w:rPr>
        <w:t xml:space="preserve">shows that all banks in Kenya operated </w:t>
      </w:r>
      <w:r w:rsidR="00DC5082">
        <w:rPr>
          <w:rFonts w:asciiTheme="majorHAnsi" w:hAnsiTheme="majorHAnsi" w:cstheme="majorHAnsi"/>
          <w:sz w:val="24"/>
          <w:szCs w:val="24"/>
        </w:rPr>
        <w:t>with a positive level of solvency. This also means that all banks used debt finance during the study period.</w:t>
      </w:r>
    </w:p>
    <w:p w14:paraId="02E294FC" w14:textId="77777777" w:rsidR="0008701B" w:rsidRDefault="0008701B" w:rsidP="00AE6641">
      <w:pPr>
        <w:autoSpaceDE w:val="0"/>
        <w:autoSpaceDN w:val="0"/>
        <w:adjustRightInd w:val="0"/>
        <w:spacing w:after="0" w:line="480" w:lineRule="auto"/>
        <w:rPr>
          <w:rFonts w:asciiTheme="majorHAnsi" w:hAnsiTheme="majorHAnsi" w:cstheme="majorHAnsi"/>
          <w:sz w:val="24"/>
          <w:szCs w:val="24"/>
        </w:rPr>
      </w:pPr>
    </w:p>
    <w:p w14:paraId="63FFDAFD" w14:textId="497A3B52" w:rsidR="0008701B" w:rsidRPr="00327F98" w:rsidRDefault="0008701B" w:rsidP="00BD12A1">
      <w:pPr>
        <w:pStyle w:val="Heading2"/>
        <w:spacing w:line="480" w:lineRule="auto"/>
        <w:jc w:val="left"/>
      </w:pPr>
      <w:bookmarkStart w:id="117" w:name="_Toc78205817"/>
      <w:r w:rsidRPr="00327F98">
        <w:t>The level of profitability</w:t>
      </w:r>
      <w:bookmarkEnd w:id="117"/>
    </w:p>
    <w:p w14:paraId="31AC2D59" w14:textId="24153677" w:rsidR="008F5957" w:rsidRPr="0022305D" w:rsidRDefault="00C1058E" w:rsidP="008F5957">
      <w:pPr>
        <w:spacing w:after="0" w:line="480" w:lineRule="auto"/>
        <w:ind w:firstLine="720"/>
        <w:rPr>
          <w:rFonts w:asciiTheme="majorHAnsi" w:eastAsia="Times New Roman" w:hAnsiTheme="majorHAnsi" w:cstheme="majorHAnsi"/>
          <w:sz w:val="24"/>
          <w:szCs w:val="24"/>
        </w:rPr>
      </w:pPr>
      <w:r>
        <w:rPr>
          <w:rFonts w:asciiTheme="majorHAnsi" w:hAnsiTheme="majorHAnsi" w:cstheme="majorHAnsi"/>
          <w:sz w:val="24"/>
          <w:szCs w:val="24"/>
        </w:rPr>
        <w:t xml:space="preserve">The research question number two was: What is the level of profitability of commercial </w:t>
      </w:r>
      <w:r w:rsidRPr="008F5957">
        <w:rPr>
          <w:rFonts w:asciiTheme="majorHAnsi" w:hAnsiTheme="majorHAnsi" w:cstheme="majorHAnsi"/>
          <w:sz w:val="24"/>
          <w:szCs w:val="24"/>
        </w:rPr>
        <w:t>banks in Kenya in terms of return on assets and return on equity?</w:t>
      </w:r>
      <w:r w:rsidR="008F5957" w:rsidRPr="008F5957">
        <w:rPr>
          <w:rFonts w:asciiTheme="majorHAnsi" w:hAnsiTheme="majorHAnsi" w:cstheme="majorHAnsi"/>
          <w:sz w:val="24"/>
          <w:szCs w:val="24"/>
        </w:rPr>
        <w:t xml:space="preserve"> </w:t>
      </w:r>
      <w:r w:rsidR="008F5957" w:rsidRPr="008F5957">
        <w:rPr>
          <w:rFonts w:asciiTheme="majorHAnsi" w:eastAsia="Times New Roman" w:hAnsiTheme="majorHAnsi" w:cstheme="majorHAnsi"/>
          <w:sz w:val="24"/>
          <w:szCs w:val="24"/>
        </w:rPr>
        <w:t xml:space="preserve">The findings of this study indicated that the level of profitability (in terms of return on assets and return on equity) of commercial banks in Kenya follows: </w:t>
      </w:r>
      <w:r w:rsidR="008F5957" w:rsidRPr="008F5957">
        <w:rPr>
          <w:rFonts w:asciiTheme="majorHAnsi" w:hAnsiTheme="majorHAnsi" w:cstheme="majorHAnsi"/>
          <w:sz w:val="24"/>
          <w:szCs w:val="24"/>
        </w:rPr>
        <w:t xml:space="preserve">The mean of the return on assets over the period was 7.82, with a minimum value of 4.96 and a maximum value of 16.46.  This suggests that even though the recorded mean was 7.82, some commercial banks operated at a lower value while others operated at a higher value of return on assets during the study </w:t>
      </w:r>
      <w:r w:rsidR="008F5957" w:rsidRPr="00DC5082">
        <w:rPr>
          <w:rFonts w:asciiTheme="majorHAnsi" w:hAnsiTheme="majorHAnsi" w:cstheme="majorHAnsi"/>
          <w:sz w:val="24"/>
          <w:szCs w:val="24"/>
        </w:rPr>
        <w:t xml:space="preserve">period. The average return on equity over the period was 3.69 with a minimum value of 1.01 and a maximum value of 5.83. </w:t>
      </w:r>
      <w:r w:rsidR="00DC5082" w:rsidRPr="00DC5082">
        <w:rPr>
          <w:rFonts w:asciiTheme="majorHAnsi" w:hAnsiTheme="majorHAnsi" w:cstheme="majorHAnsi"/>
          <w:sz w:val="24"/>
          <w:szCs w:val="24"/>
        </w:rPr>
        <w:t>Based on this,</w:t>
      </w:r>
      <w:r w:rsidR="008F5957" w:rsidRPr="00DC5082">
        <w:rPr>
          <w:rFonts w:asciiTheme="majorHAnsi" w:hAnsiTheme="majorHAnsi" w:cstheme="majorHAnsi"/>
          <w:sz w:val="24"/>
          <w:szCs w:val="24"/>
        </w:rPr>
        <w:t xml:space="preserve"> all banks operated at a positive return on equity during the period of the study (2011-2020)</w:t>
      </w:r>
      <w:r w:rsidR="00DC5082" w:rsidRPr="00DC5082">
        <w:rPr>
          <w:rFonts w:asciiTheme="majorHAnsi" w:hAnsiTheme="majorHAnsi" w:cstheme="majorHAnsi"/>
          <w:sz w:val="24"/>
          <w:szCs w:val="24"/>
        </w:rPr>
        <w:t>, meaning they were all profitable.</w:t>
      </w:r>
    </w:p>
    <w:p w14:paraId="7142A655" w14:textId="35548C65" w:rsidR="0008701B" w:rsidRPr="00327F98" w:rsidRDefault="0008701B" w:rsidP="00AE6641">
      <w:pPr>
        <w:autoSpaceDE w:val="0"/>
        <w:autoSpaceDN w:val="0"/>
        <w:adjustRightInd w:val="0"/>
        <w:spacing w:after="0" w:line="480" w:lineRule="auto"/>
        <w:rPr>
          <w:rFonts w:asciiTheme="majorHAnsi" w:hAnsiTheme="majorHAnsi" w:cstheme="majorHAnsi"/>
          <w:sz w:val="28"/>
          <w:szCs w:val="28"/>
        </w:rPr>
      </w:pPr>
    </w:p>
    <w:p w14:paraId="7336E200" w14:textId="4242CBD3" w:rsidR="0008701B" w:rsidRPr="00327F98" w:rsidRDefault="0008701B" w:rsidP="00BD12A1">
      <w:pPr>
        <w:pStyle w:val="Heading2"/>
        <w:spacing w:line="480" w:lineRule="auto"/>
        <w:jc w:val="left"/>
      </w:pPr>
      <w:bookmarkStart w:id="118" w:name="_Toc78205818"/>
      <w:r w:rsidRPr="00327F98">
        <w:t>The relationship between solvency and profitability.</w:t>
      </w:r>
      <w:bookmarkEnd w:id="118"/>
    </w:p>
    <w:p w14:paraId="0A5D748C" w14:textId="247F8427" w:rsidR="00DC5082" w:rsidRDefault="0008701B" w:rsidP="00994C2F">
      <w:pPr>
        <w:autoSpaceDE w:val="0"/>
        <w:autoSpaceDN w:val="0"/>
        <w:adjustRightInd w:val="0"/>
        <w:spacing w:after="0" w:line="480" w:lineRule="auto"/>
        <w:ind w:firstLine="720"/>
        <w:rPr>
          <w:rFonts w:asciiTheme="majorHAnsi" w:eastAsia="TimesNewRomanPSMT" w:hAnsiTheme="majorHAnsi" w:cstheme="majorHAnsi"/>
          <w:sz w:val="24"/>
          <w:szCs w:val="24"/>
        </w:rPr>
      </w:pPr>
      <w:r w:rsidRPr="00C1058E">
        <w:rPr>
          <w:rFonts w:asciiTheme="majorHAnsi" w:eastAsia="Times New Roman" w:hAnsiTheme="majorHAnsi" w:cstheme="majorHAnsi"/>
          <w:sz w:val="24"/>
          <w:szCs w:val="24"/>
        </w:rPr>
        <w:t>The research question number three was</w:t>
      </w:r>
      <w:r w:rsidR="00A65F62" w:rsidRPr="00C1058E">
        <w:rPr>
          <w:rFonts w:asciiTheme="majorHAnsi" w:eastAsia="Times New Roman" w:hAnsiTheme="majorHAnsi" w:cstheme="majorHAnsi"/>
          <w:sz w:val="24"/>
          <w:szCs w:val="24"/>
        </w:rPr>
        <w:t>:</w:t>
      </w:r>
      <w:r w:rsidRPr="00C1058E">
        <w:rPr>
          <w:rFonts w:asciiTheme="majorHAnsi" w:eastAsia="Times New Roman" w:hAnsiTheme="majorHAnsi" w:cstheme="majorHAnsi"/>
          <w:sz w:val="24"/>
          <w:szCs w:val="24"/>
        </w:rPr>
        <w:t xml:space="preserve"> What is the relationship between solvency and profitability of commercial banks in Kenya? </w:t>
      </w:r>
      <w:r w:rsidR="00A65F62" w:rsidRPr="00C1058E">
        <w:rPr>
          <w:rFonts w:asciiTheme="majorHAnsi" w:eastAsia="Times New Roman" w:hAnsiTheme="majorHAnsi" w:cstheme="majorHAnsi"/>
          <w:sz w:val="24"/>
          <w:szCs w:val="24"/>
        </w:rPr>
        <w:t xml:space="preserve"> The findings of this research shows that</w:t>
      </w:r>
      <w:r w:rsidR="00A65F62" w:rsidRPr="00C1058E">
        <w:rPr>
          <w:rFonts w:asciiTheme="majorHAnsi" w:hAnsiTheme="majorHAnsi" w:cstheme="majorHAnsi"/>
          <w:sz w:val="24"/>
          <w:szCs w:val="24"/>
        </w:rPr>
        <w:t xml:space="preserve"> solvency</w:t>
      </w:r>
      <w:r w:rsidR="00C1058E" w:rsidRPr="00C1058E">
        <w:rPr>
          <w:rFonts w:asciiTheme="majorHAnsi" w:hAnsiTheme="majorHAnsi" w:cstheme="majorHAnsi"/>
          <w:sz w:val="24"/>
          <w:szCs w:val="24"/>
        </w:rPr>
        <w:t>,</w:t>
      </w:r>
      <w:r w:rsidR="00A65F62" w:rsidRPr="00C1058E">
        <w:rPr>
          <w:rFonts w:asciiTheme="majorHAnsi" w:hAnsiTheme="majorHAnsi" w:cstheme="majorHAnsi"/>
          <w:sz w:val="24"/>
          <w:szCs w:val="24"/>
        </w:rPr>
        <w:t xml:space="preserve"> in terms of total debt to total assets ratio</w:t>
      </w:r>
      <w:r w:rsidR="00C1058E" w:rsidRPr="00C1058E">
        <w:rPr>
          <w:rFonts w:asciiTheme="majorHAnsi" w:hAnsiTheme="majorHAnsi" w:cstheme="majorHAnsi"/>
          <w:sz w:val="24"/>
          <w:szCs w:val="24"/>
        </w:rPr>
        <w:t>,</w:t>
      </w:r>
      <w:r w:rsidR="00A65F62" w:rsidRPr="00C1058E">
        <w:rPr>
          <w:rFonts w:asciiTheme="majorHAnsi" w:hAnsiTheme="majorHAnsi" w:cstheme="majorHAnsi"/>
          <w:sz w:val="24"/>
          <w:szCs w:val="24"/>
        </w:rPr>
        <w:t xml:space="preserve"> has significant negative relationship with profitability. This means when total debt to total assets ratio decrease, profitability will increase</w:t>
      </w:r>
      <w:r w:rsidR="00C1058E" w:rsidRPr="00C1058E">
        <w:rPr>
          <w:rFonts w:asciiTheme="majorHAnsi" w:hAnsiTheme="majorHAnsi" w:cstheme="majorHAnsi"/>
          <w:sz w:val="24"/>
          <w:szCs w:val="24"/>
        </w:rPr>
        <w:t>;</w:t>
      </w:r>
      <w:r w:rsidR="00A65F62" w:rsidRPr="00C1058E">
        <w:rPr>
          <w:rFonts w:asciiTheme="majorHAnsi" w:hAnsiTheme="majorHAnsi" w:cstheme="majorHAnsi"/>
          <w:sz w:val="24"/>
          <w:szCs w:val="24"/>
        </w:rPr>
        <w:t xml:space="preserve"> and when total debt to total assets ratio increase profitability will decrease. </w:t>
      </w:r>
      <w:r w:rsidR="00A65F62" w:rsidRPr="00C1058E">
        <w:rPr>
          <w:rFonts w:asciiTheme="majorHAnsi" w:eastAsia="TimesNewRomanPSMT" w:hAnsiTheme="majorHAnsi" w:cstheme="majorHAnsi"/>
          <w:sz w:val="24"/>
          <w:szCs w:val="24"/>
        </w:rPr>
        <w:t xml:space="preserve">However, this result is in contrary with findings of  </w:t>
      </w:r>
      <w:r w:rsidR="00A65F62" w:rsidRPr="00C1058E">
        <w:rPr>
          <w:rFonts w:asciiTheme="majorHAnsi" w:eastAsia="TimesNewRomanPSMT" w:hAnsiTheme="majorHAnsi" w:cstheme="majorHAnsi"/>
          <w:sz w:val="24"/>
          <w:szCs w:val="24"/>
        </w:rPr>
        <w:fldChar w:fldCharType="begin" w:fldLock="1"/>
      </w:r>
      <w:r w:rsidR="00A65F62" w:rsidRPr="00C1058E">
        <w:rPr>
          <w:rFonts w:asciiTheme="majorHAnsi" w:eastAsia="TimesNewRomanPSMT" w:hAnsiTheme="majorHAnsi" w:cstheme="majorHAnsi"/>
          <w:sz w:val="24"/>
          <w:szCs w:val="24"/>
        </w:rPr>
        <w:instrText>ADDIN CSL_CITATION {"citationItems":[{"id":"ITEM-1","itemData":{"DOI":"10.11114/aef.v6i2.3867","ISSN":"2332-7294","abstract":"This research explores the impact of capital structure on the profitability of publicly traded manufacturing firms in Bangladesh. In this paper, we applied the fixed effect regression to find out the correlation among independent variables (debt ratio, equity ratio and debt to equity ratio) and dependent variables (return on asset, return on equity and earnings per share). A sample of 50 observations of selected 10 manufacturing companies listed in Dhaka Stock Exchange has been analyzed over the period of 2013 to 2017. This research reveals that the debt ratio and equity ratio have a significant positive impact but debt to equity ratio has a significant negative impact on ROA. This paper also exposes that, equity ratio has a significant positive impact but debt to equity ratio has a significant negative impact on ROE. Finally, debt and equity ratio has a significant negative impact on EPS. Findings of this research will help the listed manufacturing companies to maintain an optimum capital structure which will lead to the maximization of stockholders wealth.","author":[{"dropping-particle":"","family":"Rahman","given":"Md. Ataur","non-dropping-particle":"","parse-names":false,"suffix":""},{"dropping-particle":"","family":"Sarker","given":"Md. Sadrul Islam","non-dropping-particle":"","parse-names":false,"suffix":""},{"dropping-particle":"","family":"Uddin","given":"Md. Joyen","non-dropping-particle":"","parse-names":false,"suffix":""}],"container-title":"Applied Economics and Finance","id":"ITEM-1","issue":"2","issued":{"date-parts":[["2019"]]},"page":"1","title":"The Impact of Capital Structure on the Profitability of Publicly Traded Manufacturing Firms in Bangladesh","type":"article-journal","volume":"6"},"uris":["http://www.mendeley.com/documents/?uuid=661f1ddf-9df8-4dc5-956d-d1aec6650f0c"]}],"mendeley":{"formattedCitation":"(Rahman, Sarker, &amp; Uddin, 2019)","manualFormatting":"Rahman, Sarker, and Uddin (2019)","plainTextFormattedCitation":"(Rahman, Sarker, &amp; Uddin, 2019)","previouslyFormattedCitation":"(Rahman, Sarker, &amp; Uddin, 2019)"},"properties":{"noteIndex":0},"schema":"https://github.com/citation-style-language/schema/raw/master/csl-citation.json"}</w:instrText>
      </w:r>
      <w:r w:rsidR="00A65F62" w:rsidRPr="00C1058E">
        <w:rPr>
          <w:rFonts w:asciiTheme="majorHAnsi" w:eastAsia="TimesNewRomanPSMT" w:hAnsiTheme="majorHAnsi" w:cstheme="majorHAnsi"/>
          <w:sz w:val="24"/>
          <w:szCs w:val="24"/>
        </w:rPr>
        <w:fldChar w:fldCharType="separate"/>
      </w:r>
      <w:r w:rsidR="00A65F62" w:rsidRPr="00C1058E">
        <w:rPr>
          <w:rFonts w:asciiTheme="majorHAnsi" w:eastAsia="TimesNewRomanPSMT" w:hAnsiTheme="majorHAnsi" w:cstheme="majorHAnsi"/>
          <w:noProof/>
          <w:sz w:val="24"/>
          <w:szCs w:val="24"/>
        </w:rPr>
        <w:t>Rahman, Sarker, and Uddin (2019)</w:t>
      </w:r>
      <w:r w:rsidR="00A65F62" w:rsidRPr="00C1058E">
        <w:rPr>
          <w:rFonts w:asciiTheme="majorHAnsi" w:eastAsia="TimesNewRomanPSMT" w:hAnsiTheme="majorHAnsi" w:cstheme="majorHAnsi"/>
          <w:sz w:val="24"/>
          <w:szCs w:val="24"/>
        </w:rPr>
        <w:fldChar w:fldCharType="end"/>
      </w:r>
      <w:r w:rsidR="00A65F62" w:rsidRPr="00C1058E">
        <w:rPr>
          <w:rFonts w:asciiTheme="majorHAnsi" w:eastAsia="TimesNewRomanPSMT" w:hAnsiTheme="majorHAnsi" w:cstheme="majorHAnsi"/>
          <w:sz w:val="24"/>
          <w:szCs w:val="24"/>
        </w:rPr>
        <w:t xml:space="preserve"> who found</w:t>
      </w:r>
      <w:r w:rsidR="00C5007B">
        <w:rPr>
          <w:rFonts w:asciiTheme="majorHAnsi" w:eastAsia="TimesNewRomanPSMT" w:hAnsiTheme="majorHAnsi" w:cstheme="majorHAnsi"/>
          <w:sz w:val="24"/>
          <w:szCs w:val="24"/>
        </w:rPr>
        <w:t xml:space="preserve"> positive relationship between </w:t>
      </w:r>
      <w:r w:rsidR="00C5007B" w:rsidRPr="00C1058E">
        <w:rPr>
          <w:rFonts w:asciiTheme="majorHAnsi" w:hAnsiTheme="majorHAnsi" w:cstheme="majorHAnsi"/>
          <w:sz w:val="24"/>
          <w:szCs w:val="24"/>
        </w:rPr>
        <w:t>total debt to total assets ratio</w:t>
      </w:r>
      <w:r w:rsidR="00C5007B">
        <w:rPr>
          <w:rFonts w:asciiTheme="majorHAnsi" w:hAnsiTheme="majorHAnsi" w:cstheme="majorHAnsi"/>
          <w:sz w:val="24"/>
          <w:szCs w:val="24"/>
        </w:rPr>
        <w:t xml:space="preserve"> and profitability of manufacturing firms in Bangladesh.</w:t>
      </w:r>
    </w:p>
    <w:p w14:paraId="110ECEDF" w14:textId="273CF7C7" w:rsidR="00994C2F" w:rsidRPr="00C1058E" w:rsidRDefault="00994C2F" w:rsidP="00994C2F">
      <w:pPr>
        <w:autoSpaceDE w:val="0"/>
        <w:autoSpaceDN w:val="0"/>
        <w:adjustRightInd w:val="0"/>
        <w:spacing w:after="0" w:line="480" w:lineRule="auto"/>
        <w:ind w:firstLine="720"/>
        <w:rPr>
          <w:rFonts w:asciiTheme="majorHAnsi" w:eastAsia="TimesNewRomanPSMT" w:hAnsiTheme="majorHAnsi" w:cstheme="majorHAnsi"/>
          <w:sz w:val="24"/>
          <w:szCs w:val="24"/>
        </w:rPr>
      </w:pPr>
      <w:r w:rsidRPr="00C1058E">
        <w:rPr>
          <w:rFonts w:asciiTheme="majorHAnsi" w:eastAsia="Times New Roman" w:hAnsiTheme="majorHAnsi" w:cstheme="majorHAnsi"/>
          <w:sz w:val="24"/>
          <w:szCs w:val="24"/>
        </w:rPr>
        <w:t xml:space="preserve">The </w:t>
      </w:r>
      <w:r w:rsidR="0008701B" w:rsidRPr="00C1058E">
        <w:rPr>
          <w:rFonts w:asciiTheme="majorHAnsi" w:eastAsia="Times New Roman" w:hAnsiTheme="majorHAnsi" w:cstheme="majorHAnsi"/>
          <w:sz w:val="24"/>
          <w:szCs w:val="24"/>
        </w:rPr>
        <w:t>f</w:t>
      </w:r>
      <w:r w:rsidRPr="00C1058E">
        <w:rPr>
          <w:rFonts w:asciiTheme="majorHAnsi" w:eastAsia="Times New Roman" w:hAnsiTheme="majorHAnsi" w:cstheme="majorHAnsi"/>
          <w:sz w:val="24"/>
          <w:szCs w:val="24"/>
        </w:rPr>
        <w:t xml:space="preserve">indings </w:t>
      </w:r>
      <w:r w:rsidR="00C1058E" w:rsidRPr="00C1058E">
        <w:rPr>
          <w:rFonts w:asciiTheme="majorHAnsi" w:eastAsia="Times New Roman" w:hAnsiTheme="majorHAnsi" w:cstheme="majorHAnsi"/>
          <w:sz w:val="24"/>
          <w:szCs w:val="24"/>
        </w:rPr>
        <w:t xml:space="preserve">also reveal </w:t>
      </w:r>
      <w:r w:rsidR="0008701B" w:rsidRPr="00C1058E">
        <w:rPr>
          <w:rFonts w:asciiTheme="majorHAnsi" w:eastAsia="Times New Roman" w:hAnsiTheme="majorHAnsi" w:cstheme="majorHAnsi"/>
          <w:sz w:val="24"/>
          <w:szCs w:val="24"/>
        </w:rPr>
        <w:t>that</w:t>
      </w:r>
      <w:r w:rsidR="0008701B" w:rsidRPr="00C1058E">
        <w:rPr>
          <w:rFonts w:asciiTheme="majorHAnsi" w:hAnsiTheme="majorHAnsi" w:cstheme="majorHAnsi"/>
          <w:sz w:val="24"/>
          <w:szCs w:val="24"/>
        </w:rPr>
        <w:t xml:space="preserve"> </w:t>
      </w:r>
      <w:r w:rsidRPr="00C1058E">
        <w:rPr>
          <w:rFonts w:asciiTheme="majorHAnsi" w:hAnsiTheme="majorHAnsi" w:cstheme="majorHAnsi"/>
          <w:sz w:val="24"/>
          <w:szCs w:val="24"/>
        </w:rPr>
        <w:t>solvency</w:t>
      </w:r>
      <w:r w:rsidR="00C1058E" w:rsidRPr="00C1058E">
        <w:rPr>
          <w:rFonts w:asciiTheme="majorHAnsi" w:hAnsiTheme="majorHAnsi" w:cstheme="majorHAnsi"/>
          <w:sz w:val="24"/>
          <w:szCs w:val="24"/>
        </w:rPr>
        <w:t>,</w:t>
      </w:r>
      <w:r w:rsidRPr="00C1058E">
        <w:rPr>
          <w:rFonts w:asciiTheme="majorHAnsi" w:hAnsiTheme="majorHAnsi" w:cstheme="majorHAnsi"/>
          <w:sz w:val="24"/>
          <w:szCs w:val="24"/>
        </w:rPr>
        <w:t xml:space="preserve"> in terms of </w:t>
      </w:r>
      <w:r w:rsidR="0008701B" w:rsidRPr="00C1058E">
        <w:rPr>
          <w:rFonts w:asciiTheme="majorHAnsi" w:hAnsiTheme="majorHAnsi" w:cstheme="majorHAnsi"/>
          <w:sz w:val="24"/>
          <w:szCs w:val="24"/>
        </w:rPr>
        <w:t>total debt to equity ratio</w:t>
      </w:r>
      <w:r w:rsidR="00C1058E" w:rsidRPr="00C1058E">
        <w:rPr>
          <w:rFonts w:asciiTheme="majorHAnsi" w:hAnsiTheme="majorHAnsi" w:cstheme="majorHAnsi"/>
          <w:sz w:val="24"/>
          <w:szCs w:val="24"/>
        </w:rPr>
        <w:t>,</w:t>
      </w:r>
      <w:r w:rsidR="0008701B" w:rsidRPr="00C1058E">
        <w:rPr>
          <w:rFonts w:asciiTheme="majorHAnsi" w:hAnsiTheme="majorHAnsi" w:cstheme="majorHAnsi"/>
          <w:sz w:val="24"/>
          <w:szCs w:val="24"/>
        </w:rPr>
        <w:t xml:space="preserve"> has significant positive relationship with profitability. This implies that </w:t>
      </w:r>
      <w:r w:rsidRPr="00C1058E">
        <w:rPr>
          <w:rFonts w:asciiTheme="majorHAnsi" w:hAnsiTheme="majorHAnsi" w:cstheme="majorHAnsi"/>
          <w:sz w:val="24"/>
          <w:szCs w:val="24"/>
        </w:rPr>
        <w:t>when</w:t>
      </w:r>
      <w:r w:rsidR="0008701B" w:rsidRPr="00C1058E">
        <w:rPr>
          <w:rFonts w:asciiTheme="majorHAnsi" w:hAnsiTheme="majorHAnsi" w:cstheme="majorHAnsi"/>
          <w:sz w:val="24"/>
          <w:szCs w:val="24"/>
        </w:rPr>
        <w:t xml:space="preserve"> total debt to equity ratio </w:t>
      </w:r>
      <w:r w:rsidRPr="00C1058E">
        <w:rPr>
          <w:rFonts w:asciiTheme="majorHAnsi" w:hAnsiTheme="majorHAnsi" w:cstheme="majorHAnsi"/>
          <w:sz w:val="24"/>
          <w:szCs w:val="24"/>
        </w:rPr>
        <w:t>increases, profitability of commercial banks in</w:t>
      </w:r>
      <w:r w:rsidR="0008701B" w:rsidRPr="00C1058E">
        <w:rPr>
          <w:rFonts w:asciiTheme="majorHAnsi" w:hAnsiTheme="majorHAnsi" w:cstheme="majorHAnsi"/>
          <w:sz w:val="24"/>
          <w:szCs w:val="24"/>
        </w:rPr>
        <w:t>crease</w:t>
      </w:r>
      <w:r w:rsidRPr="00C1058E">
        <w:rPr>
          <w:rFonts w:asciiTheme="majorHAnsi" w:hAnsiTheme="majorHAnsi" w:cstheme="majorHAnsi"/>
          <w:sz w:val="24"/>
          <w:szCs w:val="24"/>
        </w:rPr>
        <w:t xml:space="preserve">s </w:t>
      </w:r>
      <w:r w:rsidR="0008701B" w:rsidRPr="00C1058E">
        <w:rPr>
          <w:rFonts w:asciiTheme="majorHAnsi" w:hAnsiTheme="majorHAnsi" w:cstheme="majorHAnsi"/>
          <w:sz w:val="24"/>
          <w:szCs w:val="24"/>
        </w:rPr>
        <w:t xml:space="preserve">and </w:t>
      </w:r>
      <w:r w:rsidRPr="00C1058E">
        <w:rPr>
          <w:rFonts w:asciiTheme="majorHAnsi" w:hAnsiTheme="majorHAnsi" w:cstheme="majorHAnsi"/>
          <w:sz w:val="24"/>
          <w:szCs w:val="24"/>
        </w:rPr>
        <w:t xml:space="preserve">when </w:t>
      </w:r>
      <w:r w:rsidR="0008701B" w:rsidRPr="00C1058E">
        <w:rPr>
          <w:rFonts w:asciiTheme="majorHAnsi" w:hAnsiTheme="majorHAnsi" w:cstheme="majorHAnsi"/>
          <w:sz w:val="24"/>
          <w:szCs w:val="24"/>
        </w:rPr>
        <w:t xml:space="preserve">total debt to equity ratio </w:t>
      </w:r>
      <w:r w:rsidRPr="00C1058E">
        <w:rPr>
          <w:rFonts w:asciiTheme="majorHAnsi" w:hAnsiTheme="majorHAnsi" w:cstheme="majorHAnsi"/>
          <w:sz w:val="24"/>
          <w:szCs w:val="24"/>
        </w:rPr>
        <w:t>decreases,</w:t>
      </w:r>
      <w:r w:rsidR="0008701B" w:rsidRPr="00C1058E">
        <w:rPr>
          <w:rFonts w:asciiTheme="majorHAnsi" w:hAnsiTheme="majorHAnsi" w:cstheme="majorHAnsi"/>
          <w:sz w:val="24"/>
          <w:szCs w:val="24"/>
        </w:rPr>
        <w:t xml:space="preserve"> profitability</w:t>
      </w:r>
      <w:r w:rsidRPr="00C1058E">
        <w:rPr>
          <w:rFonts w:asciiTheme="majorHAnsi" w:hAnsiTheme="majorHAnsi" w:cstheme="majorHAnsi"/>
          <w:sz w:val="24"/>
          <w:szCs w:val="24"/>
        </w:rPr>
        <w:t xml:space="preserve"> decreases</w:t>
      </w:r>
      <w:r w:rsidR="0008701B" w:rsidRPr="00C1058E">
        <w:rPr>
          <w:rFonts w:asciiTheme="majorHAnsi" w:hAnsiTheme="majorHAnsi" w:cstheme="majorHAnsi"/>
          <w:sz w:val="24"/>
          <w:szCs w:val="24"/>
        </w:rPr>
        <w:t xml:space="preserve">. </w:t>
      </w:r>
      <w:r w:rsidR="0008701B" w:rsidRPr="00C1058E">
        <w:rPr>
          <w:rFonts w:asciiTheme="majorHAnsi" w:eastAsia="TimesNewRomanPSMT" w:hAnsiTheme="majorHAnsi" w:cstheme="majorHAnsi"/>
          <w:sz w:val="24"/>
          <w:szCs w:val="24"/>
        </w:rPr>
        <w:t xml:space="preserve">This finding is in line with previous research by </w:t>
      </w:r>
      <w:r w:rsidR="00DC5082">
        <w:rPr>
          <w:rFonts w:asciiTheme="majorHAnsi" w:eastAsia="TimesNewRomanPSMT" w:hAnsiTheme="majorHAnsi" w:cstheme="majorHAnsi"/>
          <w:sz w:val="24"/>
          <w:szCs w:val="24"/>
        </w:rPr>
        <w:fldChar w:fldCharType="begin" w:fldLock="1"/>
      </w:r>
      <w:r w:rsidR="00C5007B">
        <w:rPr>
          <w:rFonts w:asciiTheme="majorHAnsi" w:eastAsia="TimesNewRomanPSMT" w:hAnsiTheme="majorHAnsi" w:cstheme="majorHAnsi"/>
          <w:sz w:val="24"/>
          <w:szCs w:val="24"/>
        </w:rPr>
        <w:instrText>ADDIN CSL_CITATION {"citationItems":[{"id":"ITEM-1","itemData":{"DOI":"10.4172/2167-0234.1000157","author":[{"dropping-particle":"","family":"Abdullah","given":"Mohammad","non-dropping-particle":"","parse-names":false,"suffix":""}],"container-title":"Journal of Business &amp; Financial Affairs","id":"ITEM-1","issue":"January 2015","issued":{"date-parts":[["2018"]]},"page":"1-13","title":"An empirical analysis of liquidity , profitability and solvency of Bangladeshi banks","type":"article-journal"},"uris":["http://www.mendeley.com/documents/?uuid=f2ea1e78-7438-42c4-ae4c-cd6a50ba7cac"]}],"mendeley":{"formattedCitation":"(Abdullah, 2018)","manualFormatting":"Abdullah (2018)","plainTextFormattedCitation":"(Abdullah, 2018)","previouslyFormattedCitation":"(Abdullah, 2018)"},"properties":{"noteIndex":0},"schema":"https://github.com/citation-style-language/schema/raw/master/csl-citation.json"}</w:instrText>
      </w:r>
      <w:r w:rsidR="00DC5082">
        <w:rPr>
          <w:rFonts w:asciiTheme="majorHAnsi" w:eastAsia="TimesNewRomanPSMT" w:hAnsiTheme="majorHAnsi" w:cstheme="majorHAnsi"/>
          <w:sz w:val="24"/>
          <w:szCs w:val="24"/>
        </w:rPr>
        <w:fldChar w:fldCharType="separate"/>
      </w:r>
      <w:r w:rsidR="00DC5082" w:rsidRPr="00DC5082">
        <w:rPr>
          <w:rFonts w:asciiTheme="majorHAnsi" w:eastAsia="TimesNewRomanPSMT" w:hAnsiTheme="majorHAnsi" w:cstheme="majorHAnsi"/>
          <w:noProof/>
          <w:sz w:val="24"/>
          <w:szCs w:val="24"/>
        </w:rPr>
        <w:t xml:space="preserve">Abdullah </w:t>
      </w:r>
      <w:r w:rsidR="00DC5082">
        <w:rPr>
          <w:rFonts w:asciiTheme="majorHAnsi" w:eastAsia="TimesNewRomanPSMT" w:hAnsiTheme="majorHAnsi" w:cstheme="majorHAnsi"/>
          <w:noProof/>
          <w:sz w:val="24"/>
          <w:szCs w:val="24"/>
        </w:rPr>
        <w:t>(</w:t>
      </w:r>
      <w:r w:rsidR="00DC5082" w:rsidRPr="00DC5082">
        <w:rPr>
          <w:rFonts w:asciiTheme="majorHAnsi" w:eastAsia="TimesNewRomanPSMT" w:hAnsiTheme="majorHAnsi" w:cstheme="majorHAnsi"/>
          <w:noProof/>
          <w:sz w:val="24"/>
          <w:szCs w:val="24"/>
        </w:rPr>
        <w:t>2018)</w:t>
      </w:r>
      <w:r w:rsidR="00DC5082">
        <w:rPr>
          <w:rFonts w:asciiTheme="majorHAnsi" w:eastAsia="TimesNewRomanPSMT" w:hAnsiTheme="majorHAnsi" w:cstheme="majorHAnsi"/>
          <w:sz w:val="24"/>
          <w:szCs w:val="24"/>
        </w:rPr>
        <w:fldChar w:fldCharType="end"/>
      </w:r>
      <w:r w:rsidR="00DC5082">
        <w:rPr>
          <w:rFonts w:asciiTheme="majorHAnsi" w:eastAsia="TimesNewRomanPSMT" w:hAnsiTheme="majorHAnsi" w:cstheme="majorHAnsi"/>
          <w:sz w:val="24"/>
          <w:szCs w:val="24"/>
        </w:rPr>
        <w:t xml:space="preserve"> on empirical analysis of liquidity, solvency and profitability of </w:t>
      </w:r>
      <w:r w:rsidR="00C5007B">
        <w:rPr>
          <w:rFonts w:asciiTheme="majorHAnsi" w:eastAsia="TimesNewRomanPSMT" w:hAnsiTheme="majorHAnsi" w:cstheme="majorHAnsi"/>
          <w:sz w:val="24"/>
          <w:szCs w:val="24"/>
        </w:rPr>
        <w:t xml:space="preserve">banks in </w:t>
      </w:r>
      <w:r w:rsidR="00DC5082">
        <w:rPr>
          <w:rFonts w:asciiTheme="majorHAnsi" w:eastAsia="TimesNewRomanPSMT" w:hAnsiTheme="majorHAnsi" w:cstheme="majorHAnsi"/>
          <w:sz w:val="24"/>
          <w:szCs w:val="24"/>
        </w:rPr>
        <w:t>Bangladesh</w:t>
      </w:r>
      <w:r w:rsidR="00C5007B">
        <w:rPr>
          <w:rFonts w:asciiTheme="majorHAnsi" w:eastAsia="TimesNewRomanPSMT" w:hAnsiTheme="majorHAnsi" w:cstheme="majorHAnsi"/>
          <w:sz w:val="24"/>
          <w:szCs w:val="24"/>
        </w:rPr>
        <w:t xml:space="preserve">. It is also in agreement with the findings of the research by </w:t>
      </w:r>
      <w:r w:rsidR="00C5007B">
        <w:rPr>
          <w:rFonts w:asciiTheme="majorHAnsi" w:eastAsia="TimesNewRomanPSMT" w:hAnsiTheme="majorHAnsi" w:cstheme="majorHAnsi"/>
          <w:sz w:val="24"/>
          <w:szCs w:val="24"/>
        </w:rPr>
        <w:fldChar w:fldCharType="begin" w:fldLock="1"/>
      </w:r>
      <w:r w:rsidR="009F5982">
        <w:rPr>
          <w:rFonts w:asciiTheme="majorHAnsi" w:eastAsia="TimesNewRomanPSMT" w:hAnsiTheme="majorHAnsi" w:cstheme="majorHAnsi"/>
          <w:sz w:val="24"/>
          <w:szCs w:val="24"/>
        </w:rPr>
        <w:instrText>ADDIN CSL_CITATION {"citationItems":[{"id":"ITEM-1","itemData":{"ISSN":"21464138","abstract":"This study aimed to analyze the effect of leverage and the size of a company to its profitability. Data were obtained from the financial statements of 100 qualified manufacturing companies listed in Indonesia Stock Exchange in the period of 2009-2014. Leverage was measured by debt ratio, while firm size was measured by total assets and total sales, and profitability by return on assets. Panel data regression analysis was implemented to analyze the influence of independent variables to the dependent variable. The most suitable panel data regression model in this study was a fixed effect model. The study found that the debt ratio had a significant positive effect on profitability while total assets had a significant negative impact. In contrast, total sales had statistically insignificant effect to the profitability of the companies.","author":[{"dropping-particle":"","family":"Kartikasari","given":"Dwi","non-dropping-particle":"","parse-names":false,"suffix":""},{"dropping-particle":"","family":"Merianti","given":"Marisa","non-dropping-particle":"","parse-names":false,"suffix":""}],"container-title":"International Journal of Economics and Financial Issues","id":"ITEM-1","issue":"2","issued":{"date-parts":[["2016"]]},"page":"409-413","title":"The effect of leverage and firm size to profitability of public manufacturing companies in Indonesia","type":"article-journal","volume":"6"},"uris":["http://www.mendeley.com/documents/?uuid=6525fe3a-5d72-4480-abed-e490e1e4a97b"]}],"mendeley":{"formattedCitation":"(Kartikasari &amp; Merianti, 2016)","manualFormatting":"Kartikasari and Merianti (2016)","plainTextFormattedCitation":"(Kartikasari &amp; Merianti, 2016)","previouslyFormattedCitation":"(Kartikasari &amp; Merianti, 2016)"},"properties":{"noteIndex":0},"schema":"https://github.com/citation-style-language/schema/raw/master/csl-citation.json"}</w:instrText>
      </w:r>
      <w:r w:rsidR="00C5007B">
        <w:rPr>
          <w:rFonts w:asciiTheme="majorHAnsi" w:eastAsia="TimesNewRomanPSMT" w:hAnsiTheme="majorHAnsi" w:cstheme="majorHAnsi"/>
          <w:sz w:val="24"/>
          <w:szCs w:val="24"/>
        </w:rPr>
        <w:fldChar w:fldCharType="separate"/>
      </w:r>
      <w:r w:rsidR="00C5007B" w:rsidRPr="00C5007B">
        <w:rPr>
          <w:rFonts w:asciiTheme="majorHAnsi" w:eastAsia="TimesNewRomanPSMT" w:hAnsiTheme="majorHAnsi" w:cstheme="majorHAnsi"/>
          <w:noProof/>
          <w:sz w:val="24"/>
          <w:szCs w:val="24"/>
        </w:rPr>
        <w:t xml:space="preserve">Kartikasari </w:t>
      </w:r>
      <w:r w:rsidR="00C5007B">
        <w:rPr>
          <w:rFonts w:asciiTheme="majorHAnsi" w:eastAsia="TimesNewRomanPSMT" w:hAnsiTheme="majorHAnsi" w:cstheme="majorHAnsi"/>
          <w:noProof/>
          <w:sz w:val="24"/>
          <w:szCs w:val="24"/>
        </w:rPr>
        <w:t>and</w:t>
      </w:r>
      <w:r w:rsidR="00C5007B" w:rsidRPr="00C5007B">
        <w:rPr>
          <w:rFonts w:asciiTheme="majorHAnsi" w:eastAsia="TimesNewRomanPSMT" w:hAnsiTheme="majorHAnsi" w:cstheme="majorHAnsi"/>
          <w:noProof/>
          <w:sz w:val="24"/>
          <w:szCs w:val="24"/>
        </w:rPr>
        <w:t xml:space="preserve"> Merianti </w:t>
      </w:r>
      <w:r w:rsidR="00C5007B">
        <w:rPr>
          <w:rFonts w:asciiTheme="majorHAnsi" w:eastAsia="TimesNewRomanPSMT" w:hAnsiTheme="majorHAnsi" w:cstheme="majorHAnsi"/>
          <w:noProof/>
          <w:sz w:val="24"/>
          <w:szCs w:val="24"/>
        </w:rPr>
        <w:t>(</w:t>
      </w:r>
      <w:r w:rsidR="00C5007B" w:rsidRPr="00C5007B">
        <w:rPr>
          <w:rFonts w:asciiTheme="majorHAnsi" w:eastAsia="TimesNewRomanPSMT" w:hAnsiTheme="majorHAnsi" w:cstheme="majorHAnsi"/>
          <w:noProof/>
          <w:sz w:val="24"/>
          <w:szCs w:val="24"/>
        </w:rPr>
        <w:t>2016)</w:t>
      </w:r>
      <w:r w:rsidR="00C5007B">
        <w:rPr>
          <w:rFonts w:asciiTheme="majorHAnsi" w:eastAsia="TimesNewRomanPSMT" w:hAnsiTheme="majorHAnsi" w:cstheme="majorHAnsi"/>
          <w:sz w:val="24"/>
          <w:szCs w:val="24"/>
        </w:rPr>
        <w:fldChar w:fldCharType="end"/>
      </w:r>
      <w:r w:rsidR="00C5007B">
        <w:rPr>
          <w:rFonts w:asciiTheme="majorHAnsi" w:eastAsia="TimesNewRomanPSMT" w:hAnsiTheme="majorHAnsi" w:cstheme="majorHAnsi"/>
          <w:sz w:val="24"/>
          <w:szCs w:val="24"/>
        </w:rPr>
        <w:t xml:space="preserve"> when they conducted their research on the effect of leverage and firm size on profitability of public manufacturing companies in Indonesia.</w:t>
      </w:r>
    </w:p>
    <w:p w14:paraId="764E9817" w14:textId="4C1E4E34" w:rsidR="00CB32C4" w:rsidRDefault="0008701B" w:rsidP="00864099">
      <w:pPr>
        <w:autoSpaceDE w:val="0"/>
        <w:autoSpaceDN w:val="0"/>
        <w:adjustRightInd w:val="0"/>
        <w:spacing w:after="0" w:line="480" w:lineRule="auto"/>
        <w:rPr>
          <w:rFonts w:asciiTheme="majorHAnsi" w:hAnsiTheme="majorHAnsi" w:cstheme="majorHAnsi"/>
          <w:sz w:val="24"/>
          <w:szCs w:val="24"/>
        </w:rPr>
      </w:pPr>
      <w:r w:rsidRPr="00994C2F">
        <w:rPr>
          <w:rFonts w:asciiTheme="majorHAnsi" w:eastAsia="TimesNewRomanPSMT" w:hAnsiTheme="majorHAnsi" w:cstheme="majorHAnsi"/>
          <w:color w:val="FF0000"/>
          <w:sz w:val="24"/>
          <w:szCs w:val="24"/>
          <w:highlight w:val="yellow"/>
        </w:rPr>
        <w:t xml:space="preserve"> </w:t>
      </w:r>
      <w:bookmarkStart w:id="119" w:name="_Toc76494422"/>
    </w:p>
    <w:p w14:paraId="31C44F68" w14:textId="44A2FC5C" w:rsidR="00CB32C4" w:rsidRPr="00C553FC" w:rsidRDefault="00CB32C4" w:rsidP="00BD12A1">
      <w:pPr>
        <w:pStyle w:val="Heading2"/>
        <w:spacing w:line="480" w:lineRule="auto"/>
        <w:jc w:val="left"/>
        <w:rPr>
          <w:rFonts w:asciiTheme="majorHAnsi" w:hAnsiTheme="majorHAnsi" w:cstheme="majorHAnsi"/>
          <w:sz w:val="28"/>
          <w:szCs w:val="28"/>
        </w:rPr>
      </w:pPr>
      <w:bookmarkStart w:id="120" w:name="_Toc78205819"/>
      <w:r w:rsidRPr="00C553FC">
        <w:rPr>
          <w:sz w:val="28"/>
          <w:szCs w:val="28"/>
        </w:rPr>
        <w:t>Test of hypothesis</w:t>
      </w:r>
      <w:bookmarkEnd w:id="120"/>
    </w:p>
    <w:p w14:paraId="1CDB7CCB" w14:textId="0681A816" w:rsidR="00CB32C4" w:rsidRPr="00CB32C4" w:rsidRDefault="00CB32C4" w:rsidP="00CB32C4">
      <w:pPr>
        <w:spacing w:line="480" w:lineRule="auto"/>
        <w:ind w:firstLine="720"/>
        <w:rPr>
          <w:rFonts w:asciiTheme="majorHAnsi" w:hAnsiTheme="majorHAnsi" w:cstheme="majorHAnsi"/>
          <w:sz w:val="24"/>
          <w:szCs w:val="24"/>
        </w:rPr>
      </w:pPr>
      <w:r w:rsidRPr="00CB32C4">
        <w:rPr>
          <w:rFonts w:asciiTheme="majorHAnsi" w:hAnsiTheme="majorHAnsi" w:cstheme="majorHAnsi"/>
          <w:sz w:val="24"/>
          <w:szCs w:val="24"/>
        </w:rPr>
        <w:t>The hypoth</w:t>
      </w:r>
      <w:r w:rsidR="00D92583">
        <w:rPr>
          <w:rFonts w:asciiTheme="majorHAnsi" w:hAnsiTheme="majorHAnsi" w:cstheme="majorHAnsi"/>
          <w:sz w:val="24"/>
          <w:szCs w:val="24"/>
        </w:rPr>
        <w:t>esis</w:t>
      </w:r>
      <w:r w:rsidRPr="00CB32C4">
        <w:rPr>
          <w:rFonts w:asciiTheme="majorHAnsi" w:hAnsiTheme="majorHAnsi" w:cstheme="majorHAnsi"/>
          <w:sz w:val="24"/>
          <w:szCs w:val="24"/>
        </w:rPr>
        <w:t xml:space="preserve"> </w:t>
      </w:r>
      <w:r w:rsidR="00D92583">
        <w:rPr>
          <w:rFonts w:asciiTheme="majorHAnsi" w:hAnsiTheme="majorHAnsi" w:cstheme="majorHAnsi"/>
          <w:sz w:val="24"/>
          <w:szCs w:val="24"/>
        </w:rPr>
        <w:t xml:space="preserve">testing </w:t>
      </w:r>
      <w:r w:rsidRPr="00CB32C4">
        <w:rPr>
          <w:rFonts w:asciiTheme="majorHAnsi" w:hAnsiTheme="majorHAnsi" w:cstheme="majorHAnsi"/>
          <w:sz w:val="24"/>
          <w:szCs w:val="24"/>
        </w:rPr>
        <w:t>w</w:t>
      </w:r>
      <w:r w:rsidR="00D92583">
        <w:rPr>
          <w:rFonts w:asciiTheme="majorHAnsi" w:hAnsiTheme="majorHAnsi" w:cstheme="majorHAnsi"/>
          <w:sz w:val="24"/>
          <w:szCs w:val="24"/>
        </w:rPr>
        <w:t>as</w:t>
      </w:r>
      <w:r w:rsidRPr="00CB32C4">
        <w:rPr>
          <w:rFonts w:asciiTheme="majorHAnsi" w:hAnsiTheme="majorHAnsi" w:cstheme="majorHAnsi"/>
          <w:sz w:val="24"/>
          <w:szCs w:val="24"/>
        </w:rPr>
        <w:t xml:space="preserve"> </w:t>
      </w:r>
      <w:r w:rsidR="00D92583">
        <w:rPr>
          <w:rFonts w:asciiTheme="majorHAnsi" w:hAnsiTheme="majorHAnsi" w:cstheme="majorHAnsi"/>
          <w:sz w:val="24"/>
          <w:szCs w:val="24"/>
        </w:rPr>
        <w:t>found</w:t>
      </w:r>
      <w:r w:rsidRPr="00CB32C4">
        <w:rPr>
          <w:rFonts w:asciiTheme="majorHAnsi" w:hAnsiTheme="majorHAnsi" w:cstheme="majorHAnsi"/>
          <w:sz w:val="24"/>
          <w:szCs w:val="24"/>
        </w:rPr>
        <w:t xml:space="preserve"> by running regression </w:t>
      </w:r>
      <w:r w:rsidR="00D92583">
        <w:rPr>
          <w:rFonts w:asciiTheme="majorHAnsi" w:hAnsiTheme="majorHAnsi" w:cstheme="majorHAnsi"/>
          <w:sz w:val="24"/>
          <w:szCs w:val="24"/>
        </w:rPr>
        <w:t>analysis</w:t>
      </w:r>
      <w:r w:rsidRPr="00CB32C4">
        <w:rPr>
          <w:rFonts w:asciiTheme="majorHAnsi" w:hAnsiTheme="majorHAnsi" w:cstheme="majorHAnsi"/>
          <w:sz w:val="24"/>
          <w:szCs w:val="24"/>
        </w:rPr>
        <w:t xml:space="preserve"> </w:t>
      </w:r>
      <w:r w:rsidR="00D92583">
        <w:rPr>
          <w:rFonts w:asciiTheme="majorHAnsi" w:hAnsiTheme="majorHAnsi" w:cstheme="majorHAnsi"/>
          <w:sz w:val="24"/>
          <w:szCs w:val="24"/>
        </w:rPr>
        <w:t>whose output was the p-value, the standard error and the coefficients</w:t>
      </w:r>
      <w:r w:rsidRPr="00D92583">
        <w:rPr>
          <w:rFonts w:asciiTheme="majorHAnsi" w:hAnsiTheme="majorHAnsi" w:cstheme="majorHAnsi"/>
          <w:sz w:val="24"/>
          <w:szCs w:val="24"/>
        </w:rPr>
        <w:t>. The P-value w</w:t>
      </w:r>
      <w:r w:rsidR="00D92583">
        <w:rPr>
          <w:rFonts w:asciiTheme="majorHAnsi" w:hAnsiTheme="majorHAnsi" w:cstheme="majorHAnsi"/>
          <w:sz w:val="24"/>
          <w:szCs w:val="24"/>
        </w:rPr>
        <w:t>as</w:t>
      </w:r>
      <w:r w:rsidRPr="00D92583">
        <w:rPr>
          <w:rFonts w:asciiTheme="majorHAnsi" w:hAnsiTheme="majorHAnsi" w:cstheme="majorHAnsi"/>
          <w:sz w:val="24"/>
          <w:szCs w:val="24"/>
        </w:rPr>
        <w:t xml:space="preserve"> used to test the hypotheses by indicating whether the hypothesis will be </w:t>
      </w:r>
      <w:r w:rsidR="00D92583">
        <w:rPr>
          <w:rFonts w:asciiTheme="majorHAnsi" w:hAnsiTheme="majorHAnsi" w:cstheme="majorHAnsi"/>
          <w:sz w:val="24"/>
          <w:szCs w:val="24"/>
        </w:rPr>
        <w:t>rejected</w:t>
      </w:r>
      <w:r w:rsidRPr="00D92583">
        <w:rPr>
          <w:rFonts w:asciiTheme="majorHAnsi" w:hAnsiTheme="majorHAnsi" w:cstheme="majorHAnsi"/>
          <w:sz w:val="24"/>
          <w:szCs w:val="24"/>
        </w:rPr>
        <w:t xml:space="preserve"> or not. </w:t>
      </w:r>
      <w:r w:rsidR="00D92583">
        <w:rPr>
          <w:rFonts w:asciiTheme="majorHAnsi" w:hAnsiTheme="majorHAnsi" w:cstheme="majorHAnsi"/>
          <w:sz w:val="24"/>
          <w:szCs w:val="24"/>
        </w:rPr>
        <w:t>The hypothesis</w:t>
      </w:r>
      <w:r w:rsidRPr="00D92583">
        <w:rPr>
          <w:rFonts w:asciiTheme="majorHAnsi" w:hAnsiTheme="majorHAnsi" w:cstheme="majorHAnsi"/>
          <w:sz w:val="24"/>
          <w:szCs w:val="24"/>
        </w:rPr>
        <w:t xml:space="preserve"> of th</w:t>
      </w:r>
      <w:r w:rsidR="00D92583">
        <w:rPr>
          <w:rFonts w:asciiTheme="majorHAnsi" w:hAnsiTheme="majorHAnsi" w:cstheme="majorHAnsi"/>
          <w:sz w:val="24"/>
          <w:szCs w:val="24"/>
        </w:rPr>
        <w:t>is</w:t>
      </w:r>
      <w:r w:rsidRPr="00D92583">
        <w:rPr>
          <w:rFonts w:asciiTheme="majorHAnsi" w:hAnsiTheme="majorHAnsi" w:cstheme="majorHAnsi"/>
          <w:sz w:val="24"/>
          <w:szCs w:val="24"/>
        </w:rPr>
        <w:t xml:space="preserve"> study stated that </w:t>
      </w:r>
      <w:r w:rsidR="00D92583">
        <w:rPr>
          <w:rFonts w:asciiTheme="majorHAnsi" w:hAnsiTheme="majorHAnsi" w:cstheme="majorHAnsi"/>
          <w:sz w:val="24"/>
          <w:szCs w:val="24"/>
        </w:rPr>
        <w:t>there is no significant relationship between solvency and profitability of commercial banks in Kenya</w:t>
      </w:r>
      <w:r w:rsidRPr="00D92583">
        <w:rPr>
          <w:rFonts w:asciiTheme="majorHAnsi" w:hAnsiTheme="majorHAnsi" w:cstheme="majorHAnsi"/>
          <w:sz w:val="24"/>
          <w:szCs w:val="24"/>
        </w:rPr>
        <w:t>.</w:t>
      </w:r>
      <w:r w:rsidR="00D92583">
        <w:rPr>
          <w:rFonts w:asciiTheme="majorHAnsi" w:hAnsiTheme="majorHAnsi" w:cstheme="majorHAnsi"/>
          <w:sz w:val="24"/>
          <w:szCs w:val="24"/>
        </w:rPr>
        <w:t xml:space="preserve"> Based on the regression results, the p value</w:t>
      </w:r>
      <w:r w:rsidR="00CF034C">
        <w:rPr>
          <w:rFonts w:asciiTheme="majorHAnsi" w:hAnsiTheme="majorHAnsi" w:cstheme="majorHAnsi"/>
          <w:sz w:val="24"/>
          <w:szCs w:val="24"/>
        </w:rPr>
        <w:t>=</w:t>
      </w:r>
      <w:r w:rsidR="00D92583">
        <w:rPr>
          <w:rFonts w:asciiTheme="majorHAnsi" w:hAnsiTheme="majorHAnsi" w:cstheme="majorHAnsi"/>
          <w:sz w:val="24"/>
          <w:szCs w:val="24"/>
        </w:rPr>
        <w:t xml:space="preserve">0.00 which </w:t>
      </w:r>
      <w:r w:rsidR="00CF034C">
        <w:rPr>
          <w:rFonts w:asciiTheme="majorHAnsi" w:hAnsiTheme="majorHAnsi" w:cstheme="majorHAnsi"/>
          <w:sz w:val="24"/>
          <w:szCs w:val="24"/>
        </w:rPr>
        <w:t>i</w:t>
      </w:r>
      <w:r w:rsidR="00D92583">
        <w:rPr>
          <w:rFonts w:asciiTheme="majorHAnsi" w:hAnsiTheme="majorHAnsi" w:cstheme="majorHAnsi"/>
          <w:sz w:val="24"/>
          <w:szCs w:val="24"/>
        </w:rPr>
        <w:t>s less than 0.05. Therefore, the null hypothesis was rejected.</w:t>
      </w:r>
    </w:p>
    <w:p w14:paraId="195F02AE" w14:textId="77777777" w:rsidR="00CB32C4" w:rsidRDefault="00CB32C4" w:rsidP="00724D10">
      <w:pPr>
        <w:pStyle w:val="Heading1"/>
        <w:spacing w:line="480" w:lineRule="auto"/>
        <w:rPr>
          <w:rFonts w:asciiTheme="majorHAnsi" w:hAnsiTheme="majorHAnsi" w:cstheme="majorHAnsi"/>
          <w:sz w:val="24"/>
          <w:szCs w:val="24"/>
          <w:u w:val="none"/>
        </w:rPr>
      </w:pPr>
    </w:p>
    <w:p w14:paraId="4A687271" w14:textId="77777777" w:rsidR="00CB32C4" w:rsidRDefault="00CB32C4" w:rsidP="00724D10">
      <w:pPr>
        <w:pStyle w:val="Heading1"/>
        <w:spacing w:line="480" w:lineRule="auto"/>
        <w:rPr>
          <w:rFonts w:asciiTheme="majorHAnsi" w:hAnsiTheme="majorHAnsi" w:cstheme="majorHAnsi"/>
          <w:sz w:val="24"/>
          <w:szCs w:val="24"/>
          <w:u w:val="none"/>
        </w:rPr>
      </w:pPr>
    </w:p>
    <w:p w14:paraId="77719FC6" w14:textId="77777777" w:rsidR="00CB32C4" w:rsidRDefault="00CB32C4" w:rsidP="00724D10">
      <w:pPr>
        <w:pStyle w:val="Heading1"/>
        <w:spacing w:line="480" w:lineRule="auto"/>
        <w:rPr>
          <w:rFonts w:asciiTheme="majorHAnsi" w:hAnsiTheme="majorHAnsi" w:cstheme="majorHAnsi"/>
          <w:sz w:val="24"/>
          <w:szCs w:val="24"/>
          <w:u w:val="none"/>
        </w:rPr>
      </w:pPr>
    </w:p>
    <w:p w14:paraId="64B22DFA" w14:textId="77777777" w:rsidR="00FD6F7D" w:rsidRPr="00FD6F7D" w:rsidRDefault="00FD6F7D" w:rsidP="00FD6F7D"/>
    <w:p w14:paraId="083BFA64" w14:textId="0A7F1649" w:rsidR="00724D10" w:rsidRPr="00C553FC" w:rsidRDefault="00724D10" w:rsidP="00724D10">
      <w:pPr>
        <w:pStyle w:val="Heading1"/>
        <w:spacing w:line="480" w:lineRule="auto"/>
        <w:rPr>
          <w:rFonts w:asciiTheme="majorHAnsi" w:hAnsiTheme="majorHAnsi" w:cstheme="majorHAnsi"/>
          <w:szCs w:val="28"/>
          <w:u w:val="none"/>
        </w:rPr>
      </w:pPr>
      <w:bookmarkStart w:id="121" w:name="_Toc78205820"/>
      <w:r w:rsidRPr="00C553FC">
        <w:rPr>
          <w:rFonts w:asciiTheme="majorHAnsi" w:hAnsiTheme="majorHAnsi" w:cstheme="majorHAnsi"/>
          <w:szCs w:val="28"/>
          <w:u w:val="none"/>
        </w:rPr>
        <w:t>CHAPTER FIVE</w:t>
      </w:r>
      <w:bookmarkEnd w:id="119"/>
      <w:bookmarkEnd w:id="121"/>
    </w:p>
    <w:p w14:paraId="0001967D" w14:textId="77777777" w:rsidR="00724D10" w:rsidRPr="00C553FC" w:rsidRDefault="00724D10" w:rsidP="00724D10">
      <w:pPr>
        <w:pStyle w:val="Heading1"/>
        <w:spacing w:line="480" w:lineRule="auto"/>
        <w:rPr>
          <w:rFonts w:asciiTheme="majorHAnsi" w:hAnsiTheme="majorHAnsi" w:cstheme="majorHAnsi"/>
          <w:szCs w:val="28"/>
          <w:u w:val="none"/>
        </w:rPr>
      </w:pPr>
      <w:bookmarkStart w:id="122" w:name="_Toc76494423"/>
      <w:bookmarkStart w:id="123" w:name="_Toc78205821"/>
      <w:r w:rsidRPr="00C553FC">
        <w:rPr>
          <w:rFonts w:asciiTheme="majorHAnsi" w:hAnsiTheme="majorHAnsi" w:cstheme="majorHAnsi"/>
          <w:szCs w:val="28"/>
          <w:u w:val="none"/>
        </w:rPr>
        <w:t>SUMMARY, CONCLUSIONS AND RECOMMENDATIONS</w:t>
      </w:r>
      <w:bookmarkEnd w:id="122"/>
      <w:bookmarkEnd w:id="123"/>
    </w:p>
    <w:p w14:paraId="57F6E9D0" w14:textId="77777777" w:rsidR="00724D10" w:rsidRPr="00C553FC" w:rsidRDefault="00724D10" w:rsidP="00BD12A1">
      <w:pPr>
        <w:pStyle w:val="Heading2"/>
        <w:spacing w:line="480" w:lineRule="auto"/>
        <w:jc w:val="left"/>
      </w:pPr>
      <w:bookmarkStart w:id="124" w:name="_Toc78205822"/>
      <w:r w:rsidRPr="00C553FC">
        <w:t>Introduction</w:t>
      </w:r>
      <w:bookmarkEnd w:id="124"/>
    </w:p>
    <w:p w14:paraId="550523CB" w14:textId="506664DC" w:rsidR="00724D10" w:rsidRPr="0022305D" w:rsidRDefault="00724D10" w:rsidP="00BD12A1">
      <w:pPr>
        <w:pStyle w:val="Default"/>
        <w:spacing w:line="480" w:lineRule="auto"/>
        <w:ind w:firstLine="720"/>
        <w:rPr>
          <w:rFonts w:asciiTheme="majorHAnsi" w:hAnsiTheme="majorHAnsi" w:cstheme="majorHAnsi"/>
        </w:rPr>
      </w:pPr>
      <w:r w:rsidRPr="0022305D">
        <w:rPr>
          <w:rFonts w:asciiTheme="majorHAnsi" w:hAnsiTheme="majorHAnsi" w:cstheme="majorHAnsi"/>
        </w:rPr>
        <w:t xml:space="preserve">This chapter contains the summary of the study, conclusion and recommendations.  </w:t>
      </w:r>
      <w:r w:rsidR="004D0509" w:rsidRPr="004D0509">
        <w:rPr>
          <w:rFonts w:asciiTheme="majorHAnsi" w:hAnsiTheme="majorHAnsi" w:cstheme="majorHAnsi"/>
        </w:rPr>
        <w:t>The results of this research lead to conclusions that serve as the foundation for suggestions</w:t>
      </w:r>
      <w:r w:rsidRPr="0022305D">
        <w:rPr>
          <w:rFonts w:asciiTheme="majorHAnsi" w:hAnsiTheme="majorHAnsi" w:cstheme="majorHAnsi"/>
        </w:rPr>
        <w:t xml:space="preserve">. </w:t>
      </w:r>
      <w:r w:rsidR="004D0509" w:rsidRPr="004D0509">
        <w:rPr>
          <w:rFonts w:asciiTheme="majorHAnsi" w:hAnsiTheme="majorHAnsi" w:cstheme="majorHAnsi"/>
        </w:rPr>
        <w:t xml:space="preserve">It also makes recommendations for future research based on the study's </w:t>
      </w:r>
      <w:r w:rsidR="004D0509">
        <w:rPr>
          <w:rFonts w:asciiTheme="majorHAnsi" w:hAnsiTheme="majorHAnsi" w:cstheme="majorHAnsi"/>
        </w:rPr>
        <w:t>limitations</w:t>
      </w:r>
      <w:r w:rsidR="004D0509" w:rsidRPr="004D0509">
        <w:rPr>
          <w:rFonts w:asciiTheme="majorHAnsi" w:hAnsiTheme="majorHAnsi" w:cstheme="majorHAnsi"/>
        </w:rPr>
        <w:t xml:space="preserve"> and findings</w:t>
      </w:r>
      <w:r w:rsidRPr="0022305D">
        <w:rPr>
          <w:rFonts w:asciiTheme="majorHAnsi" w:hAnsiTheme="majorHAnsi" w:cstheme="majorHAnsi"/>
        </w:rPr>
        <w:t xml:space="preserve">. The conclusions are discussed </w:t>
      </w:r>
      <w:r w:rsidR="004D0509">
        <w:rPr>
          <w:rFonts w:asciiTheme="majorHAnsi" w:hAnsiTheme="majorHAnsi" w:cstheme="majorHAnsi"/>
        </w:rPr>
        <w:t>based on the</w:t>
      </w:r>
      <w:r w:rsidRPr="0022305D">
        <w:rPr>
          <w:rFonts w:asciiTheme="majorHAnsi" w:hAnsiTheme="majorHAnsi" w:cstheme="majorHAnsi"/>
        </w:rPr>
        <w:t xml:space="preserve"> research questions and the corresponding hypotheses. The summary of the study was based on the purpose of this research. The conclusions and recommendations were based on the findings of the study.</w:t>
      </w:r>
    </w:p>
    <w:p w14:paraId="1D7A8B17" w14:textId="77777777" w:rsidR="00BD12A1" w:rsidRDefault="00BD12A1" w:rsidP="00724D10">
      <w:pPr>
        <w:pStyle w:val="Heading2"/>
        <w:spacing w:line="480" w:lineRule="auto"/>
        <w:rPr>
          <w:rFonts w:asciiTheme="majorHAnsi" w:hAnsiTheme="majorHAnsi" w:cstheme="majorHAnsi"/>
          <w:sz w:val="28"/>
          <w:szCs w:val="28"/>
        </w:rPr>
      </w:pPr>
      <w:bookmarkStart w:id="125" w:name="_Toc76494424"/>
    </w:p>
    <w:p w14:paraId="413B10AB" w14:textId="03382F48" w:rsidR="00724D10" w:rsidRPr="00C553FC" w:rsidRDefault="00724D10" w:rsidP="00BD12A1">
      <w:pPr>
        <w:pStyle w:val="Heading2"/>
        <w:spacing w:line="480" w:lineRule="auto"/>
        <w:jc w:val="left"/>
        <w:rPr>
          <w:rFonts w:asciiTheme="majorHAnsi" w:hAnsiTheme="majorHAnsi" w:cstheme="majorHAnsi"/>
          <w:sz w:val="28"/>
          <w:szCs w:val="28"/>
        </w:rPr>
      </w:pPr>
      <w:bookmarkStart w:id="126" w:name="_Toc78205823"/>
      <w:r w:rsidRPr="00C553FC">
        <w:rPr>
          <w:rFonts w:asciiTheme="majorHAnsi" w:hAnsiTheme="majorHAnsi" w:cstheme="majorHAnsi"/>
          <w:sz w:val="28"/>
          <w:szCs w:val="28"/>
        </w:rPr>
        <w:t>The Summary</w:t>
      </w:r>
      <w:bookmarkEnd w:id="125"/>
      <w:bookmarkEnd w:id="126"/>
    </w:p>
    <w:p w14:paraId="699252C0" w14:textId="5780B71A" w:rsidR="001E37F2" w:rsidRDefault="00724D10" w:rsidP="00724D10">
      <w:pPr>
        <w:spacing w:line="480" w:lineRule="auto"/>
        <w:ind w:firstLine="720"/>
        <w:rPr>
          <w:rFonts w:asciiTheme="majorHAnsi" w:eastAsia="Times New Roman" w:hAnsiTheme="majorHAnsi" w:cstheme="majorHAnsi"/>
          <w:sz w:val="24"/>
          <w:szCs w:val="24"/>
        </w:rPr>
      </w:pPr>
      <w:r w:rsidRPr="0022305D">
        <w:rPr>
          <w:rFonts w:asciiTheme="majorHAnsi" w:eastAsia="Times New Roman" w:hAnsiTheme="majorHAnsi" w:cstheme="majorHAnsi"/>
          <w:sz w:val="24"/>
          <w:szCs w:val="24"/>
        </w:rPr>
        <w:t xml:space="preserve">In this study, 43 commercial banks in Kenya were evaluated using descriptive research design. The study measured solvency in terms of </w:t>
      </w:r>
      <w:r w:rsidR="00CB2CDC">
        <w:rPr>
          <w:rFonts w:asciiTheme="majorHAnsi" w:eastAsia="Times New Roman" w:hAnsiTheme="majorHAnsi" w:cstheme="majorHAnsi"/>
          <w:sz w:val="24"/>
          <w:szCs w:val="24"/>
        </w:rPr>
        <w:t>total debt to total assets ratio</w:t>
      </w:r>
      <w:r w:rsidRPr="0022305D">
        <w:rPr>
          <w:rFonts w:asciiTheme="majorHAnsi" w:eastAsia="Times New Roman" w:hAnsiTheme="majorHAnsi" w:cstheme="majorHAnsi"/>
          <w:sz w:val="24"/>
          <w:szCs w:val="24"/>
        </w:rPr>
        <w:t xml:space="preserve"> and </w:t>
      </w:r>
      <w:r w:rsidR="00BE06BC">
        <w:rPr>
          <w:rFonts w:asciiTheme="majorHAnsi" w:eastAsia="Times New Roman" w:hAnsiTheme="majorHAnsi" w:cstheme="majorHAnsi"/>
          <w:sz w:val="24"/>
          <w:szCs w:val="24"/>
        </w:rPr>
        <w:t>total debt to equity</w:t>
      </w:r>
      <w:r w:rsidRPr="0022305D">
        <w:rPr>
          <w:rFonts w:asciiTheme="majorHAnsi" w:eastAsia="Times New Roman" w:hAnsiTheme="majorHAnsi" w:cstheme="majorHAnsi"/>
          <w:sz w:val="24"/>
          <w:szCs w:val="24"/>
        </w:rPr>
        <w:t xml:space="preserve"> ratio while profitability was measured in term of return on assets and return on equity. At 95% confidence level, </w:t>
      </w:r>
      <w:r w:rsidR="00DC5082">
        <w:rPr>
          <w:rFonts w:asciiTheme="majorHAnsi" w:eastAsia="Times New Roman" w:hAnsiTheme="majorHAnsi" w:cstheme="majorHAnsi"/>
          <w:sz w:val="24"/>
          <w:szCs w:val="24"/>
        </w:rPr>
        <w:t>43</w:t>
      </w:r>
      <w:r w:rsidRPr="0022305D">
        <w:rPr>
          <w:rFonts w:asciiTheme="majorHAnsi" w:eastAsia="Times New Roman" w:hAnsiTheme="majorHAnsi" w:cstheme="majorHAnsi"/>
          <w:sz w:val="24"/>
          <w:szCs w:val="24"/>
        </w:rPr>
        <w:t xml:space="preserve"> commercial banks were analyzed. </w:t>
      </w:r>
    </w:p>
    <w:p w14:paraId="11FB3582" w14:textId="20CBB14B" w:rsidR="00724D10" w:rsidRPr="0022305D" w:rsidRDefault="00724D10" w:rsidP="00724D10">
      <w:pPr>
        <w:spacing w:line="480" w:lineRule="auto"/>
        <w:ind w:firstLine="720"/>
        <w:rPr>
          <w:rFonts w:asciiTheme="majorHAnsi" w:eastAsia="Times New Roman" w:hAnsiTheme="majorHAnsi" w:cstheme="majorHAnsi"/>
          <w:sz w:val="24"/>
          <w:szCs w:val="24"/>
        </w:rPr>
      </w:pPr>
      <w:r w:rsidRPr="0022305D">
        <w:rPr>
          <w:rFonts w:asciiTheme="majorHAnsi" w:eastAsia="Times New Roman" w:hAnsiTheme="majorHAnsi" w:cstheme="majorHAnsi"/>
          <w:sz w:val="24"/>
          <w:szCs w:val="24"/>
        </w:rPr>
        <w:t xml:space="preserve">This research sought to assess the level of solvency (in terms of </w:t>
      </w:r>
      <w:r w:rsidR="00CB2CDC">
        <w:rPr>
          <w:rFonts w:asciiTheme="majorHAnsi" w:eastAsia="Times New Roman" w:hAnsiTheme="majorHAnsi" w:cstheme="majorHAnsi"/>
          <w:sz w:val="24"/>
          <w:szCs w:val="24"/>
        </w:rPr>
        <w:t>total debt to total assets ratio</w:t>
      </w:r>
      <w:r w:rsidRPr="0022305D">
        <w:rPr>
          <w:rFonts w:asciiTheme="majorHAnsi" w:eastAsia="Times New Roman" w:hAnsiTheme="majorHAnsi" w:cstheme="majorHAnsi"/>
          <w:sz w:val="24"/>
          <w:szCs w:val="24"/>
        </w:rPr>
        <w:t xml:space="preserve"> and </w:t>
      </w:r>
      <w:r w:rsidR="00BE06BC">
        <w:rPr>
          <w:rFonts w:asciiTheme="majorHAnsi" w:eastAsia="Times New Roman" w:hAnsiTheme="majorHAnsi" w:cstheme="majorHAnsi"/>
          <w:sz w:val="24"/>
          <w:szCs w:val="24"/>
        </w:rPr>
        <w:t>total debt to equity</w:t>
      </w:r>
      <w:r w:rsidRPr="0022305D">
        <w:rPr>
          <w:rFonts w:asciiTheme="majorHAnsi" w:eastAsia="Times New Roman" w:hAnsiTheme="majorHAnsi" w:cstheme="majorHAnsi"/>
          <w:sz w:val="24"/>
          <w:szCs w:val="24"/>
        </w:rPr>
        <w:t xml:space="preserve"> ratio) of commercial banks in Kenya and found</w:t>
      </w:r>
      <w:r w:rsidRPr="0022305D">
        <w:rPr>
          <w:rFonts w:asciiTheme="majorHAnsi" w:hAnsiTheme="majorHAnsi" w:cstheme="majorHAnsi"/>
          <w:sz w:val="24"/>
          <w:szCs w:val="24"/>
        </w:rPr>
        <w:t xml:space="preserve"> </w:t>
      </w:r>
      <w:r w:rsidRPr="0022305D">
        <w:rPr>
          <w:rFonts w:asciiTheme="majorHAnsi" w:hAnsiTheme="majorHAnsi" w:cstheme="majorHAnsi"/>
          <w:color w:val="000000"/>
          <w:sz w:val="24"/>
          <w:szCs w:val="24"/>
        </w:rPr>
        <w:t xml:space="preserve">that the minimum value of </w:t>
      </w:r>
      <w:r w:rsidR="00CB2CDC">
        <w:rPr>
          <w:rFonts w:asciiTheme="majorHAnsi" w:hAnsiTheme="majorHAnsi" w:cstheme="majorHAnsi"/>
          <w:color w:val="000000"/>
          <w:sz w:val="24"/>
          <w:szCs w:val="24"/>
        </w:rPr>
        <w:t>total debt to total assets ratio</w:t>
      </w:r>
      <w:r w:rsidRPr="0022305D">
        <w:rPr>
          <w:rFonts w:asciiTheme="majorHAnsi" w:hAnsiTheme="majorHAnsi" w:cstheme="majorHAnsi"/>
          <w:color w:val="000000"/>
          <w:sz w:val="24"/>
          <w:szCs w:val="24"/>
        </w:rPr>
        <w:t xml:space="preserve"> and </w:t>
      </w:r>
      <w:r w:rsidR="00BE06BC">
        <w:rPr>
          <w:rFonts w:asciiTheme="majorHAnsi" w:hAnsiTheme="majorHAnsi" w:cstheme="majorHAnsi"/>
          <w:color w:val="000000"/>
          <w:sz w:val="24"/>
          <w:szCs w:val="24"/>
        </w:rPr>
        <w:t>total debt to equity</w:t>
      </w:r>
      <w:r w:rsidRPr="0022305D">
        <w:rPr>
          <w:rFonts w:asciiTheme="majorHAnsi" w:hAnsiTheme="majorHAnsi" w:cstheme="majorHAnsi"/>
          <w:color w:val="000000"/>
          <w:sz w:val="24"/>
          <w:szCs w:val="24"/>
        </w:rPr>
        <w:t xml:space="preserve"> ratio for commercial banks in Kenya during the period of the study was 7.38 and 16.73.72 respectively; while the maximum value of </w:t>
      </w:r>
      <w:r w:rsidR="00CB2CDC">
        <w:rPr>
          <w:rFonts w:asciiTheme="majorHAnsi" w:hAnsiTheme="majorHAnsi" w:cstheme="majorHAnsi"/>
          <w:color w:val="000000"/>
          <w:sz w:val="24"/>
          <w:szCs w:val="24"/>
        </w:rPr>
        <w:t>total debt to total assets ratio</w:t>
      </w:r>
      <w:r w:rsidRPr="0022305D">
        <w:rPr>
          <w:rFonts w:asciiTheme="majorHAnsi" w:hAnsiTheme="majorHAnsi" w:cstheme="majorHAnsi"/>
          <w:color w:val="000000"/>
          <w:sz w:val="24"/>
          <w:szCs w:val="24"/>
        </w:rPr>
        <w:t xml:space="preserve"> and </w:t>
      </w:r>
      <w:r w:rsidR="00BE06BC">
        <w:rPr>
          <w:rFonts w:asciiTheme="majorHAnsi" w:hAnsiTheme="majorHAnsi" w:cstheme="majorHAnsi"/>
          <w:color w:val="000000"/>
          <w:sz w:val="24"/>
          <w:szCs w:val="24"/>
        </w:rPr>
        <w:t>total debt to equity</w:t>
      </w:r>
      <w:r w:rsidRPr="0022305D">
        <w:rPr>
          <w:rFonts w:asciiTheme="majorHAnsi" w:hAnsiTheme="majorHAnsi" w:cstheme="majorHAnsi"/>
          <w:color w:val="000000"/>
          <w:sz w:val="24"/>
          <w:szCs w:val="24"/>
        </w:rPr>
        <w:t xml:space="preserve"> ratio was 8.91 and 29.88 respectively. The average value for </w:t>
      </w:r>
      <w:r w:rsidR="00CB2CDC">
        <w:rPr>
          <w:rFonts w:asciiTheme="majorHAnsi" w:hAnsiTheme="majorHAnsi" w:cstheme="majorHAnsi"/>
          <w:sz w:val="24"/>
          <w:szCs w:val="24"/>
        </w:rPr>
        <w:t>total debt to total assets ratio</w:t>
      </w:r>
      <w:r w:rsidRPr="0022305D">
        <w:rPr>
          <w:rFonts w:asciiTheme="majorHAnsi" w:hAnsiTheme="majorHAnsi" w:cstheme="majorHAnsi"/>
          <w:sz w:val="24"/>
          <w:szCs w:val="24"/>
        </w:rPr>
        <w:t xml:space="preserve"> and </w:t>
      </w:r>
      <w:r w:rsidR="00BE06BC">
        <w:rPr>
          <w:rFonts w:asciiTheme="majorHAnsi" w:hAnsiTheme="majorHAnsi" w:cstheme="majorHAnsi"/>
          <w:sz w:val="24"/>
          <w:szCs w:val="24"/>
        </w:rPr>
        <w:t>total debt to equity</w:t>
      </w:r>
      <w:r w:rsidRPr="0022305D">
        <w:rPr>
          <w:rFonts w:asciiTheme="majorHAnsi" w:hAnsiTheme="majorHAnsi" w:cstheme="majorHAnsi"/>
          <w:sz w:val="24"/>
          <w:szCs w:val="24"/>
        </w:rPr>
        <w:t xml:space="preserve"> ratio for commercial banks in Kenya during the study period was </w:t>
      </w:r>
      <w:r w:rsidRPr="0022305D">
        <w:rPr>
          <w:rFonts w:asciiTheme="majorHAnsi" w:hAnsiTheme="majorHAnsi" w:cstheme="majorHAnsi"/>
          <w:color w:val="000000"/>
          <w:sz w:val="24"/>
          <w:szCs w:val="24"/>
        </w:rPr>
        <w:t xml:space="preserve">8.21 and 22.71 respectively. This implies that all banks operated at positive values of </w:t>
      </w:r>
      <w:r w:rsidR="00CB2CDC">
        <w:rPr>
          <w:rFonts w:asciiTheme="majorHAnsi" w:hAnsiTheme="majorHAnsi" w:cstheme="majorHAnsi"/>
          <w:color w:val="000000"/>
          <w:sz w:val="24"/>
          <w:szCs w:val="24"/>
        </w:rPr>
        <w:t>total debt to total assets ratio</w:t>
      </w:r>
      <w:r w:rsidRPr="0022305D">
        <w:rPr>
          <w:rFonts w:asciiTheme="majorHAnsi" w:hAnsiTheme="majorHAnsi" w:cstheme="majorHAnsi"/>
          <w:color w:val="000000"/>
          <w:sz w:val="24"/>
          <w:szCs w:val="24"/>
        </w:rPr>
        <w:t xml:space="preserve"> and </w:t>
      </w:r>
      <w:r w:rsidR="00BE06BC">
        <w:rPr>
          <w:rFonts w:asciiTheme="majorHAnsi" w:hAnsiTheme="majorHAnsi" w:cstheme="majorHAnsi"/>
          <w:color w:val="000000"/>
          <w:sz w:val="24"/>
          <w:szCs w:val="24"/>
        </w:rPr>
        <w:t>total debt to equity</w:t>
      </w:r>
      <w:r w:rsidRPr="0022305D">
        <w:rPr>
          <w:rFonts w:asciiTheme="majorHAnsi" w:hAnsiTheme="majorHAnsi" w:cstheme="majorHAnsi"/>
          <w:color w:val="000000"/>
          <w:sz w:val="24"/>
          <w:szCs w:val="24"/>
        </w:rPr>
        <w:t xml:space="preserve"> ratio. </w:t>
      </w:r>
    </w:p>
    <w:p w14:paraId="6D407758" w14:textId="37FA8B87" w:rsidR="00724D10" w:rsidRPr="0022305D" w:rsidRDefault="00724D10" w:rsidP="00724D10">
      <w:pPr>
        <w:spacing w:after="0" w:line="480" w:lineRule="auto"/>
        <w:ind w:firstLine="720"/>
        <w:rPr>
          <w:rFonts w:asciiTheme="majorHAnsi" w:eastAsia="Times New Roman" w:hAnsiTheme="majorHAnsi" w:cstheme="majorHAnsi"/>
          <w:sz w:val="24"/>
          <w:szCs w:val="24"/>
        </w:rPr>
      </w:pPr>
      <w:r w:rsidRPr="0022305D">
        <w:rPr>
          <w:rFonts w:asciiTheme="majorHAnsi" w:eastAsia="Times New Roman" w:hAnsiTheme="majorHAnsi" w:cstheme="majorHAnsi"/>
          <w:sz w:val="24"/>
          <w:szCs w:val="24"/>
        </w:rPr>
        <w:t xml:space="preserve">The study also evaluated the level of profitability (in terms of return on assets and return on equity) of commercial banks in Kenya and the findings were as follows: </w:t>
      </w:r>
      <w:r w:rsidRPr="0022305D">
        <w:rPr>
          <w:rFonts w:asciiTheme="majorHAnsi" w:hAnsiTheme="majorHAnsi" w:cstheme="majorHAnsi"/>
          <w:sz w:val="24"/>
          <w:szCs w:val="24"/>
        </w:rPr>
        <w:t xml:space="preserve">The </w:t>
      </w:r>
      <w:r w:rsidR="004D0509">
        <w:rPr>
          <w:rFonts w:asciiTheme="majorHAnsi" w:hAnsiTheme="majorHAnsi" w:cstheme="majorHAnsi"/>
          <w:sz w:val="24"/>
          <w:szCs w:val="24"/>
        </w:rPr>
        <w:t>mean of the</w:t>
      </w:r>
      <w:r w:rsidRPr="0022305D">
        <w:rPr>
          <w:rFonts w:asciiTheme="majorHAnsi" w:hAnsiTheme="majorHAnsi" w:cstheme="majorHAnsi"/>
          <w:sz w:val="24"/>
          <w:szCs w:val="24"/>
        </w:rPr>
        <w:t xml:space="preserve"> return on assets over the period was 7.82, with a minimum value of </w:t>
      </w:r>
      <w:r w:rsidRPr="0022305D">
        <w:rPr>
          <w:rFonts w:asciiTheme="majorHAnsi" w:hAnsiTheme="majorHAnsi" w:cstheme="majorHAnsi"/>
          <w:color w:val="000000"/>
          <w:sz w:val="24"/>
          <w:szCs w:val="24"/>
        </w:rPr>
        <w:t>4.96</w:t>
      </w:r>
      <w:r w:rsidRPr="0022305D">
        <w:rPr>
          <w:rFonts w:asciiTheme="majorHAnsi" w:hAnsiTheme="majorHAnsi" w:cstheme="majorHAnsi"/>
          <w:sz w:val="24"/>
          <w:szCs w:val="24"/>
        </w:rPr>
        <w:t xml:space="preserve"> and a maximum value of 16.46.  This suggests that even though the recorded mean was 7.82, some commercial banks operated at a lower value while others operated at a higher value of return on assets during the study period. The average return on equity over the period was </w:t>
      </w:r>
      <w:r w:rsidRPr="0022305D">
        <w:rPr>
          <w:rFonts w:asciiTheme="majorHAnsi" w:hAnsiTheme="majorHAnsi" w:cstheme="majorHAnsi"/>
          <w:color w:val="000000"/>
          <w:sz w:val="24"/>
          <w:szCs w:val="24"/>
        </w:rPr>
        <w:t xml:space="preserve">3.69 </w:t>
      </w:r>
      <w:r w:rsidRPr="0022305D">
        <w:rPr>
          <w:rFonts w:asciiTheme="majorHAnsi" w:hAnsiTheme="majorHAnsi" w:cstheme="majorHAnsi"/>
          <w:sz w:val="24"/>
          <w:szCs w:val="24"/>
        </w:rPr>
        <w:t xml:space="preserve">with a minimum value of </w:t>
      </w:r>
      <w:r w:rsidRPr="0022305D">
        <w:rPr>
          <w:rFonts w:asciiTheme="majorHAnsi" w:hAnsiTheme="majorHAnsi" w:cstheme="majorHAnsi"/>
          <w:color w:val="000000"/>
          <w:sz w:val="24"/>
          <w:szCs w:val="24"/>
        </w:rPr>
        <w:t>1.01</w:t>
      </w:r>
      <w:r w:rsidRPr="0022305D">
        <w:rPr>
          <w:rFonts w:asciiTheme="majorHAnsi" w:hAnsiTheme="majorHAnsi" w:cstheme="majorHAnsi"/>
          <w:sz w:val="24"/>
          <w:szCs w:val="24"/>
        </w:rPr>
        <w:t xml:space="preserve"> and a maximum value of </w:t>
      </w:r>
      <w:r w:rsidRPr="0022305D">
        <w:rPr>
          <w:rFonts w:asciiTheme="majorHAnsi" w:hAnsiTheme="majorHAnsi" w:cstheme="majorHAnsi"/>
          <w:color w:val="000000"/>
          <w:sz w:val="24"/>
          <w:szCs w:val="24"/>
        </w:rPr>
        <w:t>5.83</w:t>
      </w:r>
      <w:r w:rsidRPr="0022305D">
        <w:rPr>
          <w:rFonts w:asciiTheme="majorHAnsi" w:hAnsiTheme="majorHAnsi" w:cstheme="majorHAnsi"/>
          <w:sz w:val="24"/>
          <w:szCs w:val="24"/>
        </w:rPr>
        <w:t>. This implies that all banks operated at a positive return on equity during the period of the study (2011-2020).</w:t>
      </w:r>
    </w:p>
    <w:p w14:paraId="5D2F50DF" w14:textId="573F3D56" w:rsidR="00724D10" w:rsidRPr="0022305D" w:rsidRDefault="00724D10" w:rsidP="00724D10">
      <w:pPr>
        <w:autoSpaceDE w:val="0"/>
        <w:autoSpaceDN w:val="0"/>
        <w:adjustRightInd w:val="0"/>
        <w:spacing w:after="0" w:line="480" w:lineRule="auto"/>
        <w:ind w:firstLine="720"/>
        <w:rPr>
          <w:rFonts w:asciiTheme="majorHAnsi" w:hAnsiTheme="majorHAnsi" w:cstheme="majorHAnsi"/>
          <w:sz w:val="24"/>
          <w:szCs w:val="24"/>
        </w:rPr>
      </w:pPr>
      <w:r w:rsidRPr="0022305D">
        <w:rPr>
          <w:rFonts w:asciiTheme="majorHAnsi" w:eastAsia="Times New Roman" w:hAnsiTheme="majorHAnsi" w:cstheme="majorHAnsi"/>
          <w:sz w:val="24"/>
          <w:szCs w:val="24"/>
        </w:rPr>
        <w:t>The study also examined the relationship between solvency and profitability of commercial banks in Kenya and it was found that</w:t>
      </w:r>
      <w:r w:rsidRPr="0022305D">
        <w:rPr>
          <w:rFonts w:asciiTheme="majorHAnsi" w:hAnsiTheme="majorHAnsi" w:cstheme="majorHAnsi"/>
          <w:sz w:val="24"/>
          <w:szCs w:val="24"/>
        </w:rPr>
        <w:t xml:space="preserve"> </w:t>
      </w:r>
      <w:r w:rsidR="00BE06BC">
        <w:rPr>
          <w:rFonts w:asciiTheme="majorHAnsi" w:hAnsiTheme="majorHAnsi" w:cstheme="majorHAnsi"/>
          <w:sz w:val="24"/>
          <w:szCs w:val="24"/>
        </w:rPr>
        <w:t>total debt to equity</w:t>
      </w:r>
      <w:r w:rsidRPr="0022305D">
        <w:rPr>
          <w:rFonts w:asciiTheme="majorHAnsi" w:hAnsiTheme="majorHAnsi" w:cstheme="majorHAnsi"/>
          <w:sz w:val="24"/>
          <w:szCs w:val="24"/>
        </w:rPr>
        <w:t xml:space="preserve"> ratio has significant positive relationship with profitability. This implies that an increase in </w:t>
      </w:r>
      <w:r w:rsidR="00BE06BC">
        <w:rPr>
          <w:rFonts w:asciiTheme="majorHAnsi" w:hAnsiTheme="majorHAnsi" w:cstheme="majorHAnsi"/>
          <w:sz w:val="24"/>
          <w:szCs w:val="24"/>
        </w:rPr>
        <w:t>total debt to equity</w:t>
      </w:r>
      <w:r w:rsidRPr="0022305D">
        <w:rPr>
          <w:rFonts w:asciiTheme="majorHAnsi" w:hAnsiTheme="majorHAnsi" w:cstheme="majorHAnsi"/>
          <w:sz w:val="24"/>
          <w:szCs w:val="24"/>
        </w:rPr>
        <w:t xml:space="preserve"> ratio leads to decrease in profitability and a decrease in </w:t>
      </w:r>
      <w:r w:rsidR="00BE06BC">
        <w:rPr>
          <w:rFonts w:asciiTheme="majorHAnsi" w:hAnsiTheme="majorHAnsi" w:cstheme="majorHAnsi"/>
          <w:sz w:val="24"/>
          <w:szCs w:val="24"/>
        </w:rPr>
        <w:t>total debt to equity</w:t>
      </w:r>
      <w:r w:rsidRPr="0022305D">
        <w:rPr>
          <w:rFonts w:asciiTheme="majorHAnsi" w:hAnsiTheme="majorHAnsi" w:cstheme="majorHAnsi"/>
          <w:sz w:val="24"/>
          <w:szCs w:val="24"/>
        </w:rPr>
        <w:t xml:space="preserve"> ratio leads to increase in profitability. </w:t>
      </w:r>
      <w:r w:rsidRPr="0022305D">
        <w:rPr>
          <w:rFonts w:asciiTheme="majorHAnsi" w:eastAsia="TimesNewRomanPSMT" w:hAnsiTheme="majorHAnsi" w:cstheme="majorHAnsi"/>
          <w:sz w:val="24"/>
          <w:szCs w:val="24"/>
        </w:rPr>
        <w:t xml:space="preserve">This finding is in line with previous research by </w:t>
      </w:r>
      <w:r w:rsidRPr="0022305D">
        <w:rPr>
          <w:rFonts w:asciiTheme="majorHAnsi" w:eastAsia="TimesNewRomanPSMT" w:hAnsiTheme="majorHAnsi" w:cstheme="majorHAnsi"/>
          <w:sz w:val="24"/>
          <w:szCs w:val="24"/>
        </w:rPr>
        <w:fldChar w:fldCharType="begin" w:fldLock="1"/>
      </w:r>
      <w:r w:rsidRPr="0022305D">
        <w:rPr>
          <w:rFonts w:asciiTheme="majorHAnsi" w:eastAsia="TimesNewRomanPSMT" w:hAnsiTheme="majorHAnsi" w:cstheme="majorHAnsi"/>
          <w:sz w:val="24"/>
          <w:szCs w:val="24"/>
        </w:rPr>
        <w:instrText>ADDIN CSL_CITATION {"citationItems":[{"id":"ITEM-1","itemData":{"DOI":"10.21067/jrma.v8i2.5231","ISSN":"2337-5663","abstract":"This study aims to analyze the effect of debt to equity ratio and current ratio on firm value with return on assets as an intervening variable on food and beverages companies listed on the Indonesia Stock Exchange for the period of 2016-2018. The study uses secondary data from the annual report through access to www.idx.co.id. Data were analyzed using path analysis. The total sample of 13 companies and the method of taking sample members used is purposive sampling. The variables of this study consisted of debt to equity ratio and current ratio as exogenous variables, firm value as endogenous variables, and return on assets as intervening variables. The analysis shows that the debt to equity ratio, current ratio and return on assets have a positive effect on firm value. Debt to equity ratio and current ratio also have a positive effect on return on assets. Based on the results of the path analysis of the implications of this research that return on assets can not affect the relationship between debt to equity ratio and current ratio to the firm value so that it can provide input to researchers. It is better to add research periods and use a sample of several other sectors and can also use variables others that can strengthen the results of previous studies","author":[{"dropping-particle":"","family":"Supami","given":"Alfimur","non-dropping-particle":"","parse-names":false,"suffix":""}],"container-title":"Journal of accounting and business education","id":"ITEM-1","issue":"2","issued":{"date-parts":[["2021"]]},"page":"1-13","title":"The effect of debt to equity ratio and current ratio on firm value.","type":"article-journal","volume":"8"},"uris":["http://www.mendeley.com/documents/?uuid=d3d38307-7e0d-4512-8751-eb20e12891be"]}],"mendeley":{"formattedCitation":"(Supami, 2021)","manualFormatting":"Supami (2021)","plainTextFormattedCitation":"(Supami, 2021)","previouslyFormattedCitation":"(Supami, 2021)"},"properties":{"noteIndex":0},"schema":"https://github.com/citation-style-language/schema/raw/master/csl-citation.json"}</w:instrText>
      </w:r>
      <w:r w:rsidRPr="0022305D">
        <w:rPr>
          <w:rFonts w:asciiTheme="majorHAnsi" w:eastAsia="TimesNewRomanPSMT" w:hAnsiTheme="majorHAnsi" w:cstheme="majorHAnsi"/>
          <w:sz w:val="24"/>
          <w:szCs w:val="24"/>
        </w:rPr>
        <w:fldChar w:fldCharType="separate"/>
      </w:r>
      <w:r w:rsidRPr="0022305D">
        <w:rPr>
          <w:rFonts w:asciiTheme="majorHAnsi" w:eastAsia="TimesNewRomanPSMT" w:hAnsiTheme="majorHAnsi" w:cstheme="majorHAnsi"/>
          <w:noProof/>
          <w:sz w:val="24"/>
          <w:szCs w:val="24"/>
        </w:rPr>
        <w:t>Supami (2021)</w:t>
      </w:r>
      <w:r w:rsidRPr="0022305D">
        <w:rPr>
          <w:rFonts w:asciiTheme="majorHAnsi" w:eastAsia="TimesNewRomanPSMT" w:hAnsiTheme="majorHAnsi" w:cstheme="majorHAnsi"/>
          <w:sz w:val="24"/>
          <w:szCs w:val="24"/>
        </w:rPr>
        <w:fldChar w:fldCharType="end"/>
      </w:r>
      <w:r w:rsidRPr="0022305D">
        <w:rPr>
          <w:rFonts w:asciiTheme="majorHAnsi" w:eastAsia="TimesNewRomanPSMT" w:hAnsiTheme="majorHAnsi" w:cstheme="majorHAnsi"/>
          <w:sz w:val="24"/>
          <w:szCs w:val="24"/>
        </w:rPr>
        <w:t xml:space="preserve"> </w:t>
      </w:r>
      <w:r w:rsidRPr="0022305D">
        <w:rPr>
          <w:rFonts w:asciiTheme="majorHAnsi" w:hAnsiTheme="majorHAnsi" w:cstheme="majorHAnsi"/>
          <w:sz w:val="24"/>
          <w:szCs w:val="24"/>
        </w:rPr>
        <w:t>on food and beverages companies listed on the Indonesia Stock Exchange for the period of 2016-2018</w:t>
      </w:r>
      <w:r w:rsidRPr="0022305D">
        <w:rPr>
          <w:rFonts w:asciiTheme="majorHAnsi" w:eastAsia="TimesNewRomanPSMT" w:hAnsiTheme="majorHAnsi" w:cstheme="majorHAnsi"/>
          <w:sz w:val="24"/>
          <w:szCs w:val="24"/>
        </w:rPr>
        <w:t xml:space="preserve"> where the findings showed that </w:t>
      </w:r>
      <w:r w:rsidR="00BE06BC">
        <w:rPr>
          <w:rFonts w:asciiTheme="majorHAnsi" w:eastAsia="TimesNewRomanPSMT" w:hAnsiTheme="majorHAnsi" w:cstheme="majorHAnsi"/>
          <w:sz w:val="24"/>
          <w:szCs w:val="24"/>
        </w:rPr>
        <w:t>total debt to equity</w:t>
      </w:r>
      <w:r w:rsidRPr="0022305D">
        <w:rPr>
          <w:rFonts w:asciiTheme="majorHAnsi" w:eastAsia="TimesNewRomanPSMT" w:hAnsiTheme="majorHAnsi" w:cstheme="majorHAnsi"/>
          <w:sz w:val="24"/>
          <w:szCs w:val="24"/>
        </w:rPr>
        <w:t xml:space="preserve"> ratio has significant positive relationship with profitability. However, this result is in contrary with findings of  </w:t>
      </w:r>
      <w:r w:rsidRPr="0022305D">
        <w:rPr>
          <w:rFonts w:asciiTheme="majorHAnsi" w:eastAsia="TimesNewRomanPSMT" w:hAnsiTheme="majorHAnsi" w:cstheme="majorHAnsi"/>
          <w:sz w:val="24"/>
          <w:szCs w:val="24"/>
        </w:rPr>
        <w:fldChar w:fldCharType="begin" w:fldLock="1"/>
      </w:r>
      <w:r w:rsidRPr="0022305D">
        <w:rPr>
          <w:rFonts w:asciiTheme="majorHAnsi" w:eastAsia="TimesNewRomanPSMT" w:hAnsiTheme="majorHAnsi" w:cstheme="majorHAnsi"/>
          <w:sz w:val="24"/>
          <w:szCs w:val="24"/>
        </w:rPr>
        <w:instrText>ADDIN CSL_CITATION {"citationItems":[{"id":"ITEM-1","itemData":{"DOI":"10.35912/jakman.v2i1.135","abstract":"Purpose: This study aimed to examine and analyze the effects of the Debt to Equity Ratio (DER), Total Assets Turnover (TATO), firm size, and Current Ratio (CR) on Return on Assets (ROA) on the manufacturing companies listed on the Indonesia Stock Exchange from 2017 to 2019 Research methodology: This research approach used quantitative research with descriptive research type. The research sample was determined by purposive sampling method to obtain 93 manufacturing companies listed on the Indonesia Stock exchange in 2017-2019. Results: The study results with simultaneous hypothesis testing showed that the Debt to Equity Ratio, Total Assets Turnover, firm size, and Current Ratio had a significant influence on the Return on Assets. Partial testing of the hypothesis showed that the Debt to Equity Ratio had a negative influence and significant on the Return on Assets. Total assets turnover and firm size had a positive influence and significance on the Return on Assets. However, the Current Ratio had no influence and was not significant on the Return on Assets. Limitations: The use of historical data and variables was limited, only three years and five variables. Contribution: This research can be used for adding knowledge in the financial field, especially for those who want to invest in a company by seeing the Return on Assets ratio. Keywords: Debt to Equity Ratio (DER), Total Assets Turnover (TATO), Firm Size, Current Ratio (CR), Return on Assets (ROA)","author":[{"dropping-particle":"","family":"Aurick","given":"Chandra","non-dropping-particle":"","parse-names":false,"suffix":""}],"container-title":"Journal of accounting and management","id":"ITEM-1","issue":"1","issued":{"date-parts":[["2021"]]},"page":"57-69","title":"The effects of the debt to equity ratio on return on assets","type":"article-journal","volume":"2"},"uris":["http://www.mendeley.com/documents/?uuid=e993bde7-913b-4b42-9b47-7043e2f9f2f0"]}],"mendeley":{"formattedCitation":"(Aurick, 2021)","manualFormatting":"Chandra (2021)","plainTextFormattedCitation":"(Aurick, 2021)","previouslyFormattedCitation":"(Aurick, 2021)"},"properties":{"noteIndex":0},"schema":"https://github.com/citation-style-language/schema/raw/master/csl-citation.json"}</w:instrText>
      </w:r>
      <w:r w:rsidRPr="0022305D">
        <w:rPr>
          <w:rFonts w:asciiTheme="majorHAnsi" w:eastAsia="TimesNewRomanPSMT" w:hAnsiTheme="majorHAnsi" w:cstheme="majorHAnsi"/>
          <w:sz w:val="24"/>
          <w:szCs w:val="24"/>
        </w:rPr>
        <w:fldChar w:fldCharType="separate"/>
      </w:r>
      <w:r w:rsidRPr="0022305D">
        <w:rPr>
          <w:rFonts w:asciiTheme="majorHAnsi" w:eastAsia="TimesNewRomanPSMT" w:hAnsiTheme="majorHAnsi" w:cstheme="majorHAnsi"/>
          <w:noProof/>
          <w:sz w:val="24"/>
          <w:szCs w:val="24"/>
        </w:rPr>
        <w:t>Chandra (2021)</w:t>
      </w:r>
      <w:r w:rsidRPr="0022305D">
        <w:rPr>
          <w:rFonts w:asciiTheme="majorHAnsi" w:eastAsia="TimesNewRomanPSMT" w:hAnsiTheme="majorHAnsi" w:cstheme="majorHAnsi"/>
          <w:sz w:val="24"/>
          <w:szCs w:val="24"/>
        </w:rPr>
        <w:fldChar w:fldCharType="end"/>
      </w:r>
      <w:r w:rsidRPr="0022305D">
        <w:rPr>
          <w:rFonts w:asciiTheme="majorHAnsi" w:eastAsia="TimesNewRomanPSMT" w:hAnsiTheme="majorHAnsi" w:cstheme="majorHAnsi"/>
          <w:sz w:val="24"/>
          <w:szCs w:val="24"/>
        </w:rPr>
        <w:t xml:space="preserve"> who in his research came up with a finding that there is a significant and strong negative relationship between </w:t>
      </w:r>
      <w:r w:rsidR="00BE06BC">
        <w:rPr>
          <w:rFonts w:asciiTheme="majorHAnsi" w:eastAsia="TimesNewRomanPSMT" w:hAnsiTheme="majorHAnsi" w:cstheme="majorHAnsi"/>
          <w:sz w:val="24"/>
          <w:szCs w:val="24"/>
        </w:rPr>
        <w:t>total debt to equity</w:t>
      </w:r>
      <w:r w:rsidRPr="0022305D">
        <w:rPr>
          <w:rFonts w:asciiTheme="majorHAnsi" w:eastAsia="TimesNewRomanPSMT" w:hAnsiTheme="majorHAnsi" w:cstheme="majorHAnsi"/>
          <w:sz w:val="24"/>
          <w:szCs w:val="24"/>
        </w:rPr>
        <w:t xml:space="preserve"> ratio and profitability </w:t>
      </w:r>
      <w:r w:rsidRPr="0022305D">
        <w:rPr>
          <w:rFonts w:asciiTheme="majorHAnsi" w:hAnsiTheme="majorHAnsi" w:cstheme="majorHAnsi"/>
          <w:sz w:val="24"/>
          <w:szCs w:val="24"/>
        </w:rPr>
        <w:t>on the manufacturing companies listed on the Indonesia Stock Exchange.</w:t>
      </w:r>
    </w:p>
    <w:p w14:paraId="7B3E560C" w14:textId="2F303766" w:rsidR="00724D10" w:rsidRPr="0022305D" w:rsidRDefault="00724D10" w:rsidP="00724D10">
      <w:pPr>
        <w:autoSpaceDE w:val="0"/>
        <w:autoSpaceDN w:val="0"/>
        <w:adjustRightInd w:val="0"/>
        <w:spacing w:after="0" w:line="480" w:lineRule="auto"/>
        <w:rPr>
          <w:rFonts w:asciiTheme="majorHAnsi" w:eastAsia="TimesNewRomanPSMT" w:hAnsiTheme="majorHAnsi" w:cstheme="majorHAnsi"/>
          <w:sz w:val="24"/>
          <w:szCs w:val="24"/>
        </w:rPr>
      </w:pPr>
      <w:r w:rsidRPr="0022305D">
        <w:rPr>
          <w:rFonts w:asciiTheme="majorHAnsi" w:eastAsia="TimesNewRomanPSMT" w:hAnsiTheme="majorHAnsi" w:cstheme="majorHAnsi"/>
          <w:sz w:val="24"/>
          <w:szCs w:val="24"/>
        </w:rPr>
        <w:t xml:space="preserve">The findings of this study also is not in line with the results of the research by </w:t>
      </w:r>
      <w:r w:rsidRPr="0022305D">
        <w:rPr>
          <w:rFonts w:asciiTheme="majorHAnsi" w:eastAsia="TimesNewRomanPSMT" w:hAnsiTheme="majorHAnsi" w:cstheme="majorHAnsi"/>
          <w:sz w:val="24"/>
          <w:szCs w:val="24"/>
        </w:rPr>
        <w:fldChar w:fldCharType="begin" w:fldLock="1"/>
      </w:r>
      <w:r w:rsidRPr="0022305D">
        <w:rPr>
          <w:rFonts w:asciiTheme="majorHAnsi" w:eastAsia="TimesNewRomanPSMT" w:hAnsiTheme="majorHAnsi" w:cstheme="majorHAnsi"/>
          <w:sz w:val="24"/>
          <w:szCs w:val="24"/>
        </w:rPr>
        <w:instrText>ADDIN CSL_CITATION {"citationItems":[{"id":"ITEM-1","itemData":{"DOI":"10.32424/jorim.v2i2.66","ISSN":"2654-5365","abstract":"The purpose of this research is to analyze the impact of Cash Turnover, ReceivableTurnover, Inventory Turnover, Current Ratio and Debt to Equity Ratio to Profitability. Thesample in this study is the Basic Chemical Industry Sector at the Indonesia Stock Exchangein 2013-2017. Population of the research is the Basic Chemical Industry Sector on IDXfinancial report which is taken with certain criteria. The number of samples in this study wasdetermined based on Purposive Sampling method, and determined the number of samplesas much as 8 company. Based on the results and data analysis using step regression(helped by software SPSS.16 for windows) shows that Cash Turnover has no impact toProfitability, Receivable Turnover has no impact to Profitability, Inventory Turnover has noimpact to Profitability, Current Ratio has a positive and signification impact to Profitability,Debt to Equity Ratio has no impact to Profitability.","author":[{"dropping-particle":"","family":"Amanda","given":"Rezana Intan","non-dropping-particle":"","parse-names":false,"suffix":""}],"container-title":"Journal of Research in Management","id":"ITEM-1","issue":"2","issued":{"date-parts":[["2019"]]},"page":"14-22","title":"The impact of cash turnover, receivable turnover, inventory turnover, current ratio and debt to equity ratio on profitability","type":"article-journal","volume":"2"},"uris":["http://www.mendeley.com/documents/?uuid=cc4057e9-953e-468a-a6c6-775c1dd7a45b"]}],"mendeley":{"formattedCitation":"(Amanda, 2019)","manualFormatting":"Amanda (2019)","plainTextFormattedCitation":"(Amanda, 2019)","previouslyFormattedCitation":"(Amanda, 2019)"},"properties":{"noteIndex":0},"schema":"https://github.com/citation-style-language/schema/raw/master/csl-citation.json"}</w:instrText>
      </w:r>
      <w:r w:rsidRPr="0022305D">
        <w:rPr>
          <w:rFonts w:asciiTheme="majorHAnsi" w:eastAsia="TimesNewRomanPSMT" w:hAnsiTheme="majorHAnsi" w:cstheme="majorHAnsi"/>
          <w:sz w:val="24"/>
          <w:szCs w:val="24"/>
        </w:rPr>
        <w:fldChar w:fldCharType="separate"/>
      </w:r>
      <w:r w:rsidRPr="0022305D">
        <w:rPr>
          <w:rFonts w:asciiTheme="majorHAnsi" w:eastAsia="TimesNewRomanPSMT" w:hAnsiTheme="majorHAnsi" w:cstheme="majorHAnsi"/>
          <w:noProof/>
          <w:sz w:val="24"/>
          <w:szCs w:val="24"/>
        </w:rPr>
        <w:t>Amanda (2019)</w:t>
      </w:r>
      <w:r w:rsidRPr="0022305D">
        <w:rPr>
          <w:rFonts w:asciiTheme="majorHAnsi" w:eastAsia="TimesNewRomanPSMT" w:hAnsiTheme="majorHAnsi" w:cstheme="majorHAnsi"/>
          <w:sz w:val="24"/>
          <w:szCs w:val="24"/>
        </w:rPr>
        <w:fldChar w:fldCharType="end"/>
      </w:r>
      <w:r w:rsidRPr="0022305D">
        <w:rPr>
          <w:rFonts w:asciiTheme="majorHAnsi" w:eastAsia="TimesNewRomanPSMT" w:hAnsiTheme="majorHAnsi" w:cstheme="majorHAnsi"/>
          <w:sz w:val="24"/>
          <w:szCs w:val="24"/>
        </w:rPr>
        <w:t xml:space="preserve"> whose findings indicated that </w:t>
      </w:r>
      <w:r w:rsidR="004D0509">
        <w:rPr>
          <w:rFonts w:asciiTheme="majorHAnsi" w:eastAsia="TimesNewRomanPSMT" w:hAnsiTheme="majorHAnsi" w:cstheme="majorHAnsi"/>
          <w:sz w:val="24"/>
          <w:szCs w:val="24"/>
        </w:rPr>
        <w:t xml:space="preserve">there is no significant relationship between </w:t>
      </w:r>
      <w:r w:rsidR="00BE06BC">
        <w:rPr>
          <w:rFonts w:asciiTheme="majorHAnsi" w:eastAsia="TimesNewRomanPSMT" w:hAnsiTheme="majorHAnsi" w:cstheme="majorHAnsi"/>
          <w:sz w:val="24"/>
          <w:szCs w:val="24"/>
        </w:rPr>
        <w:t>total debt to equity</w:t>
      </w:r>
      <w:r w:rsidRPr="0022305D">
        <w:rPr>
          <w:rFonts w:asciiTheme="majorHAnsi" w:hAnsiTheme="majorHAnsi" w:cstheme="majorHAnsi"/>
          <w:sz w:val="24"/>
          <w:szCs w:val="24"/>
        </w:rPr>
        <w:t xml:space="preserve"> ratio </w:t>
      </w:r>
      <w:r w:rsidR="004D0509">
        <w:rPr>
          <w:rFonts w:asciiTheme="majorHAnsi" w:hAnsiTheme="majorHAnsi" w:cstheme="majorHAnsi"/>
          <w:sz w:val="24"/>
          <w:szCs w:val="24"/>
        </w:rPr>
        <w:t xml:space="preserve">and profitability </w:t>
      </w:r>
      <w:r w:rsidRPr="0022305D">
        <w:rPr>
          <w:rFonts w:asciiTheme="majorHAnsi" w:hAnsiTheme="majorHAnsi" w:cstheme="majorHAnsi"/>
          <w:sz w:val="24"/>
          <w:szCs w:val="24"/>
        </w:rPr>
        <w:t>of chemical industries in India.</w:t>
      </w:r>
      <w:r w:rsidRPr="0022305D">
        <w:rPr>
          <w:rFonts w:asciiTheme="majorHAnsi" w:eastAsia="TimesNewRomanPSMT" w:hAnsiTheme="majorHAnsi" w:cstheme="majorHAnsi"/>
          <w:sz w:val="24"/>
          <w:szCs w:val="24"/>
        </w:rPr>
        <w:t xml:space="preserve"> </w:t>
      </w:r>
      <w:r w:rsidRPr="0022305D">
        <w:rPr>
          <w:rFonts w:asciiTheme="majorHAnsi" w:eastAsia="Times New Roman" w:hAnsiTheme="majorHAnsi" w:cstheme="majorHAnsi"/>
          <w:sz w:val="24"/>
          <w:szCs w:val="24"/>
        </w:rPr>
        <w:t>Th</w:t>
      </w:r>
      <w:r w:rsidR="001E37F2">
        <w:rPr>
          <w:rFonts w:asciiTheme="majorHAnsi" w:eastAsia="Times New Roman" w:hAnsiTheme="majorHAnsi" w:cstheme="majorHAnsi"/>
          <w:sz w:val="24"/>
          <w:szCs w:val="24"/>
        </w:rPr>
        <w:t>is</w:t>
      </w:r>
      <w:r w:rsidRPr="0022305D">
        <w:rPr>
          <w:rFonts w:asciiTheme="majorHAnsi" w:eastAsia="Times New Roman" w:hAnsiTheme="majorHAnsi" w:cstheme="majorHAnsi"/>
          <w:sz w:val="24"/>
          <w:szCs w:val="24"/>
        </w:rPr>
        <w:t xml:space="preserve"> </w:t>
      </w:r>
      <w:r w:rsidR="001E37F2">
        <w:rPr>
          <w:rFonts w:asciiTheme="majorHAnsi" w:eastAsia="Times New Roman" w:hAnsiTheme="majorHAnsi" w:cstheme="majorHAnsi"/>
          <w:sz w:val="24"/>
          <w:szCs w:val="24"/>
        </w:rPr>
        <w:t>research</w:t>
      </w:r>
      <w:r w:rsidRPr="0022305D">
        <w:rPr>
          <w:rFonts w:asciiTheme="majorHAnsi" w:eastAsia="Times New Roman" w:hAnsiTheme="majorHAnsi" w:cstheme="majorHAnsi"/>
          <w:sz w:val="24"/>
          <w:szCs w:val="24"/>
        </w:rPr>
        <w:t xml:space="preserve"> also revealed that</w:t>
      </w:r>
      <w:r w:rsidRPr="0022305D">
        <w:rPr>
          <w:rFonts w:asciiTheme="majorHAnsi" w:hAnsiTheme="majorHAnsi" w:cstheme="majorHAnsi"/>
          <w:sz w:val="24"/>
          <w:szCs w:val="24"/>
        </w:rPr>
        <w:t xml:space="preserve"> </w:t>
      </w:r>
      <w:r w:rsidR="00CB2CDC">
        <w:rPr>
          <w:rFonts w:asciiTheme="majorHAnsi" w:hAnsiTheme="majorHAnsi" w:cstheme="majorHAnsi"/>
          <w:sz w:val="24"/>
          <w:szCs w:val="24"/>
        </w:rPr>
        <w:t>total debt to total assets ratio</w:t>
      </w:r>
      <w:r w:rsidRPr="0022305D">
        <w:rPr>
          <w:rFonts w:asciiTheme="majorHAnsi" w:hAnsiTheme="majorHAnsi" w:cstheme="majorHAnsi"/>
          <w:sz w:val="24"/>
          <w:szCs w:val="24"/>
        </w:rPr>
        <w:t xml:space="preserve"> has significant negative relationship with profitability. This means, an increase in </w:t>
      </w:r>
      <w:r w:rsidR="00CB2CDC">
        <w:rPr>
          <w:rFonts w:asciiTheme="majorHAnsi" w:hAnsiTheme="majorHAnsi" w:cstheme="majorHAnsi"/>
          <w:sz w:val="24"/>
          <w:szCs w:val="24"/>
        </w:rPr>
        <w:t>total debt to total assets ratio</w:t>
      </w:r>
      <w:r w:rsidRPr="0022305D">
        <w:rPr>
          <w:rFonts w:asciiTheme="majorHAnsi" w:hAnsiTheme="majorHAnsi" w:cstheme="majorHAnsi"/>
          <w:sz w:val="24"/>
          <w:szCs w:val="24"/>
        </w:rPr>
        <w:t xml:space="preserve"> leads to an increase in profitability and a decrease in </w:t>
      </w:r>
      <w:r w:rsidR="00CB2CDC">
        <w:rPr>
          <w:rFonts w:asciiTheme="majorHAnsi" w:hAnsiTheme="majorHAnsi" w:cstheme="majorHAnsi"/>
          <w:sz w:val="24"/>
          <w:szCs w:val="24"/>
        </w:rPr>
        <w:t>total debt to total assets ratio</w:t>
      </w:r>
      <w:r w:rsidRPr="0022305D">
        <w:rPr>
          <w:rFonts w:asciiTheme="majorHAnsi" w:hAnsiTheme="majorHAnsi" w:cstheme="majorHAnsi"/>
          <w:sz w:val="24"/>
          <w:szCs w:val="24"/>
        </w:rPr>
        <w:t xml:space="preserve"> leads to decrease in profitability. </w:t>
      </w:r>
      <w:r w:rsidRPr="0022305D">
        <w:rPr>
          <w:rFonts w:asciiTheme="majorHAnsi" w:eastAsia="TimesNewRomanPSMT" w:hAnsiTheme="majorHAnsi" w:cstheme="majorHAnsi"/>
          <w:sz w:val="24"/>
          <w:szCs w:val="24"/>
        </w:rPr>
        <w:t xml:space="preserve">However, this result is in contrary with findings of  </w:t>
      </w:r>
      <w:r w:rsidRPr="0022305D">
        <w:rPr>
          <w:rFonts w:asciiTheme="majorHAnsi" w:eastAsia="TimesNewRomanPSMT" w:hAnsiTheme="majorHAnsi" w:cstheme="majorHAnsi"/>
          <w:sz w:val="24"/>
          <w:szCs w:val="24"/>
        </w:rPr>
        <w:fldChar w:fldCharType="begin" w:fldLock="1"/>
      </w:r>
      <w:r w:rsidR="00DC5082">
        <w:rPr>
          <w:rFonts w:asciiTheme="majorHAnsi" w:eastAsia="TimesNewRomanPSMT" w:hAnsiTheme="majorHAnsi" w:cstheme="majorHAnsi"/>
          <w:sz w:val="24"/>
          <w:szCs w:val="24"/>
        </w:rPr>
        <w:instrText>ADDIN CSL_CITATION {"citationItems":[{"id":"ITEM-1","itemData":{"DOI":"10.11114/aef.v6i2.3867","ISSN":"2332-7294","abstract":"This research explores the impact of capital structure on the profitability of publicly traded manufacturing firms in Bangladesh. In this paper, we applied the fixed effect regression to find out the correlation among independent variables (debt ratio, equity ratio and debt to equity ratio) and dependent variables (return on asset, return on equity and earnings per share). A sample of 50 observations of selected 10 manufacturing companies listed in Dhaka Stock Exchange has been analyzed over the period of 2013 to 2017. This research reveals that the debt ratio and equity ratio have a significant positive impact but debt to equity ratio has a significant negative impact on ROA. This paper also exposes that, equity ratio has a significant positive impact but debt to equity ratio has a significant negative impact on ROE. Finally, debt and equity ratio has a significant negative impact on EPS. Findings of this research will help the listed manufacturing companies to maintain an optimum capital structure which will lead to the maximization of stockholders wealth.","author":[{"dropping-particle":"","family":"Rahman","given":"Md. Ataur","non-dropping-particle":"","parse-names":false,"suffix":""},{"dropping-particle":"","family":"Sarker","given":"Md. Sadrul Islam","non-dropping-particle":"","parse-names":false,"suffix":""},{"dropping-particle":"","family":"Uddin","given":"Md. Joyen","non-dropping-particle":"","parse-names":false,"suffix":""}],"container-title":"Applied Economics and Finance","id":"ITEM-1","issue":"2","issued":{"date-parts":[["2019"]]},"page":"1","title":"The Impact of Capital Structure on the Profitability of Publicly Traded Manufacturing Firms in Bangladesh","type":"article-journal","volume":"6"},"uris":["http://www.mendeley.com/documents/?uuid=661f1ddf-9df8-4dc5-956d-d1aec6650f0c"]}],"mendeley":{"formattedCitation":"(Rahman et al., 2019)","manualFormatting":"Rahman, Sarker, and Uddin (2019)","plainTextFormattedCitation":"(Rahman et al., 2019)","previouslyFormattedCitation":"(Rahman et al., 2019)"},"properties":{"noteIndex":0},"schema":"https://github.com/citation-style-language/schema/raw/master/csl-citation.json"}</w:instrText>
      </w:r>
      <w:r w:rsidRPr="0022305D">
        <w:rPr>
          <w:rFonts w:asciiTheme="majorHAnsi" w:eastAsia="TimesNewRomanPSMT" w:hAnsiTheme="majorHAnsi" w:cstheme="majorHAnsi"/>
          <w:sz w:val="24"/>
          <w:szCs w:val="24"/>
        </w:rPr>
        <w:fldChar w:fldCharType="separate"/>
      </w:r>
      <w:r w:rsidRPr="0022305D">
        <w:rPr>
          <w:rFonts w:asciiTheme="majorHAnsi" w:eastAsia="TimesNewRomanPSMT" w:hAnsiTheme="majorHAnsi" w:cstheme="majorHAnsi"/>
          <w:noProof/>
          <w:sz w:val="24"/>
          <w:szCs w:val="24"/>
        </w:rPr>
        <w:t>Rahman, Sarker, and Uddin (2019)</w:t>
      </w:r>
      <w:r w:rsidRPr="0022305D">
        <w:rPr>
          <w:rFonts w:asciiTheme="majorHAnsi" w:eastAsia="TimesNewRomanPSMT" w:hAnsiTheme="majorHAnsi" w:cstheme="majorHAnsi"/>
          <w:sz w:val="24"/>
          <w:szCs w:val="24"/>
        </w:rPr>
        <w:fldChar w:fldCharType="end"/>
      </w:r>
      <w:r w:rsidRPr="0022305D">
        <w:rPr>
          <w:rFonts w:asciiTheme="majorHAnsi" w:eastAsia="TimesNewRomanPSMT" w:hAnsiTheme="majorHAnsi" w:cstheme="majorHAnsi"/>
          <w:sz w:val="24"/>
          <w:szCs w:val="24"/>
        </w:rPr>
        <w:t xml:space="preserve"> who found that there is significant positive relationship between </w:t>
      </w:r>
      <w:r w:rsidR="00CB2CDC">
        <w:rPr>
          <w:rFonts w:asciiTheme="majorHAnsi" w:eastAsia="TimesNewRomanPSMT" w:hAnsiTheme="majorHAnsi" w:cstheme="majorHAnsi"/>
          <w:sz w:val="24"/>
          <w:szCs w:val="24"/>
        </w:rPr>
        <w:t>total debt to total assets ratio</w:t>
      </w:r>
      <w:r w:rsidRPr="0022305D">
        <w:rPr>
          <w:rFonts w:asciiTheme="majorHAnsi" w:eastAsia="TimesNewRomanPSMT" w:hAnsiTheme="majorHAnsi" w:cstheme="majorHAnsi"/>
          <w:sz w:val="24"/>
          <w:szCs w:val="24"/>
        </w:rPr>
        <w:t xml:space="preserve"> and profitability.</w:t>
      </w:r>
    </w:p>
    <w:p w14:paraId="2177FECD" w14:textId="77777777" w:rsidR="00724D10" w:rsidRPr="0022305D" w:rsidRDefault="00724D10" w:rsidP="00724D10">
      <w:pPr>
        <w:autoSpaceDE w:val="0"/>
        <w:autoSpaceDN w:val="0"/>
        <w:adjustRightInd w:val="0"/>
        <w:spacing w:after="0" w:line="480" w:lineRule="auto"/>
        <w:rPr>
          <w:rFonts w:asciiTheme="majorHAnsi" w:eastAsia="TimesNewRomanPSMT" w:hAnsiTheme="majorHAnsi" w:cstheme="majorHAnsi"/>
          <w:sz w:val="24"/>
          <w:szCs w:val="24"/>
        </w:rPr>
      </w:pPr>
    </w:p>
    <w:p w14:paraId="1376BC71" w14:textId="77777777" w:rsidR="00724D10" w:rsidRPr="00C553FC" w:rsidRDefault="00724D10" w:rsidP="00BD12A1">
      <w:pPr>
        <w:pStyle w:val="Heading2"/>
        <w:spacing w:line="480" w:lineRule="auto"/>
        <w:jc w:val="left"/>
        <w:rPr>
          <w:rFonts w:asciiTheme="majorHAnsi" w:eastAsia="TimesNewRomanPSMT" w:hAnsiTheme="majorHAnsi" w:cstheme="majorHAnsi"/>
          <w:sz w:val="28"/>
          <w:szCs w:val="28"/>
        </w:rPr>
      </w:pPr>
      <w:bookmarkStart w:id="127" w:name="_Toc76494425"/>
      <w:bookmarkStart w:id="128" w:name="_Toc78205824"/>
      <w:r w:rsidRPr="00C553FC">
        <w:rPr>
          <w:rFonts w:asciiTheme="majorHAnsi" w:hAnsiTheme="majorHAnsi" w:cstheme="majorHAnsi"/>
          <w:sz w:val="28"/>
          <w:szCs w:val="28"/>
        </w:rPr>
        <w:t>Conclusion</w:t>
      </w:r>
      <w:bookmarkEnd w:id="127"/>
      <w:bookmarkEnd w:id="128"/>
    </w:p>
    <w:p w14:paraId="4D27F6D8" w14:textId="60A33B29" w:rsidR="00724D10" w:rsidRPr="0022305D" w:rsidRDefault="00724D10" w:rsidP="00724D10">
      <w:pPr>
        <w:autoSpaceDE w:val="0"/>
        <w:autoSpaceDN w:val="0"/>
        <w:adjustRightInd w:val="0"/>
        <w:spacing w:after="0" w:line="480" w:lineRule="auto"/>
        <w:ind w:firstLine="720"/>
        <w:rPr>
          <w:rFonts w:asciiTheme="majorHAnsi" w:eastAsia="TimesNewRomanPSMT" w:hAnsiTheme="majorHAnsi" w:cstheme="majorHAnsi"/>
          <w:sz w:val="24"/>
          <w:szCs w:val="24"/>
        </w:rPr>
      </w:pPr>
      <w:r w:rsidRPr="0022305D">
        <w:rPr>
          <w:rFonts w:asciiTheme="majorHAnsi" w:hAnsiTheme="majorHAnsi" w:cstheme="majorHAnsi"/>
          <w:sz w:val="24"/>
          <w:szCs w:val="24"/>
        </w:rPr>
        <w:t xml:space="preserve">The study sought to find the relationship between solvency and profitability of commercial banks in Kenya. </w:t>
      </w:r>
      <w:r w:rsidRPr="0022305D">
        <w:rPr>
          <w:rFonts w:asciiTheme="majorHAnsi" w:eastAsia="TimesNewRomanPSMT" w:hAnsiTheme="majorHAnsi" w:cstheme="majorHAnsi"/>
          <w:sz w:val="24"/>
          <w:szCs w:val="24"/>
        </w:rPr>
        <w:t xml:space="preserve">The following conclusions were drawn based on the findings of the research. First, solvency in terms of </w:t>
      </w:r>
      <w:r w:rsidR="00CB2CDC">
        <w:rPr>
          <w:rFonts w:asciiTheme="majorHAnsi" w:eastAsia="TimesNewRomanPSMT" w:hAnsiTheme="majorHAnsi" w:cstheme="majorHAnsi"/>
          <w:sz w:val="24"/>
          <w:szCs w:val="24"/>
        </w:rPr>
        <w:t>total debt to total assets ratio</w:t>
      </w:r>
      <w:r w:rsidRPr="0022305D">
        <w:rPr>
          <w:rFonts w:asciiTheme="majorHAnsi" w:eastAsia="TimesNewRomanPSMT" w:hAnsiTheme="majorHAnsi" w:cstheme="majorHAnsi"/>
          <w:sz w:val="24"/>
          <w:szCs w:val="24"/>
        </w:rPr>
        <w:t xml:space="preserve">, has significant and negative relationship with profitability of commercial banks. </w:t>
      </w:r>
      <w:r w:rsidRPr="0022305D">
        <w:rPr>
          <w:rFonts w:asciiTheme="majorHAnsi" w:hAnsiTheme="majorHAnsi" w:cstheme="majorHAnsi"/>
          <w:sz w:val="24"/>
          <w:szCs w:val="24"/>
        </w:rPr>
        <w:t xml:space="preserve">Based on this observation, the study concludes </w:t>
      </w:r>
      <w:r w:rsidRPr="0022305D">
        <w:rPr>
          <w:rFonts w:asciiTheme="majorHAnsi" w:eastAsia="TimesNewRomanPSMT" w:hAnsiTheme="majorHAnsi" w:cstheme="majorHAnsi"/>
          <w:sz w:val="24"/>
          <w:szCs w:val="24"/>
        </w:rPr>
        <w:t xml:space="preserve">that for banks to remain profitable they should maintain the level of </w:t>
      </w:r>
      <w:r w:rsidR="00CB2CDC">
        <w:rPr>
          <w:rFonts w:asciiTheme="majorHAnsi" w:eastAsia="TimesNewRomanPSMT" w:hAnsiTheme="majorHAnsi" w:cstheme="majorHAnsi"/>
          <w:sz w:val="24"/>
          <w:szCs w:val="24"/>
        </w:rPr>
        <w:t>total debt to total assets ratio</w:t>
      </w:r>
      <w:r w:rsidRPr="0022305D">
        <w:rPr>
          <w:rFonts w:asciiTheme="majorHAnsi" w:eastAsia="TimesNewRomanPSMT" w:hAnsiTheme="majorHAnsi" w:cstheme="majorHAnsi"/>
          <w:sz w:val="24"/>
          <w:szCs w:val="24"/>
        </w:rPr>
        <w:t xml:space="preserve"> as low as possible by reducing the total liabilities and increasing the level of total assets. </w:t>
      </w:r>
    </w:p>
    <w:p w14:paraId="1135945D" w14:textId="73434686" w:rsidR="00724D10" w:rsidRDefault="00724D10" w:rsidP="00724D10">
      <w:pPr>
        <w:autoSpaceDE w:val="0"/>
        <w:autoSpaceDN w:val="0"/>
        <w:adjustRightInd w:val="0"/>
        <w:spacing w:after="0" w:line="480" w:lineRule="auto"/>
        <w:ind w:firstLine="720"/>
        <w:rPr>
          <w:rFonts w:asciiTheme="majorHAnsi" w:eastAsia="TimesNewRomanPSMT" w:hAnsiTheme="majorHAnsi" w:cstheme="majorHAnsi"/>
          <w:sz w:val="24"/>
          <w:szCs w:val="24"/>
        </w:rPr>
      </w:pPr>
      <w:r w:rsidRPr="0022305D">
        <w:rPr>
          <w:rFonts w:asciiTheme="majorHAnsi" w:hAnsiTheme="majorHAnsi" w:cstheme="majorHAnsi"/>
          <w:sz w:val="24"/>
          <w:szCs w:val="24"/>
        </w:rPr>
        <w:t xml:space="preserve">The </w:t>
      </w:r>
      <w:r w:rsidR="00E3769B" w:rsidRPr="0022305D">
        <w:rPr>
          <w:rFonts w:asciiTheme="majorHAnsi" w:hAnsiTheme="majorHAnsi" w:cstheme="majorHAnsi"/>
          <w:sz w:val="24"/>
          <w:szCs w:val="24"/>
        </w:rPr>
        <w:t>results</w:t>
      </w:r>
      <w:r w:rsidRPr="0022305D">
        <w:rPr>
          <w:rFonts w:asciiTheme="majorHAnsi" w:hAnsiTheme="majorHAnsi" w:cstheme="majorHAnsi"/>
          <w:sz w:val="24"/>
          <w:szCs w:val="24"/>
        </w:rPr>
        <w:t xml:space="preserve"> of th</w:t>
      </w:r>
      <w:r w:rsidR="00E3769B">
        <w:rPr>
          <w:rFonts w:asciiTheme="majorHAnsi" w:hAnsiTheme="majorHAnsi" w:cstheme="majorHAnsi"/>
          <w:sz w:val="24"/>
          <w:szCs w:val="24"/>
        </w:rPr>
        <w:t>is</w:t>
      </w:r>
      <w:r w:rsidRPr="0022305D">
        <w:rPr>
          <w:rFonts w:asciiTheme="majorHAnsi" w:hAnsiTheme="majorHAnsi" w:cstheme="majorHAnsi"/>
          <w:sz w:val="24"/>
          <w:szCs w:val="24"/>
        </w:rPr>
        <w:t xml:space="preserve"> </w:t>
      </w:r>
      <w:r w:rsidR="00E3769B">
        <w:rPr>
          <w:rFonts w:asciiTheme="majorHAnsi" w:hAnsiTheme="majorHAnsi" w:cstheme="majorHAnsi"/>
          <w:sz w:val="24"/>
          <w:szCs w:val="24"/>
        </w:rPr>
        <w:t>research</w:t>
      </w:r>
      <w:r w:rsidRPr="0022305D">
        <w:rPr>
          <w:rFonts w:asciiTheme="majorHAnsi" w:hAnsiTheme="majorHAnsi" w:cstheme="majorHAnsi"/>
          <w:sz w:val="24"/>
          <w:szCs w:val="24"/>
        </w:rPr>
        <w:t xml:space="preserve"> also </w:t>
      </w:r>
      <w:r w:rsidR="00E3769B">
        <w:rPr>
          <w:rFonts w:asciiTheme="majorHAnsi" w:hAnsiTheme="majorHAnsi" w:cstheme="majorHAnsi"/>
          <w:sz w:val="24"/>
          <w:szCs w:val="24"/>
        </w:rPr>
        <w:t>showed</w:t>
      </w:r>
      <w:r w:rsidRPr="0022305D">
        <w:rPr>
          <w:rFonts w:asciiTheme="majorHAnsi" w:hAnsiTheme="majorHAnsi" w:cstheme="majorHAnsi"/>
          <w:sz w:val="24"/>
          <w:szCs w:val="24"/>
        </w:rPr>
        <w:t xml:space="preserve"> that solvency, in terms of </w:t>
      </w:r>
      <w:r w:rsidR="00BE06BC">
        <w:rPr>
          <w:rFonts w:asciiTheme="majorHAnsi" w:eastAsia="TimesNewRomanPSMT" w:hAnsiTheme="majorHAnsi" w:cstheme="majorHAnsi"/>
          <w:sz w:val="24"/>
          <w:szCs w:val="24"/>
        </w:rPr>
        <w:t>total debt to equity</w:t>
      </w:r>
      <w:r w:rsidRPr="0022305D">
        <w:rPr>
          <w:rFonts w:asciiTheme="majorHAnsi" w:eastAsia="TimesNewRomanPSMT" w:hAnsiTheme="majorHAnsi" w:cstheme="majorHAnsi"/>
          <w:sz w:val="24"/>
          <w:szCs w:val="24"/>
        </w:rPr>
        <w:t xml:space="preserve"> ratio, has a significant positive relationship with profitability of commercial banks. This means that the higher the </w:t>
      </w:r>
      <w:r w:rsidR="00BE06BC">
        <w:rPr>
          <w:rFonts w:asciiTheme="majorHAnsi" w:eastAsia="TimesNewRomanPSMT" w:hAnsiTheme="majorHAnsi" w:cstheme="majorHAnsi"/>
          <w:sz w:val="24"/>
          <w:szCs w:val="24"/>
        </w:rPr>
        <w:t>total debt to equity</w:t>
      </w:r>
      <w:r w:rsidRPr="0022305D">
        <w:rPr>
          <w:rFonts w:asciiTheme="majorHAnsi" w:eastAsia="TimesNewRomanPSMT" w:hAnsiTheme="majorHAnsi" w:cstheme="majorHAnsi"/>
          <w:sz w:val="24"/>
          <w:szCs w:val="24"/>
        </w:rPr>
        <w:t xml:space="preserve"> ratio, the higher the profitability and the lower the </w:t>
      </w:r>
      <w:r w:rsidR="00BE06BC">
        <w:rPr>
          <w:rFonts w:asciiTheme="majorHAnsi" w:eastAsia="TimesNewRomanPSMT" w:hAnsiTheme="majorHAnsi" w:cstheme="majorHAnsi"/>
          <w:sz w:val="24"/>
          <w:szCs w:val="24"/>
        </w:rPr>
        <w:t>total debt to equity</w:t>
      </w:r>
      <w:r w:rsidRPr="0022305D">
        <w:rPr>
          <w:rFonts w:asciiTheme="majorHAnsi" w:eastAsia="TimesNewRomanPSMT" w:hAnsiTheme="majorHAnsi" w:cstheme="majorHAnsi"/>
          <w:sz w:val="24"/>
          <w:szCs w:val="24"/>
        </w:rPr>
        <w:t xml:space="preserve"> ratio, the lower the profitability. </w:t>
      </w:r>
      <w:r w:rsidRPr="0022305D">
        <w:rPr>
          <w:rFonts w:asciiTheme="majorHAnsi" w:hAnsiTheme="majorHAnsi" w:cstheme="majorHAnsi"/>
          <w:sz w:val="24"/>
          <w:szCs w:val="24"/>
        </w:rPr>
        <w:t xml:space="preserve">Based on the above findings, the study concludes that </w:t>
      </w:r>
      <w:r w:rsidR="00BE06BC">
        <w:rPr>
          <w:rFonts w:asciiTheme="majorHAnsi" w:hAnsiTheme="majorHAnsi" w:cstheme="majorHAnsi"/>
          <w:sz w:val="24"/>
          <w:szCs w:val="24"/>
        </w:rPr>
        <w:t>total debt to equity</w:t>
      </w:r>
      <w:r w:rsidRPr="0022305D">
        <w:rPr>
          <w:rFonts w:asciiTheme="majorHAnsi" w:hAnsiTheme="majorHAnsi" w:cstheme="majorHAnsi"/>
          <w:sz w:val="24"/>
          <w:szCs w:val="24"/>
        </w:rPr>
        <w:t xml:space="preserve"> ratio plays a direct and significant role in predicting profitability of commercial banks. Since the operations and the performance of commercial banks depends on the profitability, which in </w:t>
      </w:r>
      <w:r w:rsidR="0080725A">
        <w:rPr>
          <w:rFonts w:asciiTheme="majorHAnsi" w:hAnsiTheme="majorHAnsi" w:cstheme="majorHAnsi"/>
          <w:sz w:val="24"/>
          <w:szCs w:val="24"/>
        </w:rPr>
        <w:t>tu</w:t>
      </w:r>
      <w:r w:rsidRPr="0022305D">
        <w:rPr>
          <w:rFonts w:asciiTheme="majorHAnsi" w:hAnsiTheme="majorHAnsi" w:cstheme="majorHAnsi"/>
          <w:sz w:val="24"/>
          <w:szCs w:val="24"/>
        </w:rPr>
        <w:t xml:space="preserve">rn depends on the level of solvency measured in terms of </w:t>
      </w:r>
      <w:r w:rsidR="00CB2CDC">
        <w:rPr>
          <w:rFonts w:asciiTheme="majorHAnsi" w:hAnsiTheme="majorHAnsi" w:cstheme="majorHAnsi"/>
          <w:sz w:val="24"/>
          <w:szCs w:val="24"/>
        </w:rPr>
        <w:t>total debt to total assets ratio</w:t>
      </w:r>
      <w:r w:rsidRPr="0022305D">
        <w:rPr>
          <w:rFonts w:asciiTheme="majorHAnsi" w:hAnsiTheme="majorHAnsi" w:cstheme="majorHAnsi"/>
          <w:sz w:val="24"/>
          <w:szCs w:val="24"/>
        </w:rPr>
        <w:t xml:space="preserve"> and </w:t>
      </w:r>
      <w:r w:rsidR="00BE06BC">
        <w:rPr>
          <w:rFonts w:asciiTheme="majorHAnsi" w:hAnsiTheme="majorHAnsi" w:cstheme="majorHAnsi"/>
          <w:sz w:val="24"/>
          <w:szCs w:val="24"/>
        </w:rPr>
        <w:t>total debt to equity</w:t>
      </w:r>
      <w:r w:rsidRPr="0022305D">
        <w:rPr>
          <w:rFonts w:asciiTheme="majorHAnsi" w:hAnsiTheme="majorHAnsi" w:cstheme="majorHAnsi"/>
          <w:sz w:val="24"/>
          <w:szCs w:val="24"/>
        </w:rPr>
        <w:t xml:space="preserve"> ratio, banks must ensure that </w:t>
      </w:r>
      <w:r w:rsidR="00CB2CDC">
        <w:rPr>
          <w:rFonts w:asciiTheme="majorHAnsi" w:hAnsiTheme="majorHAnsi" w:cstheme="majorHAnsi"/>
          <w:sz w:val="24"/>
          <w:szCs w:val="24"/>
        </w:rPr>
        <w:t>total debt to total assets ratio</w:t>
      </w:r>
      <w:r w:rsidRPr="0022305D">
        <w:rPr>
          <w:rFonts w:asciiTheme="majorHAnsi" w:hAnsiTheme="majorHAnsi" w:cstheme="majorHAnsi"/>
          <w:sz w:val="24"/>
          <w:szCs w:val="24"/>
        </w:rPr>
        <w:t xml:space="preserve"> is maintained as low as possible while </w:t>
      </w:r>
      <w:r w:rsidR="00BE06BC">
        <w:rPr>
          <w:rFonts w:asciiTheme="majorHAnsi" w:hAnsiTheme="majorHAnsi" w:cstheme="majorHAnsi"/>
          <w:sz w:val="24"/>
          <w:szCs w:val="24"/>
        </w:rPr>
        <w:t>total debt to equity</w:t>
      </w:r>
      <w:r w:rsidRPr="0022305D">
        <w:rPr>
          <w:rFonts w:asciiTheme="majorHAnsi" w:hAnsiTheme="majorHAnsi" w:cstheme="majorHAnsi"/>
          <w:sz w:val="24"/>
          <w:szCs w:val="24"/>
        </w:rPr>
        <w:t xml:space="preserve"> ratio must be maintained as high as possible.</w:t>
      </w:r>
      <w:r w:rsidRPr="0022305D">
        <w:rPr>
          <w:rFonts w:asciiTheme="majorHAnsi" w:eastAsia="TimesNewRomanPSMT" w:hAnsiTheme="majorHAnsi" w:cstheme="majorHAnsi"/>
          <w:sz w:val="24"/>
          <w:szCs w:val="24"/>
        </w:rPr>
        <w:t xml:space="preserve"> </w:t>
      </w:r>
    </w:p>
    <w:p w14:paraId="4F8969BC" w14:textId="77777777" w:rsidR="00724D10" w:rsidRPr="0022305D" w:rsidRDefault="00724D10" w:rsidP="000B0996">
      <w:pPr>
        <w:autoSpaceDE w:val="0"/>
        <w:autoSpaceDN w:val="0"/>
        <w:adjustRightInd w:val="0"/>
        <w:spacing w:after="0" w:line="480" w:lineRule="auto"/>
        <w:rPr>
          <w:rFonts w:asciiTheme="majorHAnsi" w:eastAsia="TimesNewRomanPSMT" w:hAnsiTheme="majorHAnsi" w:cstheme="majorHAnsi"/>
          <w:sz w:val="24"/>
          <w:szCs w:val="24"/>
        </w:rPr>
      </w:pPr>
    </w:p>
    <w:p w14:paraId="65AA22BE" w14:textId="20106253" w:rsidR="00724D10" w:rsidRPr="00C553FC" w:rsidRDefault="00724D10" w:rsidP="00BD12A1">
      <w:pPr>
        <w:pStyle w:val="Heading2"/>
        <w:spacing w:line="480" w:lineRule="auto"/>
        <w:jc w:val="left"/>
        <w:rPr>
          <w:rFonts w:asciiTheme="majorHAnsi" w:hAnsiTheme="majorHAnsi" w:cstheme="majorHAnsi"/>
          <w:sz w:val="28"/>
          <w:szCs w:val="28"/>
        </w:rPr>
      </w:pPr>
      <w:bookmarkStart w:id="129" w:name="_Toc76494426"/>
      <w:bookmarkStart w:id="130" w:name="_Toc78205825"/>
      <w:r w:rsidRPr="00C553FC">
        <w:rPr>
          <w:rFonts w:asciiTheme="majorHAnsi" w:hAnsiTheme="majorHAnsi" w:cstheme="majorHAnsi"/>
          <w:sz w:val="28"/>
          <w:szCs w:val="28"/>
        </w:rPr>
        <w:t>Recommendations</w:t>
      </w:r>
      <w:bookmarkEnd w:id="129"/>
      <w:bookmarkEnd w:id="130"/>
    </w:p>
    <w:p w14:paraId="2F98C87E" w14:textId="48DA1613" w:rsidR="00D85387" w:rsidRPr="00C553FC" w:rsidRDefault="00D85387" w:rsidP="00BD12A1">
      <w:pPr>
        <w:pStyle w:val="Heading2"/>
        <w:spacing w:line="480" w:lineRule="auto"/>
        <w:jc w:val="left"/>
        <w:rPr>
          <w:sz w:val="28"/>
          <w:szCs w:val="28"/>
        </w:rPr>
      </w:pPr>
      <w:bookmarkStart w:id="131" w:name="_Toc78205826"/>
      <w:r w:rsidRPr="00C553FC">
        <w:rPr>
          <w:sz w:val="28"/>
          <w:szCs w:val="28"/>
        </w:rPr>
        <w:t>Specific recommendations</w:t>
      </w:r>
      <w:bookmarkEnd w:id="131"/>
    </w:p>
    <w:p w14:paraId="4B03BDDF" w14:textId="6647F079" w:rsidR="00724D10" w:rsidRPr="0022305D" w:rsidRDefault="00C461B6" w:rsidP="00724D10">
      <w:pPr>
        <w:autoSpaceDE w:val="0"/>
        <w:autoSpaceDN w:val="0"/>
        <w:adjustRightInd w:val="0"/>
        <w:spacing w:after="0" w:line="480" w:lineRule="auto"/>
        <w:ind w:firstLine="720"/>
        <w:rPr>
          <w:rFonts w:asciiTheme="majorHAnsi" w:hAnsiTheme="majorHAnsi" w:cstheme="majorHAnsi"/>
          <w:color w:val="C00000"/>
          <w:sz w:val="24"/>
          <w:szCs w:val="24"/>
        </w:rPr>
      </w:pPr>
      <w:r w:rsidRPr="00C461B6">
        <w:rPr>
          <w:rFonts w:asciiTheme="majorHAnsi" w:eastAsia="TimesNewRomanPSMT" w:hAnsiTheme="majorHAnsi" w:cstheme="majorHAnsi"/>
          <w:sz w:val="24"/>
          <w:szCs w:val="24"/>
        </w:rPr>
        <w:t>Any commercial entity, including banks, must maintain a high degree of profitability</w:t>
      </w:r>
      <w:r w:rsidR="00724D10" w:rsidRPr="0022305D">
        <w:rPr>
          <w:rFonts w:asciiTheme="majorHAnsi" w:eastAsia="TimesNewRomanPSMT" w:hAnsiTheme="majorHAnsi" w:cstheme="majorHAnsi"/>
          <w:sz w:val="24"/>
          <w:szCs w:val="24"/>
        </w:rPr>
        <w:t xml:space="preserve">. Bank managers therefore must ensure that profitability is maintained as high as possible. </w:t>
      </w:r>
      <w:r w:rsidR="00724D10" w:rsidRPr="0022305D">
        <w:rPr>
          <w:rFonts w:asciiTheme="majorHAnsi" w:hAnsiTheme="majorHAnsi" w:cstheme="majorHAnsi"/>
          <w:sz w:val="24"/>
          <w:szCs w:val="24"/>
        </w:rPr>
        <w:t xml:space="preserve">The study results indicated that solvency, in terms of </w:t>
      </w:r>
      <w:r w:rsidR="00CB2CDC">
        <w:rPr>
          <w:rFonts w:asciiTheme="majorHAnsi" w:hAnsiTheme="majorHAnsi" w:cstheme="majorHAnsi"/>
          <w:sz w:val="24"/>
          <w:szCs w:val="24"/>
        </w:rPr>
        <w:t>total debt to total assets ratio</w:t>
      </w:r>
      <w:r w:rsidR="00724D10" w:rsidRPr="0022305D">
        <w:rPr>
          <w:rFonts w:asciiTheme="majorHAnsi" w:hAnsiTheme="majorHAnsi" w:cstheme="majorHAnsi"/>
          <w:sz w:val="24"/>
          <w:szCs w:val="24"/>
        </w:rPr>
        <w:t xml:space="preserve">, has negative relationship with profitability. Based on this conclusion, this study recommends that the central bank of Kenya, which is the regulating body for operations of commercial banks, should formulate and implement policies which ensure that no bank operate at a level of </w:t>
      </w:r>
      <w:r w:rsidR="00CB2CDC">
        <w:rPr>
          <w:rFonts w:asciiTheme="majorHAnsi" w:hAnsiTheme="majorHAnsi" w:cstheme="majorHAnsi"/>
          <w:sz w:val="24"/>
          <w:szCs w:val="24"/>
        </w:rPr>
        <w:t>total debt to total assets ratio</w:t>
      </w:r>
      <w:r w:rsidR="00724D10" w:rsidRPr="0022305D">
        <w:rPr>
          <w:rFonts w:asciiTheme="majorHAnsi" w:hAnsiTheme="majorHAnsi" w:cstheme="majorHAnsi"/>
          <w:sz w:val="24"/>
          <w:szCs w:val="24"/>
        </w:rPr>
        <w:t xml:space="preserve"> beyond the threshold level.</w:t>
      </w:r>
    </w:p>
    <w:p w14:paraId="4EE4C046" w14:textId="6AF5D969" w:rsidR="00D85387" w:rsidRDefault="00724D10" w:rsidP="00410695">
      <w:pPr>
        <w:autoSpaceDE w:val="0"/>
        <w:autoSpaceDN w:val="0"/>
        <w:adjustRightInd w:val="0"/>
        <w:spacing w:after="0" w:line="480" w:lineRule="auto"/>
        <w:ind w:firstLine="720"/>
        <w:rPr>
          <w:rFonts w:asciiTheme="majorHAnsi" w:hAnsiTheme="majorHAnsi" w:cstheme="majorHAnsi"/>
          <w:sz w:val="24"/>
          <w:szCs w:val="24"/>
        </w:rPr>
      </w:pPr>
      <w:r w:rsidRPr="0022305D">
        <w:rPr>
          <w:rFonts w:asciiTheme="majorHAnsi" w:hAnsiTheme="majorHAnsi" w:cstheme="majorHAnsi"/>
          <w:sz w:val="24"/>
          <w:szCs w:val="24"/>
        </w:rPr>
        <w:t xml:space="preserve">From the observation that solvency, in terms of </w:t>
      </w:r>
      <w:r w:rsidR="00BE06BC">
        <w:rPr>
          <w:rFonts w:asciiTheme="majorHAnsi" w:hAnsiTheme="majorHAnsi" w:cstheme="majorHAnsi"/>
          <w:sz w:val="24"/>
          <w:szCs w:val="24"/>
        </w:rPr>
        <w:t>total debt to equity</w:t>
      </w:r>
      <w:r w:rsidRPr="0022305D">
        <w:rPr>
          <w:rFonts w:asciiTheme="majorHAnsi" w:hAnsiTheme="majorHAnsi" w:cstheme="majorHAnsi"/>
          <w:sz w:val="24"/>
          <w:szCs w:val="24"/>
        </w:rPr>
        <w:t xml:space="preserve"> ratio, has significant positive relationship with profitability, this study recommends that the bank managers develop and implement strategies which encourage high level of </w:t>
      </w:r>
      <w:r w:rsidR="00BE06BC">
        <w:rPr>
          <w:rFonts w:asciiTheme="majorHAnsi" w:hAnsiTheme="majorHAnsi" w:cstheme="majorHAnsi"/>
          <w:sz w:val="24"/>
          <w:szCs w:val="24"/>
        </w:rPr>
        <w:t>total debt to equity</w:t>
      </w:r>
      <w:r w:rsidRPr="0022305D">
        <w:rPr>
          <w:rFonts w:asciiTheme="majorHAnsi" w:hAnsiTheme="majorHAnsi" w:cstheme="majorHAnsi"/>
          <w:sz w:val="24"/>
          <w:szCs w:val="24"/>
        </w:rPr>
        <w:t xml:space="preserve"> ratio. This can be achieved through increasing the level of liabilities while reducing the level of equity. In doing this the level of profitability will be increase.</w:t>
      </w:r>
    </w:p>
    <w:p w14:paraId="74A26F54" w14:textId="1695CFCC" w:rsidR="00410695" w:rsidRDefault="00410695" w:rsidP="00410695">
      <w:pPr>
        <w:autoSpaceDE w:val="0"/>
        <w:autoSpaceDN w:val="0"/>
        <w:adjustRightInd w:val="0"/>
        <w:spacing w:after="0" w:line="480" w:lineRule="auto"/>
        <w:ind w:firstLine="720"/>
        <w:rPr>
          <w:rFonts w:asciiTheme="majorHAnsi" w:hAnsiTheme="majorHAnsi" w:cstheme="majorHAnsi"/>
          <w:sz w:val="24"/>
          <w:szCs w:val="24"/>
        </w:rPr>
      </w:pPr>
    </w:p>
    <w:p w14:paraId="58DA38AA" w14:textId="77777777" w:rsidR="00864099" w:rsidRDefault="00864099" w:rsidP="00F03529">
      <w:pPr>
        <w:autoSpaceDE w:val="0"/>
        <w:autoSpaceDN w:val="0"/>
        <w:adjustRightInd w:val="0"/>
        <w:spacing w:after="0" w:line="480" w:lineRule="auto"/>
        <w:jc w:val="center"/>
        <w:rPr>
          <w:rFonts w:ascii="Times New Roman" w:hAnsi="Times New Roman" w:cs="Times New Roman"/>
          <w:b/>
          <w:bCs/>
          <w:sz w:val="24"/>
          <w:szCs w:val="24"/>
        </w:rPr>
      </w:pPr>
    </w:p>
    <w:p w14:paraId="4E9443D0" w14:textId="77777777" w:rsidR="00864099" w:rsidRDefault="00864099" w:rsidP="00F03529">
      <w:pPr>
        <w:autoSpaceDE w:val="0"/>
        <w:autoSpaceDN w:val="0"/>
        <w:adjustRightInd w:val="0"/>
        <w:spacing w:after="0" w:line="480" w:lineRule="auto"/>
        <w:jc w:val="center"/>
        <w:rPr>
          <w:rFonts w:ascii="Times New Roman" w:hAnsi="Times New Roman" w:cs="Times New Roman"/>
          <w:b/>
          <w:bCs/>
          <w:sz w:val="24"/>
          <w:szCs w:val="24"/>
        </w:rPr>
      </w:pPr>
    </w:p>
    <w:p w14:paraId="53412A42" w14:textId="46BCA860" w:rsidR="00410695" w:rsidRPr="00864099" w:rsidRDefault="00410695" w:rsidP="00BD12A1">
      <w:pPr>
        <w:pStyle w:val="Heading2"/>
        <w:spacing w:line="480" w:lineRule="auto"/>
        <w:jc w:val="left"/>
        <w:rPr>
          <w:sz w:val="28"/>
          <w:szCs w:val="28"/>
        </w:rPr>
      </w:pPr>
      <w:bookmarkStart w:id="132" w:name="_Toc78205827"/>
      <w:r w:rsidRPr="00864099">
        <w:rPr>
          <w:sz w:val="28"/>
          <w:szCs w:val="28"/>
        </w:rPr>
        <w:t>Limitations of the Study</w:t>
      </w:r>
      <w:bookmarkEnd w:id="132"/>
    </w:p>
    <w:p w14:paraId="26493CD4" w14:textId="38A27DDA" w:rsidR="00410695" w:rsidRPr="00410695" w:rsidRDefault="00F03529" w:rsidP="00BD776C">
      <w:pPr>
        <w:autoSpaceDE w:val="0"/>
        <w:autoSpaceDN w:val="0"/>
        <w:adjustRightInd w:val="0"/>
        <w:spacing w:after="0" w:line="480" w:lineRule="auto"/>
        <w:ind w:firstLine="720"/>
        <w:rPr>
          <w:rFonts w:ascii="Times New Roman" w:hAnsi="Times New Roman" w:cs="Times New Roman"/>
          <w:sz w:val="24"/>
          <w:szCs w:val="24"/>
        </w:rPr>
      </w:pPr>
      <w:r w:rsidRPr="00410695">
        <w:rPr>
          <w:rFonts w:ascii="Times New Roman" w:hAnsi="Times New Roman" w:cs="Times New Roman"/>
          <w:sz w:val="24"/>
          <w:szCs w:val="24"/>
        </w:rPr>
        <w:t xml:space="preserve">The </w:t>
      </w:r>
      <w:r w:rsidRPr="00BD776C">
        <w:rPr>
          <w:rFonts w:ascii="Times New Roman" w:hAnsi="Times New Roman" w:cs="Times New Roman"/>
          <w:sz w:val="24"/>
          <w:szCs w:val="24"/>
        </w:rPr>
        <w:t>findings</w:t>
      </w:r>
      <w:r w:rsidRPr="00410695">
        <w:rPr>
          <w:rFonts w:ascii="Times New Roman" w:hAnsi="Times New Roman" w:cs="Times New Roman"/>
          <w:sz w:val="24"/>
          <w:szCs w:val="24"/>
        </w:rPr>
        <w:t xml:space="preserve"> of this </w:t>
      </w:r>
      <w:r w:rsidRPr="00BD776C">
        <w:rPr>
          <w:rFonts w:ascii="Times New Roman" w:hAnsi="Times New Roman" w:cs="Times New Roman"/>
          <w:sz w:val="24"/>
          <w:szCs w:val="24"/>
        </w:rPr>
        <w:t>research</w:t>
      </w:r>
      <w:r w:rsidRPr="00410695">
        <w:rPr>
          <w:rFonts w:ascii="Times New Roman" w:hAnsi="Times New Roman" w:cs="Times New Roman"/>
          <w:sz w:val="24"/>
          <w:szCs w:val="24"/>
        </w:rPr>
        <w:t xml:space="preserve"> </w:t>
      </w:r>
      <w:r w:rsidRPr="00BD776C">
        <w:rPr>
          <w:rFonts w:ascii="Times New Roman" w:hAnsi="Times New Roman" w:cs="Times New Roman"/>
          <w:sz w:val="24"/>
          <w:szCs w:val="24"/>
        </w:rPr>
        <w:t>purely</w:t>
      </w:r>
      <w:r w:rsidRPr="00410695">
        <w:rPr>
          <w:rFonts w:ascii="Times New Roman" w:hAnsi="Times New Roman" w:cs="Times New Roman"/>
          <w:sz w:val="24"/>
          <w:szCs w:val="24"/>
        </w:rPr>
        <w:t xml:space="preserve"> depended on secondary </w:t>
      </w:r>
      <w:r w:rsidRPr="00BD776C">
        <w:rPr>
          <w:rFonts w:ascii="Times New Roman" w:hAnsi="Times New Roman" w:cs="Times New Roman"/>
          <w:sz w:val="24"/>
          <w:szCs w:val="24"/>
        </w:rPr>
        <w:t>data which w</w:t>
      </w:r>
      <w:r w:rsidRPr="00410695">
        <w:rPr>
          <w:rFonts w:ascii="Times New Roman" w:hAnsi="Times New Roman" w:cs="Times New Roman"/>
          <w:sz w:val="24"/>
          <w:szCs w:val="24"/>
        </w:rPr>
        <w:t xml:space="preserve">as limited to the period of </w:t>
      </w:r>
      <w:r w:rsidRPr="00BD776C">
        <w:rPr>
          <w:rFonts w:ascii="Times New Roman" w:hAnsi="Times New Roman" w:cs="Times New Roman"/>
          <w:sz w:val="24"/>
          <w:szCs w:val="24"/>
        </w:rPr>
        <w:t xml:space="preserve">ten years (2011-2020). This therefore means that the </w:t>
      </w:r>
      <w:r w:rsidRPr="00BD776C">
        <w:rPr>
          <w:rFonts w:asciiTheme="majorHAnsi" w:hAnsiTheme="majorHAnsi" w:cstheme="majorHAnsi"/>
          <w:sz w:val="24"/>
          <w:szCs w:val="24"/>
        </w:rPr>
        <w:t>qualitative aspects such as customer service and quality of service that have a direct impact on profitability was not considered.</w:t>
      </w:r>
      <w:r w:rsidR="00BD776C">
        <w:rPr>
          <w:rFonts w:ascii="Times New Roman" w:hAnsi="Times New Roman" w:cs="Times New Roman"/>
          <w:sz w:val="24"/>
          <w:szCs w:val="24"/>
        </w:rPr>
        <w:t xml:space="preserve"> </w:t>
      </w:r>
      <w:r w:rsidR="00BD776C" w:rsidRPr="00BD776C">
        <w:rPr>
          <w:rFonts w:ascii="Times New Roman" w:hAnsi="Times New Roman" w:cs="Times New Roman"/>
          <w:sz w:val="24"/>
          <w:szCs w:val="24"/>
        </w:rPr>
        <w:t>The outcomes of this study are directly applicable to Kenyan settings</w:t>
      </w:r>
      <w:r w:rsidR="00410695" w:rsidRPr="00410695">
        <w:rPr>
          <w:rFonts w:ascii="Times New Roman" w:hAnsi="Times New Roman" w:cs="Times New Roman"/>
          <w:sz w:val="24"/>
          <w:szCs w:val="24"/>
        </w:rPr>
        <w:t xml:space="preserve">. Therefore, </w:t>
      </w:r>
      <w:r w:rsidR="00BD776C" w:rsidRPr="00BD776C">
        <w:rPr>
          <w:rFonts w:ascii="Times New Roman" w:hAnsi="Times New Roman" w:cs="Times New Roman"/>
          <w:sz w:val="24"/>
          <w:szCs w:val="24"/>
        </w:rPr>
        <w:t>the outcome of this research should be applied to other countries with caution</w:t>
      </w:r>
      <w:r w:rsidR="00410695" w:rsidRPr="00410695">
        <w:rPr>
          <w:rFonts w:ascii="Times New Roman" w:hAnsi="Times New Roman" w:cs="Times New Roman"/>
          <w:sz w:val="24"/>
          <w:szCs w:val="24"/>
        </w:rPr>
        <w:t xml:space="preserve">. </w:t>
      </w:r>
      <w:r w:rsidR="00BD776C" w:rsidRPr="00BD776C">
        <w:rPr>
          <w:rFonts w:ascii="Times New Roman" w:hAnsi="Times New Roman" w:cs="Times New Roman"/>
          <w:sz w:val="24"/>
          <w:szCs w:val="24"/>
        </w:rPr>
        <w:t>This is due to the fact that regulatory authorities and economic situations vary significantly between countries.</w:t>
      </w:r>
      <w:r w:rsidR="00410695" w:rsidRPr="00410695">
        <w:rPr>
          <w:rFonts w:ascii="Times New Roman" w:hAnsi="Times New Roman" w:cs="Times New Roman"/>
          <w:sz w:val="24"/>
          <w:szCs w:val="24"/>
        </w:rPr>
        <w:t xml:space="preserve"> </w:t>
      </w:r>
      <w:r w:rsidR="00BD776C" w:rsidRPr="00BD776C">
        <w:rPr>
          <w:rFonts w:ascii="Times New Roman" w:hAnsi="Times New Roman" w:cs="Times New Roman"/>
          <w:sz w:val="24"/>
          <w:szCs w:val="24"/>
        </w:rPr>
        <w:t>The findings of the study, on the other hand, can be used as a guide and a basis for comparisons with studies from other nations.</w:t>
      </w:r>
    </w:p>
    <w:p w14:paraId="0C517657" w14:textId="25B1A4AF" w:rsidR="00410695" w:rsidRPr="00BD776C" w:rsidRDefault="00410695" w:rsidP="00F03529">
      <w:pPr>
        <w:autoSpaceDE w:val="0"/>
        <w:autoSpaceDN w:val="0"/>
        <w:adjustRightInd w:val="0"/>
        <w:spacing w:after="0" w:line="480" w:lineRule="auto"/>
        <w:ind w:firstLine="720"/>
        <w:rPr>
          <w:rFonts w:asciiTheme="majorHAnsi" w:hAnsiTheme="majorHAnsi" w:cstheme="majorHAnsi"/>
          <w:sz w:val="24"/>
          <w:szCs w:val="24"/>
        </w:rPr>
      </w:pPr>
      <w:r w:rsidRPr="00BD776C">
        <w:rPr>
          <w:rFonts w:ascii="Times New Roman" w:hAnsi="Times New Roman" w:cs="Times New Roman"/>
          <w:sz w:val="24"/>
          <w:szCs w:val="24"/>
        </w:rPr>
        <w:t xml:space="preserve">The study purposely focused on commercial banks in </w:t>
      </w:r>
      <w:r w:rsidR="00F03529" w:rsidRPr="00BD776C">
        <w:rPr>
          <w:rFonts w:ascii="Times New Roman" w:hAnsi="Times New Roman" w:cs="Times New Roman"/>
          <w:sz w:val="24"/>
          <w:szCs w:val="24"/>
        </w:rPr>
        <w:t>Kenya</w:t>
      </w:r>
      <w:r w:rsidRPr="00BD776C">
        <w:rPr>
          <w:rFonts w:ascii="Times New Roman" w:hAnsi="Times New Roman" w:cs="Times New Roman"/>
          <w:sz w:val="24"/>
          <w:szCs w:val="24"/>
        </w:rPr>
        <w:t xml:space="preserve"> that fully operated within the period of 20</w:t>
      </w:r>
      <w:r w:rsidR="00F03529" w:rsidRPr="00BD776C">
        <w:rPr>
          <w:rFonts w:ascii="Times New Roman" w:hAnsi="Times New Roman" w:cs="Times New Roman"/>
          <w:sz w:val="24"/>
          <w:szCs w:val="24"/>
        </w:rPr>
        <w:t>11</w:t>
      </w:r>
      <w:r w:rsidRPr="00BD776C">
        <w:rPr>
          <w:rFonts w:ascii="Times New Roman" w:hAnsi="Times New Roman" w:cs="Times New Roman"/>
          <w:sz w:val="24"/>
          <w:szCs w:val="24"/>
        </w:rPr>
        <w:t xml:space="preserve"> to 20</w:t>
      </w:r>
      <w:r w:rsidR="00F03529" w:rsidRPr="00BD776C">
        <w:rPr>
          <w:rFonts w:ascii="Times New Roman" w:hAnsi="Times New Roman" w:cs="Times New Roman"/>
          <w:sz w:val="24"/>
          <w:szCs w:val="24"/>
        </w:rPr>
        <w:t>20</w:t>
      </w:r>
      <w:r w:rsidRPr="00BD776C">
        <w:rPr>
          <w:rFonts w:ascii="Times New Roman" w:hAnsi="Times New Roman" w:cs="Times New Roman"/>
          <w:sz w:val="24"/>
          <w:szCs w:val="24"/>
        </w:rPr>
        <w:t xml:space="preserve"> which were </w:t>
      </w:r>
      <w:r w:rsidR="00F03529" w:rsidRPr="00BD776C">
        <w:rPr>
          <w:rFonts w:ascii="Times New Roman" w:hAnsi="Times New Roman" w:cs="Times New Roman"/>
          <w:sz w:val="24"/>
          <w:szCs w:val="24"/>
        </w:rPr>
        <w:t xml:space="preserve">43 </w:t>
      </w:r>
      <w:r w:rsidRPr="00BD776C">
        <w:rPr>
          <w:rFonts w:ascii="Times New Roman" w:hAnsi="Times New Roman" w:cs="Times New Roman"/>
          <w:sz w:val="24"/>
          <w:szCs w:val="24"/>
        </w:rPr>
        <w:t xml:space="preserve">in number. Notably, only </w:t>
      </w:r>
      <w:r w:rsidR="00F03529" w:rsidRPr="00BD776C">
        <w:rPr>
          <w:rFonts w:ascii="Times New Roman" w:hAnsi="Times New Roman" w:cs="Times New Roman"/>
          <w:sz w:val="24"/>
          <w:szCs w:val="24"/>
        </w:rPr>
        <w:t>38</w:t>
      </w:r>
      <w:r w:rsidRPr="00BD776C">
        <w:rPr>
          <w:rFonts w:ascii="Times New Roman" w:hAnsi="Times New Roman" w:cs="Times New Roman"/>
          <w:sz w:val="24"/>
          <w:szCs w:val="24"/>
        </w:rPr>
        <w:t xml:space="preserve"> of these banks were included in the study due to unavailability of data. However, the </w:t>
      </w:r>
      <w:r w:rsidR="00F03529" w:rsidRPr="00BD776C">
        <w:rPr>
          <w:rFonts w:ascii="Times New Roman" w:hAnsi="Times New Roman" w:cs="Times New Roman"/>
          <w:sz w:val="24"/>
          <w:szCs w:val="24"/>
        </w:rPr>
        <w:t>38</w:t>
      </w:r>
      <w:r w:rsidRPr="00BD776C">
        <w:rPr>
          <w:rFonts w:ascii="Times New Roman" w:hAnsi="Times New Roman" w:cs="Times New Roman"/>
          <w:sz w:val="24"/>
          <w:szCs w:val="24"/>
        </w:rPr>
        <w:t xml:space="preserve"> commercial banks used were adequate to capture the dynamics of the study and allow for generalization. </w:t>
      </w:r>
    </w:p>
    <w:p w14:paraId="75F6AEF8" w14:textId="3F7F7B72" w:rsidR="00410695" w:rsidRPr="00410695" w:rsidRDefault="00410695" w:rsidP="00410695">
      <w:pPr>
        <w:autoSpaceDE w:val="0"/>
        <w:autoSpaceDN w:val="0"/>
        <w:adjustRightInd w:val="0"/>
        <w:spacing w:after="0" w:line="240" w:lineRule="auto"/>
        <w:rPr>
          <w:rFonts w:ascii="Times New Roman" w:hAnsi="Times New Roman" w:cs="Times New Roman"/>
          <w:color w:val="FF0000"/>
          <w:sz w:val="23"/>
          <w:szCs w:val="23"/>
        </w:rPr>
      </w:pPr>
    </w:p>
    <w:p w14:paraId="7CF34271" w14:textId="4EF1824C" w:rsidR="00D85387" w:rsidRPr="00C553FC" w:rsidRDefault="00D85387" w:rsidP="00BD12A1">
      <w:pPr>
        <w:pStyle w:val="Heading2"/>
        <w:spacing w:line="480" w:lineRule="auto"/>
        <w:jc w:val="left"/>
        <w:rPr>
          <w:sz w:val="28"/>
          <w:szCs w:val="28"/>
        </w:rPr>
      </w:pPr>
      <w:bookmarkStart w:id="133" w:name="_Toc78205828"/>
      <w:r w:rsidRPr="00C553FC">
        <w:rPr>
          <w:sz w:val="28"/>
          <w:szCs w:val="28"/>
        </w:rPr>
        <w:t>Recommendations for further study</w:t>
      </w:r>
      <w:bookmarkEnd w:id="133"/>
    </w:p>
    <w:p w14:paraId="7B285A5D" w14:textId="32506ED3" w:rsidR="00724D10" w:rsidRPr="008712B4" w:rsidRDefault="00BF2785" w:rsidP="008712B4">
      <w:pPr>
        <w:autoSpaceDE w:val="0"/>
        <w:autoSpaceDN w:val="0"/>
        <w:adjustRightInd w:val="0"/>
        <w:spacing w:after="0" w:line="480" w:lineRule="auto"/>
        <w:ind w:firstLine="720"/>
        <w:rPr>
          <w:rFonts w:asciiTheme="majorHAnsi" w:hAnsiTheme="majorHAnsi" w:cstheme="majorHAnsi"/>
          <w:sz w:val="24"/>
          <w:szCs w:val="24"/>
        </w:rPr>
      </w:pPr>
      <w:r w:rsidRPr="00E468C3">
        <w:rPr>
          <w:rFonts w:asciiTheme="majorHAnsi" w:hAnsiTheme="majorHAnsi" w:cstheme="majorHAnsi"/>
          <w:sz w:val="24"/>
          <w:szCs w:val="24"/>
        </w:rPr>
        <w:t xml:space="preserve">Based on the </w:t>
      </w:r>
      <w:r w:rsidR="00E468C3" w:rsidRPr="00E468C3">
        <w:rPr>
          <w:rFonts w:asciiTheme="majorHAnsi" w:hAnsiTheme="majorHAnsi" w:cstheme="majorHAnsi"/>
          <w:sz w:val="24"/>
          <w:szCs w:val="24"/>
        </w:rPr>
        <w:t>findings</w:t>
      </w:r>
      <w:r w:rsidRPr="00E468C3">
        <w:rPr>
          <w:rFonts w:asciiTheme="majorHAnsi" w:hAnsiTheme="majorHAnsi" w:cstheme="majorHAnsi"/>
          <w:sz w:val="24"/>
          <w:szCs w:val="24"/>
        </w:rPr>
        <w:t xml:space="preserve"> of this research, </w:t>
      </w:r>
      <w:r w:rsidR="006A1601" w:rsidRPr="00E468C3">
        <w:rPr>
          <w:rFonts w:asciiTheme="majorHAnsi" w:hAnsiTheme="majorHAnsi" w:cstheme="majorHAnsi"/>
          <w:sz w:val="24"/>
          <w:szCs w:val="24"/>
        </w:rPr>
        <w:t xml:space="preserve">this study recommends that a </w:t>
      </w:r>
      <w:r w:rsidR="000030F7">
        <w:rPr>
          <w:rFonts w:asciiTheme="majorHAnsi" w:hAnsiTheme="majorHAnsi" w:cstheme="majorHAnsi"/>
          <w:sz w:val="24"/>
          <w:szCs w:val="24"/>
        </w:rPr>
        <w:t>research</w:t>
      </w:r>
      <w:r w:rsidR="006A1601" w:rsidRPr="00E468C3">
        <w:rPr>
          <w:rFonts w:asciiTheme="majorHAnsi" w:hAnsiTheme="majorHAnsi" w:cstheme="majorHAnsi"/>
          <w:sz w:val="24"/>
          <w:szCs w:val="24"/>
        </w:rPr>
        <w:t xml:space="preserve"> be done using both primary and secondary data on the relationship between solvency and profitability. Primary data will highlight the qualitative aspects that have a direct impact on profitability that secondary data does not address. </w:t>
      </w:r>
      <w:r w:rsidR="00E468C3" w:rsidRPr="00E468C3">
        <w:rPr>
          <w:rFonts w:asciiTheme="majorHAnsi" w:hAnsiTheme="majorHAnsi" w:cstheme="majorHAnsi"/>
          <w:sz w:val="24"/>
          <w:szCs w:val="24"/>
        </w:rPr>
        <w:t>For instance, excellent customer service and high-quality services have a significant impact on profitability</w:t>
      </w:r>
      <w:r w:rsidR="006A1601" w:rsidRPr="00E468C3">
        <w:rPr>
          <w:rFonts w:asciiTheme="majorHAnsi" w:hAnsiTheme="majorHAnsi" w:cstheme="majorHAnsi"/>
          <w:sz w:val="24"/>
          <w:szCs w:val="24"/>
        </w:rPr>
        <w:t>.</w:t>
      </w:r>
      <w:r w:rsidR="000030F7">
        <w:rPr>
          <w:rFonts w:asciiTheme="majorHAnsi" w:hAnsiTheme="majorHAnsi" w:cstheme="majorHAnsi"/>
          <w:sz w:val="24"/>
          <w:szCs w:val="24"/>
        </w:rPr>
        <w:t xml:space="preserve"> The same</w:t>
      </w:r>
      <w:r w:rsidR="00C461B6" w:rsidRPr="00C461B6">
        <w:rPr>
          <w:rFonts w:asciiTheme="majorHAnsi" w:hAnsiTheme="majorHAnsi" w:cstheme="majorHAnsi"/>
          <w:sz w:val="24"/>
          <w:szCs w:val="24"/>
        </w:rPr>
        <w:t xml:space="preserve"> </w:t>
      </w:r>
      <w:r w:rsidR="00C461B6">
        <w:rPr>
          <w:rFonts w:asciiTheme="majorHAnsi" w:hAnsiTheme="majorHAnsi" w:cstheme="majorHAnsi"/>
          <w:sz w:val="24"/>
          <w:szCs w:val="24"/>
        </w:rPr>
        <w:t>research</w:t>
      </w:r>
      <w:r w:rsidR="00C461B6" w:rsidRPr="00C461B6">
        <w:rPr>
          <w:rFonts w:asciiTheme="majorHAnsi" w:hAnsiTheme="majorHAnsi" w:cstheme="majorHAnsi"/>
          <w:sz w:val="24"/>
          <w:szCs w:val="24"/>
        </w:rPr>
        <w:t xml:space="preserve"> can be carried out by comparing data from </w:t>
      </w:r>
      <w:r w:rsidR="00C461B6">
        <w:rPr>
          <w:rFonts w:asciiTheme="majorHAnsi" w:hAnsiTheme="majorHAnsi" w:cstheme="majorHAnsi"/>
          <w:sz w:val="24"/>
          <w:szCs w:val="24"/>
        </w:rPr>
        <w:t>different</w:t>
      </w:r>
      <w:r w:rsidR="00C461B6" w:rsidRPr="00C461B6">
        <w:rPr>
          <w:rFonts w:asciiTheme="majorHAnsi" w:hAnsiTheme="majorHAnsi" w:cstheme="majorHAnsi"/>
          <w:sz w:val="24"/>
          <w:szCs w:val="24"/>
        </w:rPr>
        <w:t xml:space="preserve"> countries</w:t>
      </w:r>
      <w:r w:rsidR="00E468C3" w:rsidRPr="00E468C3">
        <w:rPr>
          <w:rFonts w:asciiTheme="majorHAnsi" w:hAnsiTheme="majorHAnsi" w:cstheme="majorHAnsi"/>
          <w:sz w:val="24"/>
          <w:szCs w:val="24"/>
        </w:rPr>
        <w:t xml:space="preserve">. </w:t>
      </w:r>
      <w:r w:rsidR="008712B4" w:rsidRPr="008712B4">
        <w:rPr>
          <w:rFonts w:asciiTheme="majorHAnsi" w:hAnsiTheme="majorHAnsi" w:cstheme="majorHAnsi"/>
          <w:sz w:val="24"/>
          <w:szCs w:val="24"/>
        </w:rPr>
        <w:t>Another area f</w:t>
      </w:r>
      <w:r w:rsidR="008712B4">
        <w:rPr>
          <w:rFonts w:asciiTheme="majorHAnsi" w:hAnsiTheme="majorHAnsi" w:cstheme="majorHAnsi"/>
          <w:sz w:val="24"/>
          <w:szCs w:val="24"/>
        </w:rPr>
        <w:t>or</w:t>
      </w:r>
      <w:r w:rsidR="008712B4" w:rsidRPr="008712B4">
        <w:rPr>
          <w:rFonts w:asciiTheme="majorHAnsi" w:hAnsiTheme="majorHAnsi" w:cstheme="majorHAnsi"/>
          <w:sz w:val="24"/>
          <w:szCs w:val="24"/>
        </w:rPr>
        <w:t xml:space="preserve"> </w:t>
      </w:r>
      <w:r w:rsidR="008712B4">
        <w:rPr>
          <w:rFonts w:asciiTheme="majorHAnsi" w:hAnsiTheme="majorHAnsi" w:cstheme="majorHAnsi"/>
          <w:sz w:val="24"/>
          <w:szCs w:val="24"/>
        </w:rPr>
        <w:t xml:space="preserve">further </w:t>
      </w:r>
      <w:r w:rsidR="008712B4" w:rsidRPr="008712B4">
        <w:rPr>
          <w:rFonts w:asciiTheme="majorHAnsi" w:hAnsiTheme="majorHAnsi" w:cstheme="majorHAnsi"/>
          <w:sz w:val="24"/>
          <w:szCs w:val="24"/>
        </w:rPr>
        <w:t>research is the relationship between other factors like marketing and profitability</w:t>
      </w:r>
      <w:r w:rsidR="00E468C3" w:rsidRPr="00E468C3">
        <w:rPr>
          <w:rFonts w:asciiTheme="majorHAnsi" w:hAnsiTheme="majorHAnsi" w:cstheme="majorHAnsi"/>
          <w:sz w:val="24"/>
          <w:szCs w:val="24"/>
        </w:rPr>
        <w:t xml:space="preserve"> </w:t>
      </w:r>
      <w:r w:rsidR="008712B4">
        <w:rPr>
          <w:rFonts w:asciiTheme="majorHAnsi" w:hAnsiTheme="majorHAnsi" w:cstheme="majorHAnsi"/>
          <w:sz w:val="24"/>
          <w:szCs w:val="24"/>
        </w:rPr>
        <w:t xml:space="preserve">of commercial banks. </w:t>
      </w:r>
      <w:r w:rsidR="008712B4" w:rsidRPr="008712B4">
        <w:rPr>
          <w:rFonts w:asciiTheme="majorHAnsi" w:hAnsiTheme="majorHAnsi" w:cstheme="majorHAnsi"/>
          <w:sz w:val="24"/>
          <w:szCs w:val="24"/>
        </w:rPr>
        <w:t xml:space="preserve">This could help </w:t>
      </w:r>
      <w:r w:rsidR="008712B4">
        <w:rPr>
          <w:rFonts w:asciiTheme="majorHAnsi" w:hAnsiTheme="majorHAnsi" w:cstheme="majorHAnsi"/>
          <w:sz w:val="24"/>
          <w:szCs w:val="24"/>
        </w:rPr>
        <w:t>the management</w:t>
      </w:r>
      <w:r w:rsidR="008712B4" w:rsidRPr="008712B4">
        <w:rPr>
          <w:rFonts w:asciiTheme="majorHAnsi" w:hAnsiTheme="majorHAnsi" w:cstheme="majorHAnsi"/>
          <w:sz w:val="24"/>
          <w:szCs w:val="24"/>
        </w:rPr>
        <w:t xml:space="preserve"> figure out whether there are any other significant </w:t>
      </w:r>
      <w:r w:rsidR="008712B4">
        <w:rPr>
          <w:rFonts w:asciiTheme="majorHAnsi" w:hAnsiTheme="majorHAnsi" w:cstheme="majorHAnsi"/>
          <w:sz w:val="24"/>
          <w:szCs w:val="24"/>
        </w:rPr>
        <w:t>factors</w:t>
      </w:r>
      <w:r w:rsidR="008712B4" w:rsidRPr="008712B4">
        <w:rPr>
          <w:rFonts w:asciiTheme="majorHAnsi" w:hAnsiTheme="majorHAnsi" w:cstheme="majorHAnsi"/>
          <w:sz w:val="24"/>
          <w:szCs w:val="24"/>
        </w:rPr>
        <w:t xml:space="preserve"> affecting </w:t>
      </w:r>
      <w:r w:rsidR="008712B4">
        <w:rPr>
          <w:rFonts w:asciiTheme="majorHAnsi" w:hAnsiTheme="majorHAnsi" w:cstheme="majorHAnsi"/>
          <w:sz w:val="24"/>
          <w:szCs w:val="24"/>
        </w:rPr>
        <w:t>profitability</w:t>
      </w:r>
      <w:r w:rsidR="008712B4" w:rsidRPr="008712B4">
        <w:rPr>
          <w:rFonts w:asciiTheme="majorHAnsi" w:hAnsiTheme="majorHAnsi" w:cstheme="majorHAnsi"/>
          <w:sz w:val="24"/>
          <w:szCs w:val="24"/>
        </w:rPr>
        <w:t xml:space="preserve"> besides </w:t>
      </w:r>
      <w:r w:rsidR="008712B4">
        <w:rPr>
          <w:rFonts w:asciiTheme="majorHAnsi" w:hAnsiTheme="majorHAnsi" w:cstheme="majorHAnsi"/>
          <w:sz w:val="24"/>
          <w:szCs w:val="24"/>
        </w:rPr>
        <w:t>solvency</w:t>
      </w:r>
      <w:r w:rsidR="008712B4" w:rsidRPr="008712B4">
        <w:rPr>
          <w:rFonts w:asciiTheme="majorHAnsi" w:hAnsiTheme="majorHAnsi" w:cstheme="majorHAnsi"/>
          <w:sz w:val="24"/>
          <w:szCs w:val="24"/>
        </w:rPr>
        <w:t>.</w:t>
      </w:r>
    </w:p>
    <w:p w14:paraId="4A07E1B2" w14:textId="77777777" w:rsidR="00583CA1" w:rsidRDefault="00583CA1" w:rsidP="00D61343">
      <w:pPr>
        <w:pStyle w:val="Heading1"/>
        <w:rPr>
          <w:rFonts w:asciiTheme="majorHAnsi" w:hAnsiTheme="majorHAnsi" w:cstheme="majorHAnsi"/>
        </w:rPr>
      </w:pPr>
    </w:p>
    <w:p w14:paraId="25BB0867" w14:textId="77777777" w:rsidR="00583CA1" w:rsidRDefault="00583CA1" w:rsidP="00D61343">
      <w:pPr>
        <w:pStyle w:val="Heading1"/>
        <w:rPr>
          <w:rFonts w:asciiTheme="majorHAnsi" w:hAnsiTheme="majorHAnsi" w:cstheme="majorHAnsi"/>
        </w:rPr>
      </w:pPr>
    </w:p>
    <w:p w14:paraId="4E460416" w14:textId="77777777" w:rsidR="00583CA1" w:rsidRDefault="00583CA1" w:rsidP="00D61343">
      <w:pPr>
        <w:pStyle w:val="Heading1"/>
        <w:rPr>
          <w:rFonts w:asciiTheme="majorHAnsi" w:hAnsiTheme="majorHAnsi" w:cstheme="majorHAnsi"/>
        </w:rPr>
      </w:pPr>
    </w:p>
    <w:p w14:paraId="796F3B49" w14:textId="77777777" w:rsidR="00583CA1" w:rsidRDefault="00583CA1" w:rsidP="00D61343">
      <w:pPr>
        <w:pStyle w:val="Heading1"/>
        <w:rPr>
          <w:rFonts w:asciiTheme="majorHAnsi" w:hAnsiTheme="majorHAnsi" w:cstheme="majorHAnsi"/>
        </w:rPr>
      </w:pPr>
    </w:p>
    <w:p w14:paraId="7CDD8843" w14:textId="77777777" w:rsidR="00583CA1" w:rsidRDefault="00583CA1" w:rsidP="00D61343">
      <w:pPr>
        <w:pStyle w:val="Heading1"/>
        <w:rPr>
          <w:rFonts w:asciiTheme="majorHAnsi" w:hAnsiTheme="majorHAnsi" w:cstheme="majorHAnsi"/>
        </w:rPr>
      </w:pPr>
    </w:p>
    <w:p w14:paraId="6A20D52C" w14:textId="77777777" w:rsidR="00583CA1" w:rsidRDefault="00583CA1" w:rsidP="00D61343">
      <w:pPr>
        <w:pStyle w:val="Heading1"/>
        <w:rPr>
          <w:rFonts w:asciiTheme="majorHAnsi" w:hAnsiTheme="majorHAnsi" w:cstheme="majorHAnsi"/>
        </w:rPr>
      </w:pPr>
    </w:p>
    <w:p w14:paraId="55999A4F" w14:textId="0474C2E9" w:rsidR="00583CA1" w:rsidRDefault="00583CA1" w:rsidP="00D61343">
      <w:pPr>
        <w:pStyle w:val="Heading1"/>
        <w:rPr>
          <w:rFonts w:asciiTheme="majorHAnsi" w:hAnsiTheme="majorHAnsi" w:cstheme="majorHAnsi"/>
        </w:rPr>
      </w:pPr>
    </w:p>
    <w:p w14:paraId="0E660B17" w14:textId="7BC41C6D" w:rsidR="00864099" w:rsidRDefault="00864099" w:rsidP="00864099"/>
    <w:p w14:paraId="2D838390" w14:textId="295AF438" w:rsidR="00864099" w:rsidRDefault="00864099" w:rsidP="00864099"/>
    <w:p w14:paraId="2157D812" w14:textId="4208E835" w:rsidR="00864099" w:rsidRDefault="00864099" w:rsidP="00864099"/>
    <w:p w14:paraId="6AC0FF89" w14:textId="09181326" w:rsidR="00864099" w:rsidRDefault="00864099" w:rsidP="00864099"/>
    <w:p w14:paraId="7BA34D40" w14:textId="42D79626" w:rsidR="00864099" w:rsidRDefault="00864099" w:rsidP="00864099"/>
    <w:p w14:paraId="63A7FA0F" w14:textId="3E30EB83" w:rsidR="00864099" w:rsidRDefault="00864099" w:rsidP="00864099"/>
    <w:p w14:paraId="75C7E72A" w14:textId="10FC29A7" w:rsidR="00864099" w:rsidRDefault="00864099" w:rsidP="00864099"/>
    <w:p w14:paraId="34D694A8" w14:textId="2711B239" w:rsidR="00864099" w:rsidRDefault="00864099" w:rsidP="00864099"/>
    <w:p w14:paraId="6CEEE93B" w14:textId="77777777" w:rsidR="00864099" w:rsidRPr="00864099" w:rsidRDefault="00864099" w:rsidP="00864099"/>
    <w:p w14:paraId="2A8724EB" w14:textId="77777777" w:rsidR="00FD6F7D" w:rsidRPr="00FD6F7D" w:rsidRDefault="00FD6F7D" w:rsidP="00FD6F7D"/>
    <w:p w14:paraId="1E744618" w14:textId="77777777" w:rsidR="00583CA1" w:rsidRDefault="00583CA1" w:rsidP="00D61343">
      <w:pPr>
        <w:pStyle w:val="Heading1"/>
        <w:rPr>
          <w:rFonts w:asciiTheme="majorHAnsi" w:hAnsiTheme="majorHAnsi" w:cstheme="majorHAnsi"/>
        </w:rPr>
      </w:pPr>
    </w:p>
    <w:p w14:paraId="575D8088" w14:textId="77777777" w:rsidR="00583CA1" w:rsidRDefault="00583CA1" w:rsidP="00D61343">
      <w:pPr>
        <w:pStyle w:val="Heading1"/>
        <w:rPr>
          <w:rFonts w:asciiTheme="majorHAnsi" w:hAnsiTheme="majorHAnsi" w:cstheme="majorHAnsi"/>
        </w:rPr>
      </w:pPr>
    </w:p>
    <w:p w14:paraId="62E1DF3D" w14:textId="77777777" w:rsidR="00583CA1" w:rsidRPr="00583CA1" w:rsidRDefault="00583CA1" w:rsidP="00583CA1"/>
    <w:p w14:paraId="11D31B0C" w14:textId="6AF44ED3" w:rsidR="0047010D" w:rsidRPr="00C553FC" w:rsidRDefault="00F6208D" w:rsidP="00A564B9">
      <w:pPr>
        <w:pStyle w:val="Heading1"/>
        <w:spacing w:line="480" w:lineRule="auto"/>
        <w:rPr>
          <w:rFonts w:asciiTheme="majorHAnsi" w:hAnsiTheme="majorHAnsi" w:cstheme="majorHAnsi"/>
          <w:szCs w:val="28"/>
          <w:u w:val="none"/>
        </w:rPr>
      </w:pPr>
      <w:bookmarkStart w:id="134" w:name="_Toc78205829"/>
      <w:r w:rsidRPr="00C553FC">
        <w:rPr>
          <w:rFonts w:asciiTheme="majorHAnsi" w:hAnsiTheme="majorHAnsi" w:cstheme="majorHAnsi"/>
          <w:szCs w:val="28"/>
          <w:u w:val="none"/>
        </w:rPr>
        <w:t>REFERENCES</w:t>
      </w:r>
      <w:bookmarkEnd w:id="134"/>
    </w:p>
    <w:p w14:paraId="584C9266" w14:textId="0394B8F6" w:rsidR="002D410F" w:rsidRPr="002D410F" w:rsidRDefault="006232A1"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A564B9">
        <w:rPr>
          <w:rFonts w:asciiTheme="majorHAnsi" w:hAnsiTheme="majorHAnsi" w:cstheme="majorHAnsi"/>
          <w:iCs/>
          <w:sz w:val="24"/>
          <w:szCs w:val="24"/>
        </w:rPr>
        <w:fldChar w:fldCharType="begin" w:fldLock="1"/>
      </w:r>
      <w:r w:rsidRPr="00A564B9">
        <w:rPr>
          <w:rFonts w:asciiTheme="majorHAnsi" w:hAnsiTheme="majorHAnsi" w:cstheme="majorHAnsi"/>
          <w:iCs/>
          <w:sz w:val="24"/>
          <w:szCs w:val="24"/>
        </w:rPr>
        <w:instrText xml:space="preserve">ADDIN Mendeley Bibliography CSL_BIBLIOGRAPHY </w:instrText>
      </w:r>
      <w:r w:rsidRPr="00A564B9">
        <w:rPr>
          <w:rFonts w:asciiTheme="majorHAnsi" w:hAnsiTheme="majorHAnsi" w:cstheme="majorHAnsi"/>
          <w:iCs/>
          <w:sz w:val="24"/>
          <w:szCs w:val="24"/>
        </w:rPr>
        <w:fldChar w:fldCharType="separate"/>
      </w:r>
      <w:r w:rsidR="002D410F" w:rsidRPr="002D410F">
        <w:rPr>
          <w:rFonts w:ascii="Times New Roman" w:hAnsi="Times New Roman" w:cs="Times New Roman"/>
          <w:noProof/>
          <w:sz w:val="24"/>
          <w:szCs w:val="24"/>
        </w:rPr>
        <w:t xml:space="preserve">Abdullah, M. (2018). An empirical analysis of liquidity , profitability and solvency of Bangladeshi banks. </w:t>
      </w:r>
      <w:r w:rsidR="002D410F" w:rsidRPr="002D410F">
        <w:rPr>
          <w:rFonts w:ascii="Times New Roman" w:hAnsi="Times New Roman" w:cs="Times New Roman"/>
          <w:i/>
          <w:iCs/>
          <w:noProof/>
          <w:sz w:val="24"/>
          <w:szCs w:val="24"/>
        </w:rPr>
        <w:t>Journal of Business &amp; Financial Affairs</w:t>
      </w:r>
      <w:r w:rsidR="002D410F" w:rsidRPr="002D410F">
        <w:rPr>
          <w:rFonts w:ascii="Times New Roman" w:hAnsi="Times New Roman" w:cs="Times New Roman"/>
          <w:noProof/>
          <w:sz w:val="24"/>
          <w:szCs w:val="24"/>
        </w:rPr>
        <w:t>, (January 2015), 1–13. https://doi.org/10.4172/2167-0234.1000157</w:t>
      </w:r>
    </w:p>
    <w:p w14:paraId="0C9933F1"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Abdur Rouf, M. (2015). Capital structure and firm performance of listed non-financial companies in Bangladesh. </w:t>
      </w:r>
      <w:r w:rsidRPr="002D410F">
        <w:rPr>
          <w:rFonts w:ascii="Times New Roman" w:hAnsi="Times New Roman" w:cs="Times New Roman"/>
          <w:i/>
          <w:iCs/>
          <w:noProof/>
          <w:sz w:val="24"/>
          <w:szCs w:val="24"/>
        </w:rPr>
        <w:t>The International Journal of Applied Economics and Finance</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9</w:t>
      </w:r>
      <w:r w:rsidRPr="002D410F">
        <w:rPr>
          <w:rFonts w:ascii="Times New Roman" w:hAnsi="Times New Roman" w:cs="Times New Roman"/>
          <w:noProof/>
          <w:sz w:val="24"/>
          <w:szCs w:val="24"/>
        </w:rPr>
        <w:t>(1), 25–32. https://doi.org/10.3923/ijaef.2015.25.32</w:t>
      </w:r>
    </w:p>
    <w:p w14:paraId="6C6A52B4"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Ahmad, N., Salman, A., &amp; Shamsi, A. F. (2015). Impact of financial leverage on firms ’ profitability : An investigation from cement sector of Pakistan. </w:t>
      </w:r>
      <w:r w:rsidRPr="002D410F">
        <w:rPr>
          <w:rFonts w:ascii="Times New Roman" w:hAnsi="Times New Roman" w:cs="Times New Roman"/>
          <w:i/>
          <w:iCs/>
          <w:noProof/>
          <w:sz w:val="24"/>
          <w:szCs w:val="24"/>
        </w:rPr>
        <w:t>Research Journal Of Finance And Accounting</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6</w:t>
      </w:r>
      <w:r w:rsidRPr="002D410F">
        <w:rPr>
          <w:rFonts w:ascii="Times New Roman" w:hAnsi="Times New Roman" w:cs="Times New Roman"/>
          <w:noProof/>
          <w:sz w:val="24"/>
          <w:szCs w:val="24"/>
        </w:rPr>
        <w:t>(7), 75–81.</w:t>
      </w:r>
    </w:p>
    <w:p w14:paraId="45F3BF66"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Ahmed, M. (2014). The effect of liquidity and leverage on financial performance of commercial state corporations in the toursim industry in Kenya. </w:t>
      </w:r>
      <w:r w:rsidRPr="002D410F">
        <w:rPr>
          <w:rFonts w:ascii="Times New Roman" w:hAnsi="Times New Roman" w:cs="Times New Roman"/>
          <w:i/>
          <w:iCs/>
          <w:noProof/>
          <w:sz w:val="24"/>
          <w:szCs w:val="24"/>
        </w:rPr>
        <w:t>IOSR Journal of Business and Management</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2</w:t>
      </w:r>
      <w:r w:rsidRPr="002D410F">
        <w:rPr>
          <w:rFonts w:ascii="Times New Roman" w:hAnsi="Times New Roman" w:cs="Times New Roman"/>
          <w:noProof/>
          <w:sz w:val="24"/>
          <w:szCs w:val="24"/>
        </w:rPr>
        <w:t>(3), 74–79.</w:t>
      </w:r>
    </w:p>
    <w:p w14:paraId="33027735"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Ahsan, A. M. (2012). Can return on equity be used to predict portfolio performance? </w:t>
      </w:r>
      <w:r w:rsidRPr="002D410F">
        <w:rPr>
          <w:rFonts w:ascii="Times New Roman" w:hAnsi="Times New Roman" w:cs="Times New Roman"/>
          <w:i/>
          <w:iCs/>
          <w:noProof/>
          <w:sz w:val="24"/>
          <w:szCs w:val="24"/>
        </w:rPr>
        <w:t>Management, and Financial Markets</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7</w:t>
      </w:r>
      <w:r w:rsidRPr="002D410F">
        <w:rPr>
          <w:rFonts w:ascii="Times New Roman" w:hAnsi="Times New Roman" w:cs="Times New Roman"/>
          <w:noProof/>
          <w:sz w:val="24"/>
          <w:szCs w:val="24"/>
        </w:rPr>
        <w:t>(2), 132–148. Retrieved from https://www.researchgate.net/publication/258341502</w:t>
      </w:r>
    </w:p>
    <w:p w14:paraId="00A40D37"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Al-Nimer, M., &amp; Al-sliha, N. (2015). The effect of profitability ratios on market capitalization in Jordanian insurance companies listed in Amman stock exchange. </w:t>
      </w:r>
      <w:r w:rsidRPr="002D410F">
        <w:rPr>
          <w:rFonts w:ascii="Times New Roman" w:hAnsi="Times New Roman" w:cs="Times New Roman"/>
          <w:i/>
          <w:iCs/>
          <w:noProof/>
          <w:sz w:val="24"/>
          <w:szCs w:val="24"/>
        </w:rPr>
        <w:t>Journal of Economics and Sustainable Development</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6</w:t>
      </w:r>
      <w:r w:rsidRPr="002D410F">
        <w:rPr>
          <w:rFonts w:ascii="Times New Roman" w:hAnsi="Times New Roman" w:cs="Times New Roman"/>
          <w:noProof/>
          <w:sz w:val="24"/>
          <w:szCs w:val="24"/>
        </w:rPr>
        <w:t>(6), 140–147. Retrieved from www.iiste.org</w:t>
      </w:r>
    </w:p>
    <w:p w14:paraId="309BAC1B"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Allozi, N. M., &amp; Obeidat, G. (2016). The relationship between the stock return and financial indicators (Profitability, Leverage): An empirical study on manufacturing companies listed in Amman stock exchange. </w:t>
      </w:r>
      <w:r w:rsidRPr="002D410F">
        <w:rPr>
          <w:rFonts w:ascii="Times New Roman" w:hAnsi="Times New Roman" w:cs="Times New Roman"/>
          <w:i/>
          <w:iCs/>
          <w:noProof/>
          <w:sz w:val="24"/>
          <w:szCs w:val="24"/>
        </w:rPr>
        <w:t>Journal of Social Sciences</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5</w:t>
      </w:r>
      <w:r w:rsidRPr="002D410F">
        <w:rPr>
          <w:rFonts w:ascii="Times New Roman" w:hAnsi="Times New Roman" w:cs="Times New Roman"/>
          <w:noProof/>
          <w:sz w:val="24"/>
          <w:szCs w:val="24"/>
        </w:rPr>
        <w:t>(3), 408–424. https://doi.org/10.25255/jss.2016.5.3.408.424</w:t>
      </w:r>
    </w:p>
    <w:p w14:paraId="5F265955"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Amanda, R. I. (2019). The impact of cash turnover, receivable turnover, inventory turnover, current ratio and debt to equity ratio on profitability. </w:t>
      </w:r>
      <w:r w:rsidRPr="002D410F">
        <w:rPr>
          <w:rFonts w:ascii="Times New Roman" w:hAnsi="Times New Roman" w:cs="Times New Roman"/>
          <w:i/>
          <w:iCs/>
          <w:noProof/>
          <w:sz w:val="24"/>
          <w:szCs w:val="24"/>
        </w:rPr>
        <w:t>Journal of Research in Management</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2</w:t>
      </w:r>
      <w:r w:rsidRPr="002D410F">
        <w:rPr>
          <w:rFonts w:ascii="Times New Roman" w:hAnsi="Times New Roman" w:cs="Times New Roman"/>
          <w:noProof/>
          <w:sz w:val="24"/>
          <w:szCs w:val="24"/>
        </w:rPr>
        <w:t>(2), 14–22. https://doi.org/10.32424/jorim.v2i2.66</w:t>
      </w:r>
    </w:p>
    <w:p w14:paraId="5D3DE8D5"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Andersson, A., &amp; Minnema, J. (2018). The relationship between leverage and profitability: A quantitative study of consulting firms in Sweden. </w:t>
      </w:r>
      <w:r w:rsidRPr="002D410F">
        <w:rPr>
          <w:rFonts w:ascii="Times New Roman" w:hAnsi="Times New Roman" w:cs="Times New Roman"/>
          <w:i/>
          <w:iCs/>
          <w:noProof/>
          <w:sz w:val="24"/>
          <w:szCs w:val="24"/>
        </w:rPr>
        <w:t>Umea School of Business, Economics and Statistics</w:t>
      </w:r>
      <w:r w:rsidRPr="002D410F">
        <w:rPr>
          <w:rFonts w:ascii="Times New Roman" w:hAnsi="Times New Roman" w:cs="Times New Roman"/>
          <w:noProof/>
          <w:sz w:val="24"/>
          <w:szCs w:val="24"/>
        </w:rPr>
        <w:t>, 1–83. Retrieved from www.diva-portal.org/smash/get/diva2:1234028/FULLTEXT01.pdf%0A%0A</w:t>
      </w:r>
    </w:p>
    <w:p w14:paraId="2B1A1889"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Arimi, J. K. (2010). The relationship between capital structure and financial performance: A study of firms listed under industrial and allied sector at the Nairobi stock exchange. </w:t>
      </w:r>
      <w:r w:rsidRPr="002D410F">
        <w:rPr>
          <w:rFonts w:ascii="Times New Roman" w:hAnsi="Times New Roman" w:cs="Times New Roman"/>
          <w:i/>
          <w:iCs/>
          <w:noProof/>
          <w:sz w:val="24"/>
          <w:szCs w:val="24"/>
        </w:rPr>
        <w:t>Journal of Accountancy and Finance</w:t>
      </w:r>
      <w:r w:rsidRPr="002D410F">
        <w:rPr>
          <w:rFonts w:ascii="Times New Roman" w:hAnsi="Times New Roman" w:cs="Times New Roman"/>
          <w:noProof/>
          <w:sz w:val="24"/>
          <w:szCs w:val="24"/>
        </w:rPr>
        <w:t>, (November).</w:t>
      </w:r>
    </w:p>
    <w:p w14:paraId="232BFB7D"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Aurick, C. (2021). The effects of the debt to equity ratio on return on assets. </w:t>
      </w:r>
      <w:r w:rsidRPr="002D410F">
        <w:rPr>
          <w:rFonts w:ascii="Times New Roman" w:hAnsi="Times New Roman" w:cs="Times New Roman"/>
          <w:i/>
          <w:iCs/>
          <w:noProof/>
          <w:sz w:val="24"/>
          <w:szCs w:val="24"/>
        </w:rPr>
        <w:t>Journal of Accounting and Management</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2</w:t>
      </w:r>
      <w:r w:rsidRPr="002D410F">
        <w:rPr>
          <w:rFonts w:ascii="Times New Roman" w:hAnsi="Times New Roman" w:cs="Times New Roman"/>
          <w:noProof/>
          <w:sz w:val="24"/>
          <w:szCs w:val="24"/>
        </w:rPr>
        <w:t>(1), 57–69. https://doi.org/10.35912/jakman.v2i1.135</w:t>
      </w:r>
    </w:p>
    <w:p w14:paraId="695BBB55"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Ayyash, I. (2019). Determinants of the solvency of insurance companies in palestine. </w:t>
      </w:r>
      <w:r w:rsidRPr="002D410F">
        <w:rPr>
          <w:rFonts w:ascii="Times New Roman" w:hAnsi="Times New Roman" w:cs="Times New Roman"/>
          <w:i/>
          <w:iCs/>
          <w:noProof/>
          <w:sz w:val="24"/>
          <w:szCs w:val="24"/>
        </w:rPr>
        <w:t>International Journal of Financial Research</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10</w:t>
      </w:r>
      <w:r w:rsidRPr="002D410F">
        <w:rPr>
          <w:rFonts w:ascii="Times New Roman" w:hAnsi="Times New Roman" w:cs="Times New Roman"/>
          <w:noProof/>
          <w:sz w:val="24"/>
          <w:szCs w:val="24"/>
        </w:rPr>
        <w:t>(6), 188–195. https://doi.org/10.5430/ijfr.v10n6p188</w:t>
      </w:r>
    </w:p>
    <w:p w14:paraId="7F2E8C4F"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Aziz, A., &amp; Rahman, A. A. (2017). The relationship between solvency ratios and profitability ratios: Analytical study in food industrial companies listed in Amman Bursa. </w:t>
      </w:r>
      <w:r w:rsidRPr="002D410F">
        <w:rPr>
          <w:rFonts w:ascii="Times New Roman" w:hAnsi="Times New Roman" w:cs="Times New Roman"/>
          <w:i/>
          <w:iCs/>
          <w:noProof/>
          <w:sz w:val="24"/>
          <w:szCs w:val="24"/>
        </w:rPr>
        <w:t>International Journal of Economics and Financial Issues</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2</w:t>
      </w:r>
      <w:r w:rsidRPr="002D410F">
        <w:rPr>
          <w:rFonts w:ascii="Times New Roman" w:hAnsi="Times New Roman" w:cs="Times New Roman"/>
          <w:noProof/>
          <w:sz w:val="24"/>
          <w:szCs w:val="24"/>
        </w:rPr>
        <w:t>(7), 86–93.</w:t>
      </w:r>
    </w:p>
    <w:p w14:paraId="37C9AA23"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Bhama, V., Jain, P. K., &amp; Yadav, S. S. (2016). Testing the pecking order theory of deficit and surplus firms : Indian evidence. </w:t>
      </w:r>
      <w:r w:rsidRPr="002D410F">
        <w:rPr>
          <w:rFonts w:ascii="Times New Roman" w:hAnsi="Times New Roman" w:cs="Times New Roman"/>
          <w:i/>
          <w:iCs/>
          <w:noProof/>
          <w:sz w:val="24"/>
          <w:szCs w:val="24"/>
        </w:rPr>
        <w:t>Journal of Accountancy and Finance</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12</w:t>
      </w:r>
      <w:r w:rsidRPr="002D410F">
        <w:rPr>
          <w:rFonts w:ascii="Times New Roman" w:hAnsi="Times New Roman" w:cs="Times New Roman"/>
          <w:noProof/>
          <w:sz w:val="24"/>
          <w:szCs w:val="24"/>
        </w:rPr>
        <w:t>(3), 335–350. https://doi.org/10.1108/IJMF-06-2014-0095</w:t>
      </w:r>
    </w:p>
    <w:p w14:paraId="4E90C8DF"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Central bank of Kenya. (2019). </w:t>
      </w:r>
      <w:r w:rsidRPr="002D410F">
        <w:rPr>
          <w:rFonts w:ascii="Times New Roman" w:hAnsi="Times New Roman" w:cs="Times New Roman"/>
          <w:i/>
          <w:iCs/>
          <w:noProof/>
          <w:sz w:val="24"/>
          <w:szCs w:val="24"/>
        </w:rPr>
        <w:t>Acquisition of national bank of Kenya limited by KCB group plc</w:t>
      </w:r>
      <w:r w:rsidRPr="002D410F">
        <w:rPr>
          <w:rFonts w:ascii="Times New Roman" w:hAnsi="Times New Roman" w:cs="Times New Roman"/>
          <w:noProof/>
          <w:sz w:val="24"/>
          <w:szCs w:val="24"/>
        </w:rPr>
        <w:t>. Nairobi: Central Bank of Kenya (CBK).</w:t>
      </w:r>
    </w:p>
    <w:p w14:paraId="4256A53B" w14:textId="77777777" w:rsidR="00712EE6"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712EE6">
        <w:rPr>
          <w:rFonts w:ascii="Times New Roman" w:hAnsi="Times New Roman" w:cs="Times New Roman"/>
          <w:noProof/>
          <w:sz w:val="24"/>
          <w:szCs w:val="24"/>
        </w:rPr>
        <w:t xml:space="preserve">Central bank of Kenya. (2020). </w:t>
      </w:r>
      <w:r w:rsidRPr="00712EE6">
        <w:rPr>
          <w:rFonts w:ascii="Times New Roman" w:hAnsi="Times New Roman" w:cs="Times New Roman"/>
          <w:i/>
          <w:iCs/>
          <w:noProof/>
          <w:sz w:val="24"/>
          <w:szCs w:val="24"/>
        </w:rPr>
        <w:t>Central bank on Kenya supervision annual report</w:t>
      </w:r>
      <w:r w:rsidRPr="00712EE6">
        <w:rPr>
          <w:rFonts w:ascii="Times New Roman" w:hAnsi="Times New Roman" w:cs="Times New Roman"/>
          <w:noProof/>
          <w:sz w:val="24"/>
          <w:szCs w:val="24"/>
        </w:rPr>
        <w:t xml:space="preserve"> </w:t>
      </w:r>
      <w:r w:rsidR="00712EE6" w:rsidRPr="00712EE6">
        <w:rPr>
          <w:rFonts w:ascii="Times New Roman" w:hAnsi="Times New Roman" w:cs="Times New Roman"/>
          <w:noProof/>
          <w:sz w:val="24"/>
          <w:szCs w:val="24"/>
        </w:rPr>
        <w:t>:</w:t>
      </w:r>
      <w:r w:rsidR="00712EE6" w:rsidRPr="002D410F">
        <w:rPr>
          <w:rFonts w:ascii="Times New Roman" w:hAnsi="Times New Roman" w:cs="Times New Roman"/>
          <w:noProof/>
          <w:sz w:val="24"/>
          <w:szCs w:val="24"/>
        </w:rPr>
        <w:t xml:space="preserve"> Central Bank of Kenya (CBK).</w:t>
      </w:r>
    </w:p>
    <w:p w14:paraId="25504C63" w14:textId="57D7B575" w:rsidR="00712EE6"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Central Bank of Kenya. (2017). </w:t>
      </w:r>
      <w:r w:rsidRPr="002D410F">
        <w:rPr>
          <w:rFonts w:ascii="Times New Roman" w:hAnsi="Times New Roman" w:cs="Times New Roman"/>
          <w:i/>
          <w:iCs/>
          <w:noProof/>
          <w:sz w:val="24"/>
          <w:szCs w:val="24"/>
        </w:rPr>
        <w:t>Centra bank of Kenya supervision annual report</w:t>
      </w:r>
      <w:r w:rsidR="00712EE6" w:rsidRPr="002D410F">
        <w:rPr>
          <w:rFonts w:ascii="Times New Roman" w:hAnsi="Times New Roman" w:cs="Times New Roman"/>
          <w:noProof/>
          <w:sz w:val="24"/>
          <w:szCs w:val="24"/>
        </w:rPr>
        <w:t>: Central Bank of Kenya (CBK).</w:t>
      </w:r>
    </w:p>
    <w:p w14:paraId="2A44E4EB" w14:textId="77777777" w:rsidR="00712EE6"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Central Bank of Kenya. (2019). </w:t>
      </w:r>
      <w:r w:rsidRPr="002D410F">
        <w:rPr>
          <w:rFonts w:ascii="Times New Roman" w:hAnsi="Times New Roman" w:cs="Times New Roman"/>
          <w:i/>
          <w:iCs/>
          <w:noProof/>
          <w:sz w:val="24"/>
          <w:szCs w:val="24"/>
        </w:rPr>
        <w:t>Central bank of Kenya supervision annual report</w:t>
      </w:r>
      <w:r w:rsidR="00712EE6" w:rsidRPr="002D410F">
        <w:rPr>
          <w:rFonts w:ascii="Times New Roman" w:hAnsi="Times New Roman" w:cs="Times New Roman"/>
          <w:noProof/>
          <w:sz w:val="24"/>
          <w:szCs w:val="24"/>
        </w:rPr>
        <w:t>: Central Bank of Kenya (CBK).</w:t>
      </w:r>
    </w:p>
    <w:p w14:paraId="58FF538B" w14:textId="07B44843"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Dabo, Z. (2018). Solvency risk and financial prformance: Evidences from listed insurance firms in Nigeria. </w:t>
      </w:r>
      <w:r w:rsidRPr="002D410F">
        <w:rPr>
          <w:rFonts w:ascii="Times New Roman" w:hAnsi="Times New Roman" w:cs="Times New Roman"/>
          <w:i/>
          <w:iCs/>
          <w:noProof/>
          <w:sz w:val="24"/>
          <w:szCs w:val="24"/>
        </w:rPr>
        <w:t>Journal of Business &amp; Social Sciences</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VIII</w:t>
      </w:r>
      <w:r w:rsidRPr="002D410F">
        <w:rPr>
          <w:rFonts w:ascii="Times New Roman" w:hAnsi="Times New Roman" w:cs="Times New Roman"/>
          <w:noProof/>
          <w:sz w:val="24"/>
          <w:szCs w:val="24"/>
        </w:rPr>
        <w:t>(Ii), 1–42.</w:t>
      </w:r>
    </w:p>
    <w:p w14:paraId="5634E48B"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Dahiyat, A. (2016). Does liquidity and solvency affect banks profitability? Evidence from listed banks in Jordan. </w:t>
      </w:r>
      <w:r w:rsidRPr="002D410F">
        <w:rPr>
          <w:rFonts w:ascii="Times New Roman" w:hAnsi="Times New Roman" w:cs="Times New Roman"/>
          <w:i/>
          <w:iCs/>
          <w:noProof/>
          <w:sz w:val="24"/>
          <w:szCs w:val="24"/>
        </w:rPr>
        <w:t>International Journal of Academic Research in Accounting, Finance and Management Sciences</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6</w:t>
      </w:r>
      <w:r w:rsidRPr="002D410F">
        <w:rPr>
          <w:rFonts w:ascii="Times New Roman" w:hAnsi="Times New Roman" w:cs="Times New Roman"/>
          <w:noProof/>
          <w:sz w:val="24"/>
          <w:szCs w:val="24"/>
        </w:rPr>
        <w:t>(1), 35–40. https://doi.org/10.6007/ijarafms/v6-i1/1954</w:t>
      </w:r>
    </w:p>
    <w:p w14:paraId="46309BA9"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Delacre, M., Leys, C., Mora, Y. L., &amp; Lakens, D. (2020). Taking parametric assumptions seriously: Arguments for the use of welch’s f-test instead of the classical f-test in one-way ANOVA. </w:t>
      </w:r>
      <w:r w:rsidRPr="002D410F">
        <w:rPr>
          <w:rFonts w:ascii="Times New Roman" w:hAnsi="Times New Roman" w:cs="Times New Roman"/>
          <w:i/>
          <w:iCs/>
          <w:noProof/>
          <w:sz w:val="24"/>
          <w:szCs w:val="24"/>
        </w:rPr>
        <w:t>International Review of Social Psychology</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32</w:t>
      </w:r>
      <w:r w:rsidRPr="002D410F">
        <w:rPr>
          <w:rFonts w:ascii="Times New Roman" w:hAnsi="Times New Roman" w:cs="Times New Roman"/>
          <w:noProof/>
          <w:sz w:val="24"/>
          <w:szCs w:val="24"/>
        </w:rPr>
        <w:t>(1), 1–12. https://doi.org/10.5334/IRSP.198</w:t>
      </w:r>
    </w:p>
    <w:p w14:paraId="51D08333"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Efendi, A., Putri, L. P., &amp; Dungga, S. (2019). </w:t>
      </w:r>
      <w:r w:rsidRPr="002D410F">
        <w:rPr>
          <w:rFonts w:ascii="Times New Roman" w:hAnsi="Times New Roman" w:cs="Times New Roman"/>
          <w:i/>
          <w:iCs/>
          <w:noProof/>
          <w:sz w:val="24"/>
          <w:szCs w:val="24"/>
        </w:rPr>
        <w:t>The Effect of debt to equity ratio and total asset turnover on return on equity in automotive companies and components in Indonesia</w:t>
      </w:r>
      <w:r w:rsidRPr="002D410F">
        <w:rPr>
          <w:rFonts w:ascii="Times New Roman" w:hAnsi="Times New Roman" w:cs="Times New Roman"/>
          <w:noProof/>
          <w:sz w:val="24"/>
          <w:szCs w:val="24"/>
        </w:rPr>
        <w:t>. (September). https://doi.org/10.2991/icame-18.2019.20</w:t>
      </w:r>
    </w:p>
    <w:p w14:paraId="47462F71"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Endri, E. (2021). Oil price and stock return: Evidence of mining companies in Indonesia. </w:t>
      </w:r>
      <w:r w:rsidRPr="002D410F">
        <w:rPr>
          <w:rFonts w:ascii="Times New Roman" w:hAnsi="Times New Roman" w:cs="Times New Roman"/>
          <w:i/>
          <w:iCs/>
          <w:noProof/>
          <w:sz w:val="24"/>
          <w:szCs w:val="24"/>
        </w:rPr>
        <w:t>International Journal of Energy Economics and Policy</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11</w:t>
      </w:r>
      <w:r w:rsidRPr="002D410F">
        <w:rPr>
          <w:rFonts w:ascii="Times New Roman" w:hAnsi="Times New Roman" w:cs="Times New Roman"/>
          <w:noProof/>
          <w:sz w:val="24"/>
          <w:szCs w:val="24"/>
        </w:rPr>
        <w:t>(2), 110–114. https://doi.org/10.32479/ijeep.10608</w:t>
      </w:r>
    </w:p>
    <w:p w14:paraId="6A96DBD0" w14:textId="3598BF3D"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Federal deposit insurance corporation. (2020). </w:t>
      </w:r>
      <w:r w:rsidRPr="002D410F">
        <w:rPr>
          <w:rFonts w:ascii="Times New Roman" w:hAnsi="Times New Roman" w:cs="Times New Roman"/>
          <w:i/>
          <w:iCs/>
          <w:noProof/>
          <w:sz w:val="24"/>
          <w:szCs w:val="24"/>
        </w:rPr>
        <w:t>Annual annual report</w:t>
      </w:r>
      <w:r w:rsidR="00712EE6">
        <w:rPr>
          <w:rFonts w:ascii="Times New Roman" w:hAnsi="Times New Roman" w:cs="Times New Roman"/>
          <w:noProof/>
          <w:sz w:val="24"/>
          <w:szCs w:val="24"/>
        </w:rPr>
        <w:t xml:space="preserve">: </w:t>
      </w:r>
      <w:r w:rsidR="00712EE6" w:rsidRPr="002D410F">
        <w:rPr>
          <w:rFonts w:ascii="Times New Roman" w:hAnsi="Times New Roman" w:cs="Times New Roman"/>
          <w:noProof/>
          <w:sz w:val="24"/>
          <w:szCs w:val="24"/>
        </w:rPr>
        <w:t>Federal deposit insurance corporation.</w:t>
      </w:r>
    </w:p>
    <w:p w14:paraId="387BABA1" w14:textId="6A39E7DC"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Federal Deposit Insurance Corporation. (2020). </w:t>
      </w:r>
      <w:r w:rsidRPr="002D410F">
        <w:rPr>
          <w:rFonts w:ascii="Times New Roman" w:hAnsi="Times New Roman" w:cs="Times New Roman"/>
          <w:i/>
          <w:iCs/>
          <w:noProof/>
          <w:sz w:val="24"/>
          <w:szCs w:val="24"/>
        </w:rPr>
        <w:t>Failed banks in USA</w:t>
      </w:r>
      <w:r w:rsidR="00712EE6">
        <w:rPr>
          <w:rFonts w:ascii="Times New Roman" w:hAnsi="Times New Roman" w:cs="Times New Roman"/>
          <w:noProof/>
          <w:sz w:val="24"/>
          <w:szCs w:val="24"/>
        </w:rPr>
        <w:t xml:space="preserve">: </w:t>
      </w:r>
      <w:r w:rsidR="00712EE6" w:rsidRPr="002D410F">
        <w:rPr>
          <w:rFonts w:ascii="Times New Roman" w:hAnsi="Times New Roman" w:cs="Times New Roman"/>
          <w:noProof/>
          <w:sz w:val="24"/>
          <w:szCs w:val="24"/>
        </w:rPr>
        <w:t>Federal deposit insurance corporation.</w:t>
      </w:r>
    </w:p>
    <w:p w14:paraId="7B741CFF"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Filipovic, A., &amp; Demirovic, S. (2016). The relationship between debt and profitability of stock companies in Montenegro. </w:t>
      </w:r>
      <w:r w:rsidRPr="002D410F">
        <w:rPr>
          <w:rFonts w:ascii="Times New Roman" w:hAnsi="Times New Roman" w:cs="Times New Roman"/>
          <w:i/>
          <w:iCs/>
          <w:noProof/>
          <w:sz w:val="24"/>
          <w:szCs w:val="24"/>
        </w:rPr>
        <w:t>Journal of Contemporary Economic and Business Issues</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3</w:t>
      </w:r>
      <w:r w:rsidRPr="002D410F">
        <w:rPr>
          <w:rFonts w:ascii="Times New Roman" w:hAnsi="Times New Roman" w:cs="Times New Roman"/>
          <w:noProof/>
          <w:sz w:val="24"/>
          <w:szCs w:val="24"/>
        </w:rPr>
        <w:t>(2), 19–34.</w:t>
      </w:r>
    </w:p>
    <w:p w14:paraId="308956DA"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Fujianti, L. (2020). Firm size, profitability, leverage as determinants of audit report lag: Evidence from Indonesia. </w:t>
      </w:r>
      <w:r w:rsidRPr="002D410F">
        <w:rPr>
          <w:rFonts w:ascii="Times New Roman" w:hAnsi="Times New Roman" w:cs="Times New Roman"/>
          <w:i/>
          <w:iCs/>
          <w:noProof/>
          <w:sz w:val="24"/>
          <w:szCs w:val="24"/>
        </w:rPr>
        <w:t>International Journal of Financial Research</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11</w:t>
      </w:r>
      <w:r w:rsidRPr="002D410F">
        <w:rPr>
          <w:rFonts w:ascii="Times New Roman" w:hAnsi="Times New Roman" w:cs="Times New Roman"/>
          <w:noProof/>
          <w:sz w:val="24"/>
          <w:szCs w:val="24"/>
        </w:rPr>
        <w:t>(2). https://doi.org/10.5430/ijfr.v11n2p61</w:t>
      </w:r>
    </w:p>
    <w:p w14:paraId="1FD5B88C"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Griffin, B. (2018). Qualitative and quantitative research. </w:t>
      </w:r>
      <w:r w:rsidRPr="002D410F">
        <w:rPr>
          <w:rFonts w:ascii="Times New Roman" w:hAnsi="Times New Roman" w:cs="Times New Roman"/>
          <w:i/>
          <w:iCs/>
          <w:noProof/>
          <w:sz w:val="24"/>
          <w:szCs w:val="24"/>
        </w:rPr>
        <w:t>Educational Research Online</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8</w:t>
      </w:r>
      <w:r w:rsidRPr="002D410F">
        <w:rPr>
          <w:rFonts w:ascii="Times New Roman" w:hAnsi="Times New Roman" w:cs="Times New Roman"/>
          <w:noProof/>
          <w:sz w:val="24"/>
          <w:szCs w:val="24"/>
        </w:rPr>
        <w:t>, 1–8.</w:t>
      </w:r>
    </w:p>
    <w:p w14:paraId="6515940C"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Hajisaaid, A. M. S. (2020). The effect of capital structure on profitability of basic materials Saudi Arabia firms. </w:t>
      </w:r>
      <w:r w:rsidRPr="002D410F">
        <w:rPr>
          <w:rFonts w:ascii="Times New Roman" w:hAnsi="Times New Roman" w:cs="Times New Roman"/>
          <w:i/>
          <w:iCs/>
          <w:noProof/>
          <w:sz w:val="24"/>
          <w:szCs w:val="24"/>
        </w:rPr>
        <w:t>Journal of Mathematical Finance</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10</w:t>
      </w:r>
      <w:r w:rsidRPr="002D410F">
        <w:rPr>
          <w:rFonts w:ascii="Times New Roman" w:hAnsi="Times New Roman" w:cs="Times New Roman"/>
          <w:noProof/>
          <w:sz w:val="24"/>
          <w:szCs w:val="24"/>
        </w:rPr>
        <w:t>(04), 631–647. https://doi.org/10.4236/jmf.2020.104037</w:t>
      </w:r>
    </w:p>
    <w:p w14:paraId="07DD6B40"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Hossain, T. (2020). The effect of working capital management on profitability: A study on manufacturing companies in Bangladesh. </w:t>
      </w:r>
      <w:r w:rsidRPr="002D410F">
        <w:rPr>
          <w:rFonts w:ascii="Times New Roman" w:hAnsi="Times New Roman" w:cs="Times New Roman"/>
          <w:i/>
          <w:iCs/>
          <w:noProof/>
          <w:sz w:val="24"/>
          <w:szCs w:val="24"/>
        </w:rPr>
        <w:t>International Journal of Research and Social Sciences</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9</w:t>
      </w:r>
      <w:r w:rsidRPr="002D410F">
        <w:rPr>
          <w:rFonts w:ascii="Times New Roman" w:hAnsi="Times New Roman" w:cs="Times New Roman"/>
          <w:noProof/>
          <w:sz w:val="24"/>
          <w:szCs w:val="24"/>
        </w:rPr>
        <w:t>(6), 114–122.</w:t>
      </w:r>
    </w:p>
    <w:p w14:paraId="54683663"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Ibendahl, G. (2016). Using solvency ratios to predict future profitability. </w:t>
      </w:r>
      <w:r w:rsidRPr="002D410F">
        <w:rPr>
          <w:rFonts w:ascii="Times New Roman" w:hAnsi="Times New Roman" w:cs="Times New Roman"/>
          <w:i/>
          <w:iCs/>
          <w:noProof/>
          <w:sz w:val="24"/>
          <w:szCs w:val="24"/>
        </w:rPr>
        <w:t>The Journal of the ASFMRA</w:t>
      </w:r>
      <w:r w:rsidRPr="002D410F">
        <w:rPr>
          <w:rFonts w:ascii="Times New Roman" w:hAnsi="Times New Roman" w:cs="Times New Roman"/>
          <w:noProof/>
          <w:sz w:val="24"/>
          <w:szCs w:val="24"/>
        </w:rPr>
        <w:t>, 195–201. Retrieved from http://library.capella.edu/login?qurl=https%3A%2F%2Fsearch.proquest.com%2Fdocview%2F1798717797%3Faccountid%3D27965</w:t>
      </w:r>
    </w:p>
    <w:p w14:paraId="3CFB6063"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Innocent, C., Ikechukwu, C., &amp; Nnagbogu, E. K. (2014). The Effect of financial leverage on financial performance : Evidence of quoted pharmaceutical companies in Nigeria . </w:t>
      </w:r>
      <w:r w:rsidRPr="002D410F">
        <w:rPr>
          <w:rFonts w:ascii="Times New Roman" w:hAnsi="Times New Roman" w:cs="Times New Roman"/>
          <w:i/>
          <w:iCs/>
          <w:noProof/>
          <w:sz w:val="24"/>
          <w:szCs w:val="24"/>
        </w:rPr>
        <w:t>Journal of Accountancy and Finance</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5</w:t>
      </w:r>
      <w:r w:rsidRPr="002D410F">
        <w:rPr>
          <w:rFonts w:ascii="Times New Roman" w:hAnsi="Times New Roman" w:cs="Times New Roman"/>
          <w:noProof/>
          <w:sz w:val="24"/>
          <w:szCs w:val="24"/>
        </w:rPr>
        <w:t>(3), 17–25.</w:t>
      </w:r>
    </w:p>
    <w:p w14:paraId="12AD8970" w14:textId="27B87288"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International Monetary Fund. (2018). </w:t>
      </w:r>
      <w:r w:rsidRPr="002D410F">
        <w:rPr>
          <w:rFonts w:ascii="Times New Roman" w:hAnsi="Times New Roman" w:cs="Times New Roman"/>
          <w:i/>
          <w:iCs/>
          <w:noProof/>
          <w:sz w:val="24"/>
          <w:szCs w:val="24"/>
        </w:rPr>
        <w:t>Financial system stability assessment-United republic of Tanzania</w:t>
      </w:r>
      <w:r w:rsidR="0095757F">
        <w:rPr>
          <w:rFonts w:ascii="Times New Roman" w:hAnsi="Times New Roman" w:cs="Times New Roman"/>
          <w:noProof/>
          <w:sz w:val="24"/>
          <w:szCs w:val="24"/>
        </w:rPr>
        <w:t xml:space="preserve">: </w:t>
      </w:r>
      <w:r w:rsidR="0095757F" w:rsidRPr="002D410F">
        <w:rPr>
          <w:rFonts w:ascii="Times New Roman" w:hAnsi="Times New Roman" w:cs="Times New Roman"/>
          <w:noProof/>
          <w:sz w:val="24"/>
          <w:szCs w:val="24"/>
        </w:rPr>
        <w:t>International Monetary Fund.</w:t>
      </w:r>
    </w:p>
    <w:p w14:paraId="267E4E81" w14:textId="2EC92A0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Kahuthia, J. (2016). </w:t>
      </w:r>
      <w:r w:rsidR="0095757F" w:rsidRPr="0095757F">
        <w:rPr>
          <w:rFonts w:ascii="Times New Roman" w:hAnsi="Times New Roman" w:cs="Times New Roman"/>
          <w:noProof/>
          <w:sz w:val="24"/>
          <w:szCs w:val="24"/>
        </w:rPr>
        <w:t>Drivers of competitive advantage and performance of commercial banks in Nairobi county, Kenya.</w:t>
      </w:r>
      <w:r w:rsidR="0095757F">
        <w:rPr>
          <w:rFonts w:ascii="Times New Roman" w:hAnsi="Times New Roman" w:cs="Times New Roman"/>
          <w:noProof/>
          <w:sz w:val="24"/>
          <w:szCs w:val="24"/>
        </w:rPr>
        <w:t xml:space="preserve"> </w:t>
      </w:r>
      <w:r w:rsidR="0095757F" w:rsidRPr="0095757F">
        <w:rPr>
          <w:rFonts w:asciiTheme="majorHAnsi" w:hAnsiTheme="majorHAnsi" w:cstheme="majorHAnsi"/>
          <w:i/>
          <w:iCs/>
        </w:rPr>
        <w:t>Journal of Applied Finance and Accounting</w:t>
      </w:r>
      <w:r w:rsidR="0095757F">
        <w:rPr>
          <w:rFonts w:asciiTheme="majorHAnsi" w:hAnsiTheme="majorHAnsi" w:cstheme="majorHAnsi"/>
          <w:i/>
          <w:iCs/>
        </w:rPr>
        <w:t>.</w:t>
      </w:r>
    </w:p>
    <w:p w14:paraId="569662E9"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Kartikasari, D., &amp; Merianti, M. (2016). The effect of leverage and firm size to profitability of public manufacturing companies in Indonesia. </w:t>
      </w:r>
      <w:r w:rsidRPr="002D410F">
        <w:rPr>
          <w:rFonts w:ascii="Times New Roman" w:hAnsi="Times New Roman" w:cs="Times New Roman"/>
          <w:i/>
          <w:iCs/>
          <w:noProof/>
          <w:sz w:val="24"/>
          <w:szCs w:val="24"/>
        </w:rPr>
        <w:t>International Journal of Economics and Financial Issues</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6</w:t>
      </w:r>
      <w:r w:rsidRPr="002D410F">
        <w:rPr>
          <w:rFonts w:ascii="Times New Roman" w:hAnsi="Times New Roman" w:cs="Times New Roman"/>
          <w:noProof/>
          <w:sz w:val="24"/>
          <w:szCs w:val="24"/>
        </w:rPr>
        <w:t>(2), 409–413.</w:t>
      </w:r>
    </w:p>
    <w:p w14:paraId="625D5963"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Kebewar, M., &amp; Shah, S. M. N. A. (2012). The Effect of Debt on Corporate Profitability: Evidence from French Service Sector. </w:t>
      </w:r>
      <w:r w:rsidRPr="002D410F">
        <w:rPr>
          <w:rFonts w:ascii="Times New Roman" w:hAnsi="Times New Roman" w:cs="Times New Roman"/>
          <w:i/>
          <w:iCs/>
          <w:noProof/>
          <w:sz w:val="24"/>
          <w:szCs w:val="24"/>
        </w:rPr>
        <w:t>SSRN Electronic Journal</w:t>
      </w:r>
      <w:r w:rsidRPr="002D410F">
        <w:rPr>
          <w:rFonts w:ascii="Times New Roman" w:hAnsi="Times New Roman" w:cs="Times New Roman"/>
          <w:noProof/>
          <w:sz w:val="24"/>
          <w:szCs w:val="24"/>
        </w:rPr>
        <w:t>. https://doi.org/10.2139/ssrn.2191075</w:t>
      </w:r>
    </w:p>
    <w:p w14:paraId="323B1584" w14:textId="1FF15218"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Kiprotich, M. D. (2017). </w:t>
      </w:r>
      <w:r w:rsidRPr="0095757F">
        <w:rPr>
          <w:rFonts w:ascii="Times New Roman" w:hAnsi="Times New Roman" w:cs="Times New Roman"/>
          <w:noProof/>
          <w:sz w:val="24"/>
          <w:szCs w:val="24"/>
        </w:rPr>
        <w:t>The relationship between leverage and financial performance of banks listed at the Nairobi securities exchange</w:t>
      </w:r>
      <w:r w:rsidR="0095757F">
        <w:rPr>
          <w:rFonts w:ascii="Times New Roman" w:hAnsi="Times New Roman" w:cs="Times New Roman"/>
          <w:noProof/>
          <w:sz w:val="24"/>
          <w:szCs w:val="24"/>
        </w:rPr>
        <w:t xml:space="preserve">. </w:t>
      </w:r>
      <w:r w:rsidR="0095757F" w:rsidRPr="0095757F">
        <w:rPr>
          <w:rFonts w:asciiTheme="majorHAnsi" w:hAnsiTheme="majorHAnsi" w:cstheme="majorHAnsi"/>
          <w:i/>
          <w:iCs/>
        </w:rPr>
        <w:t>Journal of Applied Finance and Accounting</w:t>
      </w:r>
      <w:r w:rsidR="0095757F">
        <w:rPr>
          <w:rFonts w:asciiTheme="majorHAnsi" w:hAnsiTheme="majorHAnsi" w:cstheme="majorHAnsi"/>
          <w:i/>
          <w:iCs/>
        </w:rPr>
        <w:t xml:space="preserve">. </w:t>
      </w:r>
      <w:r w:rsidRPr="002D410F">
        <w:rPr>
          <w:rFonts w:ascii="Times New Roman" w:hAnsi="Times New Roman" w:cs="Times New Roman"/>
          <w:noProof/>
          <w:sz w:val="24"/>
          <w:szCs w:val="24"/>
        </w:rPr>
        <w:t xml:space="preserve"> Retrieved from</w:t>
      </w:r>
      <w:r w:rsidR="0095757F">
        <w:rPr>
          <w:rFonts w:ascii="Times New Roman" w:hAnsi="Times New Roman" w:cs="Times New Roman"/>
          <w:noProof/>
          <w:sz w:val="24"/>
          <w:szCs w:val="24"/>
        </w:rPr>
        <w:t xml:space="preserve"> </w:t>
      </w:r>
      <w:r w:rsidRPr="002D410F">
        <w:rPr>
          <w:rFonts w:ascii="Times New Roman" w:hAnsi="Times New Roman" w:cs="Times New Roman"/>
          <w:noProof/>
          <w:sz w:val="24"/>
          <w:szCs w:val="24"/>
        </w:rPr>
        <w:t>http://erepository.uonbi.ac.ke/bitstream/handle/11295/102904/Murikwa%2Cdennis K_The Relationship Between Leverage and Financial Performance of Commercial Banks Listed at the Nairobi Securities Exchange.pdf?sequence=1&amp;isAllo</w:t>
      </w:r>
    </w:p>
    <w:p w14:paraId="1FB527AC"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Korkmaz, O. (2016). The effect of profitability ratios on debt ratio: The sample of BIST manufacturing industry. </w:t>
      </w:r>
      <w:r w:rsidRPr="002D410F">
        <w:rPr>
          <w:rFonts w:ascii="Times New Roman" w:hAnsi="Times New Roman" w:cs="Times New Roman"/>
          <w:i/>
          <w:iCs/>
          <w:noProof/>
          <w:sz w:val="24"/>
          <w:szCs w:val="24"/>
        </w:rPr>
        <w:t>Journal of Financial Studies</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20</w:t>
      </w:r>
      <w:r w:rsidRPr="002D410F">
        <w:rPr>
          <w:rFonts w:ascii="Times New Roman" w:hAnsi="Times New Roman" w:cs="Times New Roman"/>
          <w:noProof/>
          <w:sz w:val="24"/>
          <w:szCs w:val="24"/>
        </w:rPr>
        <w:t>(2), 35–54. Retrieved from http://web.b.ebscohost.com.aib.idm.oclc.org/ehost/detail/detail?vid=0&amp;sid=c8912bc6-9f9e-4bc4-98c1-b7652c6a1067%40pdc-v-sessmgr02&amp;bdata=JnNpdGU9ZWhvc3QtbGl2ZQ%3D%3D#AN=118854132&amp;db=bth</w:t>
      </w:r>
    </w:p>
    <w:p w14:paraId="03BFA63D"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A33338">
        <w:rPr>
          <w:rFonts w:ascii="Times New Roman" w:hAnsi="Times New Roman" w:cs="Times New Roman"/>
          <w:noProof/>
          <w:sz w:val="24"/>
          <w:szCs w:val="24"/>
        </w:rPr>
        <w:t xml:space="preserve">Kothari, C. . (2015). </w:t>
      </w:r>
      <w:r w:rsidRPr="00A33338">
        <w:rPr>
          <w:rFonts w:ascii="Times New Roman" w:hAnsi="Times New Roman" w:cs="Times New Roman"/>
          <w:i/>
          <w:iCs/>
          <w:noProof/>
          <w:sz w:val="24"/>
          <w:szCs w:val="24"/>
        </w:rPr>
        <w:t>Research methodology</w:t>
      </w:r>
      <w:r w:rsidRPr="00A33338">
        <w:rPr>
          <w:rFonts w:ascii="Times New Roman" w:hAnsi="Times New Roman" w:cs="Times New Roman"/>
          <w:noProof/>
          <w:sz w:val="24"/>
          <w:szCs w:val="24"/>
        </w:rPr>
        <w:t xml:space="preserve"> (7th ed.). New Age International.</w:t>
      </w:r>
    </w:p>
    <w:p w14:paraId="6A5920D7"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Kumara, E. S., &amp; Samarakoon. (2014). Effect of leverage on profitability and market performance in the manufacturing sector of Sri Lanka: A panel regression analysis. </w:t>
      </w:r>
      <w:r w:rsidRPr="002D410F">
        <w:rPr>
          <w:rFonts w:ascii="Times New Roman" w:hAnsi="Times New Roman" w:cs="Times New Roman"/>
          <w:i/>
          <w:iCs/>
          <w:noProof/>
          <w:sz w:val="24"/>
          <w:szCs w:val="24"/>
        </w:rPr>
        <w:t>Journal of Accountancy and Finance, 1-1;</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1</w:t>
      </w:r>
      <w:r w:rsidRPr="002D410F">
        <w:rPr>
          <w:rFonts w:ascii="Times New Roman" w:hAnsi="Times New Roman" w:cs="Times New Roman"/>
          <w:noProof/>
          <w:sz w:val="24"/>
          <w:szCs w:val="24"/>
        </w:rPr>
        <w:t>(1), 76-87. Retrieved from https://www.researchgate.net/publication/269394189_Effect_of_Leverage_on_Profitability_and_Market_Performance_in_the_Manufacturing_Sector_of_Sri_Lanka_A_Panel_Regression_Analysis</w:t>
      </w:r>
    </w:p>
    <w:p w14:paraId="784DB829"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Kuria, F. (2013). The effect of capital sructure on the financial performance of commercial banks in Kenya. </w:t>
      </w:r>
      <w:r w:rsidRPr="002D410F">
        <w:rPr>
          <w:rFonts w:ascii="Times New Roman" w:hAnsi="Times New Roman" w:cs="Times New Roman"/>
          <w:i/>
          <w:iCs/>
          <w:noProof/>
          <w:sz w:val="24"/>
          <w:szCs w:val="24"/>
        </w:rPr>
        <w:t>Journal of Applied Finance and Accounting</w:t>
      </w:r>
      <w:r w:rsidRPr="002D410F">
        <w:rPr>
          <w:rFonts w:ascii="Times New Roman" w:hAnsi="Times New Roman" w:cs="Times New Roman"/>
          <w:noProof/>
          <w:sz w:val="24"/>
          <w:szCs w:val="24"/>
        </w:rPr>
        <w:t>, 1–66.</w:t>
      </w:r>
    </w:p>
    <w:p w14:paraId="589EF7DA"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Lo, F. Y., Rey-Martí, A., &amp; Botella-Carrubi, D. (2020). Research methods in business: Quantitative and qualitative comparative analysis. </w:t>
      </w:r>
      <w:r w:rsidRPr="002D410F">
        <w:rPr>
          <w:rFonts w:ascii="Times New Roman" w:hAnsi="Times New Roman" w:cs="Times New Roman"/>
          <w:i/>
          <w:iCs/>
          <w:noProof/>
          <w:sz w:val="24"/>
          <w:szCs w:val="24"/>
        </w:rPr>
        <w:t>Journal of Business Research</w:t>
      </w:r>
      <w:r w:rsidRPr="002D410F">
        <w:rPr>
          <w:rFonts w:ascii="Times New Roman" w:hAnsi="Times New Roman" w:cs="Times New Roman"/>
          <w:noProof/>
          <w:sz w:val="24"/>
          <w:szCs w:val="24"/>
        </w:rPr>
        <w:t>. https://doi.org/10.1016/j.jbusres.2020.05.003</w:t>
      </w:r>
    </w:p>
    <w:p w14:paraId="659742E1" w14:textId="36E0AC83"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Magero, I. (2014). </w:t>
      </w:r>
      <w:r w:rsidRPr="0095757F">
        <w:rPr>
          <w:rFonts w:ascii="Times New Roman" w:hAnsi="Times New Roman" w:cs="Times New Roman"/>
          <w:noProof/>
          <w:sz w:val="24"/>
          <w:szCs w:val="24"/>
        </w:rPr>
        <w:t>Effect of capital structure choice on financial performance of commercial banks in Kenya.</w:t>
      </w:r>
      <w:r w:rsidR="0095757F" w:rsidRPr="0095757F">
        <w:rPr>
          <w:rFonts w:ascii="Times New Roman" w:hAnsi="Times New Roman" w:cs="Times New Roman"/>
          <w:i/>
          <w:iCs/>
          <w:noProof/>
          <w:sz w:val="24"/>
          <w:szCs w:val="24"/>
        </w:rPr>
        <w:t xml:space="preserve"> </w:t>
      </w:r>
      <w:r w:rsidR="0095757F" w:rsidRPr="002D410F">
        <w:rPr>
          <w:rFonts w:ascii="Times New Roman" w:hAnsi="Times New Roman" w:cs="Times New Roman"/>
          <w:i/>
          <w:iCs/>
          <w:noProof/>
          <w:sz w:val="24"/>
          <w:szCs w:val="24"/>
        </w:rPr>
        <w:t>Journal of Business and Economics</w:t>
      </w:r>
      <w:r w:rsidR="0095757F" w:rsidRPr="002D410F">
        <w:rPr>
          <w:rFonts w:ascii="Times New Roman" w:hAnsi="Times New Roman" w:cs="Times New Roman"/>
          <w:noProof/>
          <w:sz w:val="24"/>
          <w:szCs w:val="24"/>
        </w:rPr>
        <w:t xml:space="preserve">, </w:t>
      </w:r>
      <w:r w:rsidR="0095757F" w:rsidRPr="002D410F">
        <w:rPr>
          <w:rFonts w:ascii="Times New Roman" w:hAnsi="Times New Roman" w:cs="Times New Roman"/>
          <w:i/>
          <w:iCs/>
          <w:noProof/>
          <w:sz w:val="24"/>
          <w:szCs w:val="24"/>
        </w:rPr>
        <w:t>12</w:t>
      </w:r>
      <w:r w:rsidR="0095757F" w:rsidRPr="002D410F">
        <w:rPr>
          <w:rFonts w:ascii="Times New Roman" w:hAnsi="Times New Roman" w:cs="Times New Roman"/>
          <w:noProof/>
          <w:sz w:val="24"/>
          <w:szCs w:val="24"/>
        </w:rPr>
        <w:t>(12), 50–62.</w:t>
      </w:r>
      <w:r w:rsidRPr="002D410F">
        <w:rPr>
          <w:rFonts w:ascii="Times New Roman" w:hAnsi="Times New Roman" w:cs="Times New Roman"/>
          <w:noProof/>
          <w:sz w:val="24"/>
          <w:szCs w:val="24"/>
        </w:rPr>
        <w:t>.</w:t>
      </w:r>
    </w:p>
    <w:p w14:paraId="76EDA606"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Malgit, A. (2020). Fundamental risk factors and profitability of commercial banks in Nigeria. </w:t>
      </w:r>
      <w:r w:rsidRPr="002D410F">
        <w:rPr>
          <w:rFonts w:ascii="Times New Roman" w:hAnsi="Times New Roman" w:cs="Times New Roman"/>
          <w:i/>
          <w:iCs/>
          <w:noProof/>
          <w:sz w:val="24"/>
          <w:szCs w:val="24"/>
        </w:rPr>
        <w:t>Journal of Accounting and Business Education</w:t>
      </w:r>
      <w:r w:rsidRPr="002D410F">
        <w:rPr>
          <w:rFonts w:ascii="Times New Roman" w:hAnsi="Times New Roman" w:cs="Times New Roman"/>
          <w:noProof/>
          <w:sz w:val="24"/>
          <w:szCs w:val="24"/>
        </w:rPr>
        <w:t>, 1–183.</w:t>
      </w:r>
    </w:p>
    <w:p w14:paraId="160730CA"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Mazumder, D. (2017). The impact of capital structure on profitability of listed Indian infrastructure companies. </w:t>
      </w:r>
      <w:r w:rsidRPr="002D410F">
        <w:rPr>
          <w:rFonts w:ascii="Times New Roman" w:hAnsi="Times New Roman" w:cs="Times New Roman"/>
          <w:i/>
          <w:iCs/>
          <w:noProof/>
          <w:sz w:val="24"/>
          <w:szCs w:val="24"/>
        </w:rPr>
        <w:t>International Conference on Paradigm Shift in Taxation</w:t>
      </w:r>
      <w:r w:rsidRPr="002D410F">
        <w:rPr>
          <w:rFonts w:ascii="Times New Roman" w:hAnsi="Times New Roman" w:cs="Times New Roman"/>
          <w:noProof/>
          <w:sz w:val="24"/>
          <w:szCs w:val="24"/>
        </w:rPr>
        <w:t>, 6–11.</w:t>
      </w:r>
    </w:p>
    <w:p w14:paraId="2CE76B8F"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Mihaela, H., &amp; Claudia, O. (2017). Does capital struscture influence company profitability ? </w:t>
      </w:r>
      <w:r w:rsidRPr="002D410F">
        <w:rPr>
          <w:rFonts w:ascii="Times New Roman" w:hAnsi="Times New Roman" w:cs="Times New Roman"/>
          <w:i/>
          <w:iCs/>
          <w:noProof/>
          <w:sz w:val="24"/>
          <w:szCs w:val="24"/>
        </w:rPr>
        <w:t>Journal of Business and Economics</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12</w:t>
      </w:r>
      <w:r w:rsidRPr="002D410F">
        <w:rPr>
          <w:rFonts w:ascii="Times New Roman" w:hAnsi="Times New Roman" w:cs="Times New Roman"/>
          <w:noProof/>
          <w:sz w:val="24"/>
          <w:szCs w:val="24"/>
        </w:rPr>
        <w:t>(12), 50–62. https://doi.org/10.1515/sbe-2017-0036</w:t>
      </w:r>
    </w:p>
    <w:p w14:paraId="45160CF0" w14:textId="1238BC80"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1E6F26">
        <w:rPr>
          <w:rFonts w:ascii="Times New Roman" w:hAnsi="Times New Roman" w:cs="Times New Roman"/>
          <w:i/>
          <w:iCs/>
          <w:noProof/>
          <w:sz w:val="24"/>
          <w:szCs w:val="24"/>
        </w:rPr>
        <w:t>Muigai, R. (2016). Effect of capital Structure on Financial Distress of Non-Financial Companies Listed in Nairobi Securities Exchange</w:t>
      </w:r>
      <w:r w:rsidR="001E6F26" w:rsidRPr="001E6F26">
        <w:rPr>
          <w:rFonts w:ascii="Times New Roman" w:hAnsi="Times New Roman" w:cs="Times New Roman"/>
          <w:i/>
          <w:iCs/>
          <w:noProof/>
          <w:sz w:val="24"/>
          <w:szCs w:val="24"/>
        </w:rPr>
        <w:t>.</w:t>
      </w:r>
      <w:r w:rsidR="001E6F26">
        <w:rPr>
          <w:rFonts w:ascii="Times New Roman" w:hAnsi="Times New Roman" w:cs="Times New Roman"/>
          <w:noProof/>
          <w:sz w:val="24"/>
          <w:szCs w:val="24"/>
        </w:rPr>
        <w:t xml:space="preserve"> </w:t>
      </w:r>
      <w:r w:rsidR="001E6F26" w:rsidRPr="001E6F26">
        <w:rPr>
          <w:rFonts w:asciiTheme="majorHAnsi" w:hAnsiTheme="majorHAnsi" w:cstheme="majorHAnsi"/>
          <w:i/>
          <w:iCs/>
        </w:rPr>
        <w:t>Journal of accounting and business education</w:t>
      </w:r>
    </w:p>
    <w:p w14:paraId="79FB31AB"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Muriithi, J. (2016). Effect of financial risk on financial performance of commercial banks in Kenya. </w:t>
      </w:r>
      <w:r w:rsidRPr="002D410F">
        <w:rPr>
          <w:rFonts w:ascii="Times New Roman" w:hAnsi="Times New Roman" w:cs="Times New Roman"/>
          <w:i/>
          <w:iCs/>
          <w:noProof/>
          <w:sz w:val="24"/>
          <w:szCs w:val="24"/>
        </w:rPr>
        <w:t>Journal of Business and Economics</w:t>
      </w:r>
      <w:r w:rsidRPr="002D410F">
        <w:rPr>
          <w:rFonts w:ascii="Times New Roman" w:hAnsi="Times New Roman" w:cs="Times New Roman"/>
          <w:noProof/>
          <w:sz w:val="24"/>
          <w:szCs w:val="24"/>
        </w:rPr>
        <w:t>, 1–197.</w:t>
      </w:r>
    </w:p>
    <w:p w14:paraId="34AD6F33"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Musah, A. (2018). The Impact of Capital Structure on Profitability of Commercial Banks in Ghana. </w:t>
      </w:r>
      <w:r w:rsidRPr="002D410F">
        <w:rPr>
          <w:rFonts w:ascii="Times New Roman" w:hAnsi="Times New Roman" w:cs="Times New Roman"/>
          <w:i/>
          <w:iCs/>
          <w:noProof/>
          <w:sz w:val="24"/>
          <w:szCs w:val="24"/>
        </w:rPr>
        <w:t>Asian Journal of Economic Modelling</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6</w:t>
      </w:r>
      <w:r w:rsidRPr="002D410F">
        <w:rPr>
          <w:rFonts w:ascii="Times New Roman" w:hAnsi="Times New Roman" w:cs="Times New Roman"/>
          <w:noProof/>
          <w:sz w:val="24"/>
          <w:szCs w:val="24"/>
        </w:rPr>
        <w:t>(1), 21–36. https://doi.org/10.18488/journal.8.2018.61.21.36</w:t>
      </w:r>
    </w:p>
    <w:p w14:paraId="7C8FB796"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Muthoni, M. R. (2013). The effect of liquidity and solvency on the profitability of commercial banks in Kenya. </w:t>
      </w:r>
      <w:r w:rsidRPr="002D410F">
        <w:rPr>
          <w:rFonts w:ascii="Times New Roman" w:hAnsi="Times New Roman" w:cs="Times New Roman"/>
          <w:i/>
          <w:iCs/>
          <w:noProof/>
          <w:sz w:val="24"/>
          <w:szCs w:val="24"/>
        </w:rPr>
        <w:t>Journal of Asian Finance, Economics and Business</w:t>
      </w:r>
      <w:r w:rsidRPr="002D410F">
        <w:rPr>
          <w:rFonts w:ascii="Times New Roman" w:hAnsi="Times New Roman" w:cs="Times New Roman"/>
          <w:noProof/>
          <w:sz w:val="24"/>
          <w:szCs w:val="24"/>
        </w:rPr>
        <w:t>, (October), 1–62.</w:t>
      </w:r>
    </w:p>
    <w:p w14:paraId="3083014F" w14:textId="1DFFDE8C"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Ndung’u, N. (2014). </w:t>
      </w:r>
      <w:r w:rsidRPr="00184D41">
        <w:rPr>
          <w:rFonts w:ascii="Times New Roman" w:hAnsi="Times New Roman" w:cs="Times New Roman"/>
          <w:noProof/>
          <w:sz w:val="24"/>
          <w:szCs w:val="24"/>
        </w:rPr>
        <w:t>Financial sector contributions towards vision 2030 goals.</w:t>
      </w:r>
      <w:r w:rsidRPr="002D410F">
        <w:rPr>
          <w:rFonts w:ascii="Times New Roman" w:hAnsi="Times New Roman" w:cs="Times New Roman"/>
          <w:noProof/>
          <w:sz w:val="24"/>
          <w:szCs w:val="24"/>
        </w:rPr>
        <w:t xml:space="preserve"> </w:t>
      </w:r>
      <w:r w:rsidR="00184D41" w:rsidRPr="00184D41">
        <w:rPr>
          <w:rFonts w:asciiTheme="majorHAnsi" w:hAnsiTheme="majorHAnsi" w:cstheme="majorHAnsi"/>
          <w:i/>
          <w:iCs/>
        </w:rPr>
        <w:t>Journal of Investment and Management</w:t>
      </w:r>
      <w:r w:rsidR="00184D41" w:rsidRPr="002D410F">
        <w:rPr>
          <w:rFonts w:ascii="Times New Roman" w:hAnsi="Times New Roman" w:cs="Times New Roman"/>
          <w:noProof/>
          <w:sz w:val="24"/>
          <w:szCs w:val="24"/>
        </w:rPr>
        <w:t xml:space="preserve"> </w:t>
      </w:r>
      <w:r w:rsidRPr="002D410F">
        <w:rPr>
          <w:rFonts w:ascii="Times New Roman" w:hAnsi="Times New Roman" w:cs="Times New Roman"/>
          <w:noProof/>
          <w:sz w:val="24"/>
          <w:szCs w:val="24"/>
        </w:rPr>
        <w:t>Retrieved from https://www.bis.org/review/r141208c.pdf</w:t>
      </w:r>
    </w:p>
    <w:p w14:paraId="2CD60B71"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Ngo, T. (2020). The determinants of bank profitability: A cross-country analysis. </w:t>
      </w:r>
      <w:r w:rsidRPr="002D410F">
        <w:rPr>
          <w:rFonts w:ascii="Times New Roman" w:hAnsi="Times New Roman" w:cs="Times New Roman"/>
          <w:i/>
          <w:iCs/>
          <w:noProof/>
          <w:sz w:val="24"/>
          <w:szCs w:val="24"/>
        </w:rPr>
        <w:t>Central Bank Review</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20</w:t>
      </w:r>
      <w:r w:rsidRPr="002D410F">
        <w:rPr>
          <w:rFonts w:ascii="Times New Roman" w:hAnsi="Times New Roman" w:cs="Times New Roman"/>
          <w:noProof/>
          <w:sz w:val="24"/>
          <w:szCs w:val="24"/>
        </w:rPr>
        <w:t>(2), 65–73. https://doi.org/10.1016/j.cbrev.2020.04.001</w:t>
      </w:r>
    </w:p>
    <w:p w14:paraId="2A81BC6D"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Nguyen, A. (2020). Capital structure and firm performance of non-financial listed companies: Cross-sector empirical evidences from Vietnam. </w:t>
      </w:r>
      <w:r w:rsidRPr="002D410F">
        <w:rPr>
          <w:rFonts w:ascii="Times New Roman" w:hAnsi="Times New Roman" w:cs="Times New Roman"/>
          <w:i/>
          <w:iCs/>
          <w:noProof/>
          <w:sz w:val="24"/>
          <w:szCs w:val="24"/>
        </w:rPr>
        <w:t>Journal of Accounting</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6</w:t>
      </w:r>
      <w:r w:rsidRPr="002D410F">
        <w:rPr>
          <w:rFonts w:ascii="Times New Roman" w:hAnsi="Times New Roman" w:cs="Times New Roman"/>
          <w:noProof/>
          <w:sz w:val="24"/>
          <w:szCs w:val="24"/>
        </w:rPr>
        <w:t>(2), 137–150. https://doi.org/10.5267/j.ac.2019.11.002</w:t>
      </w:r>
    </w:p>
    <w:p w14:paraId="4E267B49"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Ngwa, L. N. (2016). Impact of financial distress on UK public entities performance and customer loyalty: An empirical study (Vol. 5).</w:t>
      </w:r>
    </w:p>
    <w:p w14:paraId="3554899E"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Nishanthini, A., &amp; Nimalathasan, B. (2013). Determinants of profitability: a case study of listed manufacturing companies in Sri Lanka. </w:t>
      </w:r>
      <w:r w:rsidRPr="002D410F">
        <w:rPr>
          <w:rFonts w:ascii="Times New Roman" w:hAnsi="Times New Roman" w:cs="Times New Roman"/>
          <w:i/>
          <w:iCs/>
          <w:noProof/>
          <w:sz w:val="24"/>
          <w:szCs w:val="24"/>
        </w:rPr>
        <w:t>Merit Research Journal</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1</w:t>
      </w:r>
      <w:r w:rsidRPr="002D410F">
        <w:rPr>
          <w:rFonts w:ascii="Times New Roman" w:hAnsi="Times New Roman" w:cs="Times New Roman"/>
          <w:noProof/>
          <w:sz w:val="24"/>
          <w:szCs w:val="24"/>
        </w:rPr>
        <w:t>(1), 1–006. https://doi.org/10.4038/jm.v8i1.7556</w:t>
      </w:r>
    </w:p>
    <w:p w14:paraId="07305409"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Pradhan, P. R. S., &amp; Shrestha, D. (2009). Impact of liquidity on bank profitability in Nepalese commercial banks. </w:t>
      </w:r>
      <w:r w:rsidRPr="002D410F">
        <w:rPr>
          <w:rFonts w:ascii="Times New Roman" w:hAnsi="Times New Roman" w:cs="Times New Roman"/>
          <w:i/>
          <w:iCs/>
          <w:noProof/>
          <w:sz w:val="24"/>
          <w:szCs w:val="24"/>
        </w:rPr>
        <w:t>Journal of Management</w:t>
      </w:r>
      <w:r w:rsidRPr="002D410F">
        <w:rPr>
          <w:rFonts w:ascii="Times New Roman" w:hAnsi="Times New Roman" w:cs="Times New Roman"/>
          <w:noProof/>
          <w:sz w:val="24"/>
          <w:szCs w:val="24"/>
        </w:rPr>
        <w:t>, 1–14.</w:t>
      </w:r>
    </w:p>
    <w:p w14:paraId="64148461" w14:textId="6EC88901"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Qudah, A. (2017). The Relationship between Capital Structure and Financial Performance in the Companies Listed in Abu Dhabi Securities Exchange: Evidences from United Arab Emirates. </w:t>
      </w:r>
      <w:r w:rsidR="00184D41" w:rsidRPr="00184D41">
        <w:rPr>
          <w:rFonts w:asciiTheme="majorHAnsi" w:hAnsiTheme="majorHAnsi" w:cstheme="majorHAnsi"/>
          <w:i/>
          <w:iCs/>
        </w:rPr>
        <w:t>Journal of review of European studies</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9</w:t>
      </w:r>
      <w:r w:rsidRPr="002D410F">
        <w:rPr>
          <w:rFonts w:ascii="Times New Roman" w:hAnsi="Times New Roman" w:cs="Times New Roman"/>
          <w:noProof/>
          <w:sz w:val="24"/>
          <w:szCs w:val="24"/>
        </w:rPr>
        <w:t>(2), 1–9. https://doi.org/10.5539/res.v9n2p1</w:t>
      </w:r>
    </w:p>
    <w:p w14:paraId="02277667"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Rahman, M. A., Sarker, M. S. I., &amp; Uddin, M. J. (2019). The Impact of Capital Structure on the Profitability of Publicly Traded Manufacturing Firms in Bangladesh. </w:t>
      </w:r>
      <w:r w:rsidRPr="002D410F">
        <w:rPr>
          <w:rFonts w:ascii="Times New Roman" w:hAnsi="Times New Roman" w:cs="Times New Roman"/>
          <w:i/>
          <w:iCs/>
          <w:noProof/>
          <w:sz w:val="24"/>
          <w:szCs w:val="24"/>
        </w:rPr>
        <w:t>Applied Economics and Finance</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6</w:t>
      </w:r>
      <w:r w:rsidRPr="002D410F">
        <w:rPr>
          <w:rFonts w:ascii="Times New Roman" w:hAnsi="Times New Roman" w:cs="Times New Roman"/>
          <w:noProof/>
          <w:sz w:val="24"/>
          <w:szCs w:val="24"/>
        </w:rPr>
        <w:t>(2), 1. https://doi.org/10.11114/aef.v6i2.3867</w:t>
      </w:r>
    </w:p>
    <w:p w14:paraId="3EF5F5E1"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Raji, S. (2021). Liquidity and solvency management and its impact on financial performance: empirical evidence from Jordan. </w:t>
      </w:r>
      <w:r w:rsidRPr="002D410F">
        <w:rPr>
          <w:rFonts w:ascii="Times New Roman" w:hAnsi="Times New Roman" w:cs="Times New Roman"/>
          <w:i/>
          <w:iCs/>
          <w:noProof/>
          <w:sz w:val="24"/>
          <w:szCs w:val="24"/>
        </w:rPr>
        <w:t>Journal of Asian Finance, Economics and Business</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8</w:t>
      </w:r>
      <w:r w:rsidRPr="002D410F">
        <w:rPr>
          <w:rFonts w:ascii="Times New Roman" w:hAnsi="Times New Roman" w:cs="Times New Roman"/>
          <w:noProof/>
          <w:sz w:val="24"/>
          <w:szCs w:val="24"/>
        </w:rPr>
        <w:t>(5), 135–141. https://doi.org/10.13106/jafeb.2021.vol8.no5.0135</w:t>
      </w:r>
    </w:p>
    <w:p w14:paraId="7CE695E0"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Ratnovski, L. (2013). Liquidity and transparency in bank risk management. </w:t>
      </w:r>
      <w:r w:rsidRPr="002D410F">
        <w:rPr>
          <w:rFonts w:ascii="Times New Roman" w:hAnsi="Times New Roman" w:cs="Times New Roman"/>
          <w:i/>
          <w:iCs/>
          <w:noProof/>
          <w:sz w:val="24"/>
          <w:szCs w:val="24"/>
        </w:rPr>
        <w:t>Journal of Financial Intermediation</w:t>
      </w:r>
      <w:r w:rsidRPr="002D410F">
        <w:rPr>
          <w:rFonts w:ascii="Times New Roman" w:hAnsi="Times New Roman" w:cs="Times New Roman"/>
          <w:noProof/>
          <w:sz w:val="24"/>
          <w:szCs w:val="24"/>
        </w:rPr>
        <w:t>. https://doi.org/10.1016/j.jfi.2013.01.002</w:t>
      </w:r>
    </w:p>
    <w:p w14:paraId="35109AC0"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Rehman, M. U., &amp; Waqas, B. K. (2014). Impact of Liquidity &amp; Solvency on Profitability of Chemical sector in Pakistan. </w:t>
      </w:r>
      <w:r w:rsidRPr="002D410F">
        <w:rPr>
          <w:rFonts w:ascii="Times New Roman" w:hAnsi="Times New Roman" w:cs="Times New Roman"/>
          <w:i/>
          <w:iCs/>
          <w:noProof/>
          <w:sz w:val="24"/>
          <w:szCs w:val="24"/>
        </w:rPr>
        <w:t>Ekonomika Management Inovace</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6</w:t>
      </w:r>
      <w:r w:rsidRPr="002D410F">
        <w:rPr>
          <w:rFonts w:ascii="Times New Roman" w:hAnsi="Times New Roman" w:cs="Times New Roman"/>
          <w:noProof/>
          <w:sz w:val="24"/>
          <w:szCs w:val="24"/>
        </w:rPr>
        <w:t>(3), 12.</w:t>
      </w:r>
    </w:p>
    <w:p w14:paraId="590D92A3"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Rehman, U. (2013). Relationship between financial leverage and financial performance: Empirical evidence of listed sugar companies of Pakistan. </w:t>
      </w:r>
      <w:r w:rsidRPr="002D410F">
        <w:rPr>
          <w:rFonts w:ascii="Times New Roman" w:hAnsi="Times New Roman" w:cs="Times New Roman"/>
          <w:i/>
          <w:iCs/>
          <w:noProof/>
          <w:sz w:val="24"/>
          <w:szCs w:val="24"/>
        </w:rPr>
        <w:t>Global Journal of Management and Business Reserach Finance</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13</w:t>
      </w:r>
      <w:r w:rsidRPr="002D410F">
        <w:rPr>
          <w:rFonts w:ascii="Times New Roman" w:hAnsi="Times New Roman" w:cs="Times New Roman"/>
          <w:noProof/>
          <w:sz w:val="24"/>
          <w:szCs w:val="24"/>
        </w:rPr>
        <w:t>(8), 33–40.</w:t>
      </w:r>
    </w:p>
    <w:p w14:paraId="78BF5DB7"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Rehman, U. M., &amp; Khidmat, B. W. (2014). Impact of liquidity and sollvency on profitability chemical sector of Pakistan. </w:t>
      </w:r>
      <w:r w:rsidRPr="002D410F">
        <w:rPr>
          <w:rFonts w:ascii="Times New Roman" w:hAnsi="Times New Roman" w:cs="Times New Roman"/>
          <w:i/>
          <w:iCs/>
          <w:noProof/>
          <w:sz w:val="24"/>
          <w:szCs w:val="24"/>
        </w:rPr>
        <w:t>Economics Management Innovation</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6</w:t>
      </w:r>
      <w:r w:rsidRPr="002D410F">
        <w:rPr>
          <w:rFonts w:ascii="Times New Roman" w:hAnsi="Times New Roman" w:cs="Times New Roman"/>
          <w:noProof/>
          <w:sz w:val="24"/>
          <w:szCs w:val="24"/>
        </w:rPr>
        <w:t>(3, 2014).</w:t>
      </w:r>
    </w:p>
    <w:p w14:paraId="607B21E6"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Russell, L. A., Langemeier, M. R., &amp; Briggeman, B. C. (2013). The impact of liquidity and solvency on cost efficiency. </w:t>
      </w:r>
      <w:r w:rsidRPr="002D410F">
        <w:rPr>
          <w:rFonts w:ascii="Times New Roman" w:hAnsi="Times New Roman" w:cs="Times New Roman"/>
          <w:i/>
          <w:iCs/>
          <w:noProof/>
          <w:sz w:val="24"/>
          <w:szCs w:val="24"/>
        </w:rPr>
        <w:t>Agricultural Finance Review</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73</w:t>
      </w:r>
      <w:r w:rsidRPr="002D410F">
        <w:rPr>
          <w:rFonts w:ascii="Times New Roman" w:hAnsi="Times New Roman" w:cs="Times New Roman"/>
          <w:noProof/>
          <w:sz w:val="24"/>
          <w:szCs w:val="24"/>
        </w:rPr>
        <w:t>(3), 413–425. https://doi.org/10.1108/AFR-09-2012-0047</w:t>
      </w:r>
    </w:p>
    <w:p w14:paraId="6ED06E76"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Sakouvogui, K. (2020). Impact of liquidity and solvency risk factors on variations in efficiency of US banks. </w:t>
      </w:r>
      <w:r w:rsidRPr="002D410F">
        <w:rPr>
          <w:rFonts w:ascii="Times New Roman" w:hAnsi="Times New Roman" w:cs="Times New Roman"/>
          <w:i/>
          <w:iCs/>
          <w:noProof/>
          <w:sz w:val="24"/>
          <w:szCs w:val="24"/>
        </w:rPr>
        <w:t>Managerial Finance</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46</w:t>
      </w:r>
      <w:r w:rsidRPr="002D410F">
        <w:rPr>
          <w:rFonts w:ascii="Times New Roman" w:hAnsi="Times New Roman" w:cs="Times New Roman"/>
          <w:noProof/>
          <w:sz w:val="24"/>
          <w:szCs w:val="24"/>
        </w:rPr>
        <w:t>(7), 883–895. https://doi.org/10.1108/MF-05-2019-0241</w:t>
      </w:r>
    </w:p>
    <w:p w14:paraId="4D2A9303"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Sanderson, E., &amp; Windmeijer, F. (2016). A weak instrument F-test in linear IV models with multiple endogenous variables. </w:t>
      </w:r>
      <w:r w:rsidRPr="002D410F">
        <w:rPr>
          <w:rFonts w:ascii="Times New Roman" w:hAnsi="Times New Roman" w:cs="Times New Roman"/>
          <w:i/>
          <w:iCs/>
          <w:noProof/>
          <w:sz w:val="24"/>
          <w:szCs w:val="24"/>
        </w:rPr>
        <w:t>Journal of Econometrics</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190</w:t>
      </w:r>
      <w:r w:rsidRPr="002D410F">
        <w:rPr>
          <w:rFonts w:ascii="Times New Roman" w:hAnsi="Times New Roman" w:cs="Times New Roman"/>
          <w:noProof/>
          <w:sz w:val="24"/>
          <w:szCs w:val="24"/>
        </w:rPr>
        <w:t>(2), 212–221. https://doi.org/10.1016/j.jeconom.2015.06.004</w:t>
      </w:r>
    </w:p>
    <w:p w14:paraId="7556B486"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Santomil, P. (2020). Enterprise risk management and solvency II: the system of governance and the own risk and solvency assessment. </w:t>
      </w:r>
      <w:r w:rsidRPr="002D410F">
        <w:rPr>
          <w:rFonts w:ascii="Times New Roman" w:hAnsi="Times New Roman" w:cs="Times New Roman"/>
          <w:i/>
          <w:iCs/>
          <w:noProof/>
          <w:sz w:val="24"/>
          <w:szCs w:val="24"/>
        </w:rPr>
        <w:t>Journal of Risk Finance</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21</w:t>
      </w:r>
      <w:r w:rsidRPr="002D410F">
        <w:rPr>
          <w:rFonts w:ascii="Times New Roman" w:hAnsi="Times New Roman" w:cs="Times New Roman"/>
          <w:noProof/>
          <w:sz w:val="24"/>
          <w:szCs w:val="24"/>
        </w:rPr>
        <w:t>(4), 317–332. https://doi.org/10.1108/JRF-09-2019-0183</w:t>
      </w:r>
    </w:p>
    <w:p w14:paraId="1A58821A"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Sari, L. (2016). Debt to equity ratio, degree of operating leverage stock beta and stock returns of food and bevarage companies in Indonession stock exchangee. </w:t>
      </w:r>
      <w:r w:rsidRPr="002D410F">
        <w:rPr>
          <w:rFonts w:ascii="Times New Roman" w:hAnsi="Times New Roman" w:cs="Times New Roman"/>
          <w:i/>
          <w:iCs/>
          <w:noProof/>
          <w:sz w:val="24"/>
          <w:szCs w:val="24"/>
        </w:rPr>
        <w:t>Journal of Applied Finance and Accounting</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2</w:t>
      </w:r>
      <w:r w:rsidRPr="002D410F">
        <w:rPr>
          <w:rFonts w:ascii="Times New Roman" w:hAnsi="Times New Roman" w:cs="Times New Roman"/>
          <w:noProof/>
          <w:sz w:val="24"/>
          <w:szCs w:val="24"/>
        </w:rPr>
        <w:t>(2), 1–13.</w:t>
      </w:r>
    </w:p>
    <w:p w14:paraId="5083D804"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Schober, P., &amp; Schwarte, L. A. (2018). Correlation coefficients: Appropriate use and interpretation. </w:t>
      </w:r>
      <w:r w:rsidRPr="002D410F">
        <w:rPr>
          <w:rFonts w:ascii="Times New Roman" w:hAnsi="Times New Roman" w:cs="Times New Roman"/>
          <w:i/>
          <w:iCs/>
          <w:noProof/>
          <w:sz w:val="24"/>
          <w:szCs w:val="24"/>
        </w:rPr>
        <w:t>Anesthesia and Analgesia</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126</w:t>
      </w:r>
      <w:r w:rsidRPr="002D410F">
        <w:rPr>
          <w:rFonts w:ascii="Times New Roman" w:hAnsi="Times New Roman" w:cs="Times New Roman"/>
          <w:noProof/>
          <w:sz w:val="24"/>
          <w:szCs w:val="24"/>
        </w:rPr>
        <w:t>(5), 1763–1768. https://doi.org/10.1213/ANE.0000000000002864</w:t>
      </w:r>
    </w:p>
    <w:p w14:paraId="6D02F09C"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Shrestha, N. (2020). Detecting Multicollinearity in Regression Analysis. </w:t>
      </w:r>
      <w:r w:rsidRPr="002D410F">
        <w:rPr>
          <w:rFonts w:ascii="Times New Roman" w:hAnsi="Times New Roman" w:cs="Times New Roman"/>
          <w:i/>
          <w:iCs/>
          <w:noProof/>
          <w:sz w:val="24"/>
          <w:szCs w:val="24"/>
        </w:rPr>
        <w:t>American Journal of Applied Mathematics and Statistics</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8</w:t>
      </w:r>
      <w:r w:rsidRPr="002D410F">
        <w:rPr>
          <w:rFonts w:ascii="Times New Roman" w:hAnsi="Times New Roman" w:cs="Times New Roman"/>
          <w:noProof/>
          <w:sz w:val="24"/>
          <w:szCs w:val="24"/>
        </w:rPr>
        <w:t>(2), 39–42. https://doi.org/10.12691/ajams-8-2-1</w:t>
      </w:r>
    </w:p>
    <w:p w14:paraId="24D584BD"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Singh, N. P., &amp; Bagga, M. (2019). The Effect of Capital Structure on Profitability: An Empirical Panel Data Study. </w:t>
      </w:r>
      <w:r w:rsidRPr="002D410F">
        <w:rPr>
          <w:rFonts w:ascii="Times New Roman" w:hAnsi="Times New Roman" w:cs="Times New Roman"/>
          <w:i/>
          <w:iCs/>
          <w:noProof/>
          <w:sz w:val="24"/>
          <w:szCs w:val="24"/>
        </w:rPr>
        <w:t>Jindal Journal of Business Research</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8</w:t>
      </w:r>
      <w:r w:rsidRPr="002D410F">
        <w:rPr>
          <w:rFonts w:ascii="Times New Roman" w:hAnsi="Times New Roman" w:cs="Times New Roman"/>
          <w:noProof/>
          <w:sz w:val="24"/>
          <w:szCs w:val="24"/>
        </w:rPr>
        <w:t>(1), 65–77. https://doi.org/10.1177/2278682118823312</w:t>
      </w:r>
    </w:p>
    <w:p w14:paraId="2E520813"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Sivalingam, L., &amp; Kengatharan, L. (2018). Capital structure and financial performance: A study on commercial banks in Sri Lanka. </w:t>
      </w:r>
      <w:r w:rsidRPr="002D410F">
        <w:rPr>
          <w:rFonts w:ascii="Times New Roman" w:hAnsi="Times New Roman" w:cs="Times New Roman"/>
          <w:i/>
          <w:iCs/>
          <w:noProof/>
          <w:sz w:val="24"/>
          <w:szCs w:val="24"/>
        </w:rPr>
        <w:t>Asian Economic and Financial Review</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8</w:t>
      </w:r>
      <w:r w:rsidRPr="002D410F">
        <w:rPr>
          <w:rFonts w:ascii="Times New Roman" w:hAnsi="Times New Roman" w:cs="Times New Roman"/>
          <w:noProof/>
          <w:sz w:val="24"/>
          <w:szCs w:val="24"/>
        </w:rPr>
        <w:t>(5), 586–598. https://doi.org/10.18488/journal.aefr.2018.85.586.598</w:t>
      </w:r>
    </w:p>
    <w:p w14:paraId="1C0C8A56"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Sivathaasan, N., Tharanika, R., Sinthuja, M., &amp; Hanitha, V. (2013). Factors determining profitability : A study of selected manufacturing companies listed on Colombo stock exchange in Sri Lanka. </w:t>
      </w:r>
      <w:r w:rsidRPr="002D410F">
        <w:rPr>
          <w:rFonts w:ascii="Times New Roman" w:hAnsi="Times New Roman" w:cs="Times New Roman"/>
          <w:i/>
          <w:iCs/>
          <w:noProof/>
          <w:sz w:val="24"/>
          <w:szCs w:val="24"/>
        </w:rPr>
        <w:t>European Journal of Business and Management</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5</w:t>
      </w:r>
      <w:r w:rsidRPr="002D410F">
        <w:rPr>
          <w:rFonts w:ascii="Times New Roman" w:hAnsi="Times New Roman" w:cs="Times New Roman"/>
          <w:noProof/>
          <w:sz w:val="24"/>
          <w:szCs w:val="24"/>
        </w:rPr>
        <w:t>(27), 99–108.</w:t>
      </w:r>
    </w:p>
    <w:p w14:paraId="2823B905"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Sondakh, F. (2016). Current Ratio. </w:t>
      </w:r>
      <w:r w:rsidRPr="002D410F">
        <w:rPr>
          <w:rFonts w:ascii="Times New Roman" w:hAnsi="Times New Roman" w:cs="Times New Roman"/>
          <w:i/>
          <w:iCs/>
          <w:noProof/>
          <w:sz w:val="24"/>
          <w:szCs w:val="24"/>
        </w:rPr>
        <w:t>Journal of Production and Manufacturing Management</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3</w:t>
      </w:r>
      <w:r w:rsidRPr="002D410F">
        <w:rPr>
          <w:rFonts w:ascii="Times New Roman" w:hAnsi="Times New Roman" w:cs="Times New Roman"/>
          <w:noProof/>
          <w:sz w:val="24"/>
          <w:szCs w:val="24"/>
        </w:rPr>
        <w:t>(2), 138–138. https://doi.org/10.1007/1-4020-0612-8_202</w:t>
      </w:r>
    </w:p>
    <w:p w14:paraId="7D7DBBFF"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Stryckova, L. (2017). The relationship between company returns and leverage depending on the business sector: Empirical evidence from the Czech republic. </w:t>
      </w:r>
      <w:r w:rsidRPr="002D410F">
        <w:rPr>
          <w:rFonts w:ascii="Times New Roman" w:hAnsi="Times New Roman" w:cs="Times New Roman"/>
          <w:i/>
          <w:iCs/>
          <w:noProof/>
          <w:sz w:val="24"/>
          <w:szCs w:val="24"/>
        </w:rPr>
        <w:t>Journal of Competitiveness</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9</w:t>
      </w:r>
      <w:r w:rsidRPr="002D410F">
        <w:rPr>
          <w:rFonts w:ascii="Times New Roman" w:hAnsi="Times New Roman" w:cs="Times New Roman"/>
          <w:noProof/>
          <w:sz w:val="24"/>
          <w:szCs w:val="24"/>
        </w:rPr>
        <w:t>(3), 98–110. https://doi.org/10.7441/joc.2017.03.07</w:t>
      </w:r>
    </w:p>
    <w:p w14:paraId="5BA214E7"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Supami, A. (2021). The effect of debt to equity ratio and current ratio on firm value. </w:t>
      </w:r>
      <w:r w:rsidRPr="002D410F">
        <w:rPr>
          <w:rFonts w:ascii="Times New Roman" w:hAnsi="Times New Roman" w:cs="Times New Roman"/>
          <w:i/>
          <w:iCs/>
          <w:noProof/>
          <w:sz w:val="24"/>
          <w:szCs w:val="24"/>
        </w:rPr>
        <w:t>Journal of Accounting and Business Education</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8</w:t>
      </w:r>
      <w:r w:rsidRPr="002D410F">
        <w:rPr>
          <w:rFonts w:ascii="Times New Roman" w:hAnsi="Times New Roman" w:cs="Times New Roman"/>
          <w:noProof/>
          <w:sz w:val="24"/>
          <w:szCs w:val="24"/>
        </w:rPr>
        <w:t>(2), 1–13. https://doi.org/10.21067/jrma.v8i2.5231</w:t>
      </w:r>
    </w:p>
    <w:p w14:paraId="7408D814" w14:textId="424E3231"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The Central Bank of Kenya. (2016). </w:t>
      </w:r>
      <w:r w:rsidRPr="002D410F">
        <w:rPr>
          <w:rFonts w:ascii="Times New Roman" w:hAnsi="Times New Roman" w:cs="Times New Roman"/>
          <w:i/>
          <w:iCs/>
          <w:noProof/>
          <w:sz w:val="24"/>
          <w:szCs w:val="24"/>
        </w:rPr>
        <w:t>Press release on Chase bank limited</w:t>
      </w:r>
      <w:r w:rsidR="00184D41">
        <w:rPr>
          <w:rFonts w:ascii="Times New Roman" w:hAnsi="Times New Roman" w:cs="Times New Roman"/>
          <w:i/>
          <w:iCs/>
          <w:noProof/>
          <w:sz w:val="24"/>
          <w:szCs w:val="24"/>
        </w:rPr>
        <w:t>:</w:t>
      </w:r>
      <w:r w:rsidR="00184D41" w:rsidRPr="00184D41">
        <w:t xml:space="preserve"> </w:t>
      </w:r>
      <w:r w:rsidR="00184D41" w:rsidRPr="00184D41">
        <w:rPr>
          <w:rFonts w:ascii="Times New Roman" w:hAnsi="Times New Roman" w:cs="Times New Roman"/>
          <w:noProof/>
          <w:sz w:val="24"/>
          <w:szCs w:val="24"/>
        </w:rPr>
        <w:t>The Central Bank of Kenya (CBK)</w:t>
      </w:r>
      <w:r w:rsidRPr="002D410F">
        <w:rPr>
          <w:rFonts w:ascii="Times New Roman" w:hAnsi="Times New Roman" w:cs="Times New Roman"/>
          <w:noProof/>
          <w:sz w:val="24"/>
          <w:szCs w:val="24"/>
        </w:rPr>
        <w:t xml:space="preserve"> https://doi.org/10.1023/A:1017395523868</w:t>
      </w:r>
    </w:p>
    <w:p w14:paraId="12566244"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Tulsian, M. (2014). Profitability analysis: A comparative study of Sail &amp; Tata steel. </w:t>
      </w:r>
      <w:r w:rsidRPr="002D410F">
        <w:rPr>
          <w:rFonts w:ascii="Times New Roman" w:hAnsi="Times New Roman" w:cs="Times New Roman"/>
          <w:i/>
          <w:iCs/>
          <w:noProof/>
          <w:sz w:val="24"/>
          <w:szCs w:val="24"/>
        </w:rPr>
        <w:t>IOSR Journal of Economics and Finance</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3</w:t>
      </w:r>
      <w:r w:rsidRPr="002D410F">
        <w:rPr>
          <w:rFonts w:ascii="Times New Roman" w:hAnsi="Times New Roman" w:cs="Times New Roman"/>
          <w:noProof/>
          <w:sz w:val="24"/>
          <w:szCs w:val="24"/>
        </w:rPr>
        <w:t>(2), 19–22. https://doi.org/10.9790/5933-03211922</w:t>
      </w:r>
    </w:p>
    <w:p w14:paraId="17048CDE"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Winarso, E. (2019). Liquidity , solvency and profitability : An analysis of consumer sector companies listed on Indonesian stock exchange. </w:t>
      </w:r>
      <w:r w:rsidRPr="002D410F">
        <w:rPr>
          <w:rFonts w:ascii="Times New Roman" w:hAnsi="Times New Roman" w:cs="Times New Roman"/>
          <w:i/>
          <w:iCs/>
          <w:noProof/>
          <w:sz w:val="24"/>
          <w:szCs w:val="24"/>
        </w:rPr>
        <w:t>Journal of Emerging Issues in Economics, Finance and Banking</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8</w:t>
      </w:r>
      <w:r w:rsidRPr="002D410F">
        <w:rPr>
          <w:rFonts w:ascii="Times New Roman" w:hAnsi="Times New Roman" w:cs="Times New Roman"/>
          <w:noProof/>
          <w:sz w:val="24"/>
          <w:szCs w:val="24"/>
        </w:rPr>
        <w:t>(1), 2773–2781.</w:t>
      </w:r>
    </w:p>
    <w:p w14:paraId="249CE309"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Yameen, M. (2016). Impact of liquidity , solvency and efficiency on profitability of steel authority of India limited. </w:t>
      </w:r>
      <w:r w:rsidRPr="002D410F">
        <w:rPr>
          <w:rFonts w:ascii="Times New Roman" w:hAnsi="Times New Roman" w:cs="Times New Roman"/>
          <w:i/>
          <w:iCs/>
          <w:noProof/>
          <w:sz w:val="24"/>
          <w:szCs w:val="24"/>
        </w:rPr>
        <w:t>International Journal of Accounting Research</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2</w:t>
      </w:r>
      <w:r w:rsidRPr="002D410F">
        <w:rPr>
          <w:rFonts w:ascii="Times New Roman" w:hAnsi="Times New Roman" w:cs="Times New Roman"/>
          <w:noProof/>
          <w:sz w:val="24"/>
          <w:szCs w:val="24"/>
        </w:rPr>
        <w:t>(12), 32–41. https://doi.org/10.12816/0033281</w:t>
      </w:r>
    </w:p>
    <w:p w14:paraId="31BEA790"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Yeo, H. (2016). Solvency and Liquidity in Shipping Companies. </w:t>
      </w:r>
      <w:r w:rsidRPr="002D410F">
        <w:rPr>
          <w:rFonts w:ascii="Times New Roman" w:hAnsi="Times New Roman" w:cs="Times New Roman"/>
          <w:i/>
          <w:iCs/>
          <w:noProof/>
          <w:sz w:val="24"/>
          <w:szCs w:val="24"/>
        </w:rPr>
        <w:t>Asian Journal of Shipping and Logistics</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32</w:t>
      </w:r>
      <w:r w:rsidRPr="002D410F">
        <w:rPr>
          <w:rFonts w:ascii="Times New Roman" w:hAnsi="Times New Roman" w:cs="Times New Roman"/>
          <w:noProof/>
          <w:sz w:val="24"/>
          <w:szCs w:val="24"/>
        </w:rPr>
        <w:t>(4), 235–241. https://doi.org/10.1016/j.ajsl.2016.12.007</w:t>
      </w:r>
    </w:p>
    <w:p w14:paraId="7A2F0A3D"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szCs w:val="24"/>
        </w:rPr>
      </w:pPr>
      <w:r w:rsidRPr="002D410F">
        <w:rPr>
          <w:rFonts w:ascii="Times New Roman" w:hAnsi="Times New Roman" w:cs="Times New Roman"/>
          <w:noProof/>
          <w:sz w:val="24"/>
          <w:szCs w:val="24"/>
        </w:rPr>
        <w:t xml:space="preserve">Yusoff, H. (2017). The effect of liquidity and solvency on profitability: The case of public-listed consumer product companies in Malaysis. </w:t>
      </w:r>
      <w:r w:rsidRPr="002D410F">
        <w:rPr>
          <w:rFonts w:ascii="Times New Roman" w:hAnsi="Times New Roman" w:cs="Times New Roman"/>
          <w:i/>
          <w:iCs/>
          <w:noProof/>
          <w:sz w:val="24"/>
          <w:szCs w:val="24"/>
        </w:rPr>
        <w:t>ABA Journal</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102</w:t>
      </w:r>
      <w:r w:rsidRPr="002D410F">
        <w:rPr>
          <w:rFonts w:ascii="Times New Roman" w:hAnsi="Times New Roman" w:cs="Times New Roman"/>
          <w:noProof/>
          <w:sz w:val="24"/>
          <w:szCs w:val="24"/>
        </w:rPr>
        <w:t>(4), 24–25. https://doi.org/10.1002/ejsp.2570</w:t>
      </w:r>
    </w:p>
    <w:p w14:paraId="79A8B893" w14:textId="77777777" w:rsidR="002D410F" w:rsidRPr="002D410F" w:rsidRDefault="002D410F" w:rsidP="002D410F">
      <w:pPr>
        <w:widowControl w:val="0"/>
        <w:autoSpaceDE w:val="0"/>
        <w:autoSpaceDN w:val="0"/>
        <w:adjustRightInd w:val="0"/>
        <w:spacing w:before="240" w:line="480" w:lineRule="auto"/>
        <w:ind w:left="480" w:hanging="480"/>
        <w:rPr>
          <w:rFonts w:ascii="Times New Roman" w:hAnsi="Times New Roman" w:cs="Times New Roman"/>
          <w:noProof/>
          <w:sz w:val="24"/>
        </w:rPr>
      </w:pPr>
      <w:r w:rsidRPr="002D410F">
        <w:rPr>
          <w:rFonts w:ascii="Times New Roman" w:hAnsi="Times New Roman" w:cs="Times New Roman"/>
          <w:noProof/>
          <w:sz w:val="24"/>
          <w:szCs w:val="24"/>
        </w:rPr>
        <w:t xml:space="preserve">Zidan, K. (2020). Impact of Liquidity Management on the Profitability of Banks Operate in Palestine. </w:t>
      </w:r>
      <w:r w:rsidRPr="002D410F">
        <w:rPr>
          <w:rFonts w:ascii="Times New Roman" w:hAnsi="Times New Roman" w:cs="Times New Roman"/>
          <w:i/>
          <w:iCs/>
          <w:noProof/>
          <w:sz w:val="24"/>
          <w:szCs w:val="24"/>
        </w:rPr>
        <w:t>Journal, International Vol, Social Science</w:t>
      </w:r>
      <w:r w:rsidRPr="002D410F">
        <w:rPr>
          <w:rFonts w:ascii="Times New Roman" w:hAnsi="Times New Roman" w:cs="Times New Roman"/>
          <w:noProof/>
          <w:sz w:val="24"/>
          <w:szCs w:val="24"/>
        </w:rPr>
        <w:t xml:space="preserve">, </w:t>
      </w:r>
      <w:r w:rsidRPr="002D410F">
        <w:rPr>
          <w:rFonts w:ascii="Times New Roman" w:hAnsi="Times New Roman" w:cs="Times New Roman"/>
          <w:i/>
          <w:iCs/>
          <w:noProof/>
          <w:sz w:val="24"/>
          <w:szCs w:val="24"/>
        </w:rPr>
        <w:t>11</w:t>
      </w:r>
      <w:r w:rsidRPr="002D410F">
        <w:rPr>
          <w:rFonts w:ascii="Times New Roman" w:hAnsi="Times New Roman" w:cs="Times New Roman"/>
          <w:noProof/>
          <w:sz w:val="24"/>
          <w:szCs w:val="24"/>
        </w:rPr>
        <w:t>(1), 12–17. https://doi.org/10.30845/ijbss.v11n1p2</w:t>
      </w:r>
    </w:p>
    <w:p w14:paraId="5B2B31E3" w14:textId="6E72641F" w:rsidR="00724D10" w:rsidRPr="0022305D" w:rsidRDefault="006232A1" w:rsidP="00184D41">
      <w:pPr>
        <w:pStyle w:val="Heading1"/>
        <w:spacing w:after="160" w:line="480" w:lineRule="auto"/>
        <w:rPr>
          <w:rFonts w:asciiTheme="majorHAnsi" w:hAnsiTheme="majorHAnsi" w:cstheme="majorHAnsi"/>
          <w:iCs/>
        </w:rPr>
      </w:pPr>
      <w:r w:rsidRPr="00A564B9">
        <w:rPr>
          <w:rFonts w:asciiTheme="majorHAnsi" w:hAnsiTheme="majorHAnsi" w:cstheme="majorHAnsi"/>
          <w:iCs/>
          <w:sz w:val="24"/>
          <w:szCs w:val="24"/>
        </w:rPr>
        <w:fldChar w:fldCharType="end"/>
      </w:r>
      <w:bookmarkStart w:id="135" w:name="_Toc76494428"/>
      <w:bookmarkStart w:id="136" w:name="_Toc78205830"/>
      <w:r w:rsidR="00724D10" w:rsidRPr="0022305D">
        <w:rPr>
          <w:rFonts w:asciiTheme="majorHAnsi" w:hAnsiTheme="majorHAnsi" w:cstheme="majorHAnsi"/>
        </w:rPr>
        <w:t>APPENDICES</w:t>
      </w:r>
      <w:bookmarkEnd w:id="135"/>
      <w:bookmarkEnd w:id="136"/>
    </w:p>
    <w:p w14:paraId="2325BC77" w14:textId="77777777" w:rsidR="00724D10" w:rsidRPr="0022305D" w:rsidRDefault="00724D10" w:rsidP="00724D10">
      <w:pPr>
        <w:pStyle w:val="Heading2"/>
        <w:spacing w:line="480" w:lineRule="auto"/>
        <w:jc w:val="left"/>
        <w:rPr>
          <w:rFonts w:asciiTheme="majorHAnsi" w:hAnsiTheme="majorHAnsi" w:cstheme="majorHAnsi"/>
          <w:sz w:val="24"/>
          <w:szCs w:val="24"/>
        </w:rPr>
      </w:pPr>
      <w:bookmarkStart w:id="137" w:name="_Toc76494429"/>
      <w:bookmarkStart w:id="138" w:name="_Toc78205831"/>
      <w:r w:rsidRPr="0022305D">
        <w:rPr>
          <w:rFonts w:asciiTheme="majorHAnsi" w:hAnsiTheme="majorHAnsi" w:cstheme="majorHAnsi"/>
          <w:sz w:val="24"/>
          <w:szCs w:val="24"/>
        </w:rPr>
        <w:t xml:space="preserve">Appendix 1: </w:t>
      </w:r>
      <w:r w:rsidRPr="0022305D">
        <w:rPr>
          <w:rStyle w:val="Heading2Char"/>
          <w:rFonts w:asciiTheme="majorHAnsi" w:hAnsiTheme="majorHAnsi" w:cstheme="majorHAnsi"/>
        </w:rPr>
        <w:t>List of banks as at 31 Dec, 2020</w:t>
      </w:r>
      <w:bookmarkEnd w:id="137"/>
      <w:bookmarkEnd w:id="138"/>
    </w:p>
    <w:tbl>
      <w:tblPr>
        <w:tblW w:w="6752" w:type="dxa"/>
        <w:tblLook w:val="04A0" w:firstRow="1" w:lastRow="0" w:firstColumn="1" w:lastColumn="0" w:noHBand="0" w:noVBand="1"/>
      </w:tblPr>
      <w:tblGrid>
        <w:gridCol w:w="576"/>
        <w:gridCol w:w="4520"/>
        <w:gridCol w:w="1656"/>
      </w:tblGrid>
      <w:tr w:rsidR="00724D10" w:rsidRPr="00AE6641" w14:paraId="48A7F29E" w14:textId="77777777" w:rsidTr="00A52602">
        <w:trPr>
          <w:trHeight w:val="300"/>
        </w:trPr>
        <w:tc>
          <w:tcPr>
            <w:tcW w:w="576" w:type="dxa"/>
            <w:tcBorders>
              <w:top w:val="nil"/>
              <w:left w:val="nil"/>
              <w:bottom w:val="nil"/>
              <w:right w:val="nil"/>
            </w:tcBorders>
            <w:shd w:val="clear" w:color="auto" w:fill="auto"/>
            <w:noWrap/>
            <w:vAlign w:val="bottom"/>
            <w:hideMark/>
          </w:tcPr>
          <w:p w14:paraId="79BBE364" w14:textId="77777777" w:rsidR="00724D10" w:rsidRPr="00AE6641" w:rsidRDefault="00724D10" w:rsidP="00AE6641">
            <w:pPr>
              <w:spacing w:after="0" w:line="240" w:lineRule="auto"/>
              <w:rPr>
                <w:rFonts w:asciiTheme="majorHAnsi" w:eastAsia="Times New Roman" w:hAnsiTheme="majorHAnsi" w:cstheme="majorHAnsi"/>
                <w:sz w:val="18"/>
                <w:szCs w:val="18"/>
              </w:rPr>
            </w:pPr>
          </w:p>
        </w:tc>
        <w:tc>
          <w:tcPr>
            <w:tcW w:w="4520" w:type="dxa"/>
            <w:tcBorders>
              <w:top w:val="nil"/>
              <w:left w:val="nil"/>
              <w:bottom w:val="nil"/>
              <w:right w:val="nil"/>
            </w:tcBorders>
            <w:shd w:val="clear" w:color="auto" w:fill="auto"/>
            <w:noWrap/>
            <w:vAlign w:val="bottom"/>
            <w:hideMark/>
          </w:tcPr>
          <w:p w14:paraId="380F5C14" w14:textId="77777777" w:rsidR="00724D10" w:rsidRPr="00AE6641" w:rsidRDefault="00724D10" w:rsidP="00AE6641">
            <w:pPr>
              <w:spacing w:after="0" w:line="240" w:lineRule="auto"/>
              <w:rPr>
                <w:rFonts w:asciiTheme="majorHAnsi" w:eastAsia="Times New Roman" w:hAnsiTheme="majorHAnsi" w:cstheme="majorHAnsi"/>
                <w:b/>
                <w:bCs/>
                <w:color w:val="000000"/>
                <w:sz w:val="18"/>
                <w:szCs w:val="18"/>
                <w:u w:val="single"/>
              </w:rPr>
            </w:pPr>
          </w:p>
        </w:tc>
        <w:tc>
          <w:tcPr>
            <w:tcW w:w="1656" w:type="dxa"/>
            <w:tcBorders>
              <w:top w:val="nil"/>
              <w:left w:val="nil"/>
              <w:bottom w:val="nil"/>
              <w:right w:val="nil"/>
            </w:tcBorders>
            <w:shd w:val="clear" w:color="auto" w:fill="auto"/>
            <w:noWrap/>
            <w:vAlign w:val="bottom"/>
            <w:hideMark/>
          </w:tcPr>
          <w:p w14:paraId="404C42B5" w14:textId="77777777" w:rsidR="00724D10" w:rsidRPr="00AE6641" w:rsidRDefault="00724D10" w:rsidP="00AE6641">
            <w:pPr>
              <w:spacing w:after="0" w:line="240" w:lineRule="auto"/>
              <w:rPr>
                <w:rFonts w:asciiTheme="majorHAnsi" w:eastAsia="Times New Roman" w:hAnsiTheme="majorHAnsi" w:cstheme="majorHAnsi"/>
                <w:b/>
                <w:bCs/>
                <w:color w:val="000000"/>
                <w:sz w:val="18"/>
                <w:szCs w:val="18"/>
                <w:u w:val="single"/>
              </w:rPr>
            </w:pPr>
          </w:p>
        </w:tc>
      </w:tr>
      <w:tr w:rsidR="00724D10" w:rsidRPr="00AE6641" w14:paraId="332BAAEF" w14:textId="77777777" w:rsidTr="00A52602">
        <w:trPr>
          <w:gridAfter w:val="1"/>
          <w:wAfter w:w="1656" w:type="dxa"/>
          <w:trHeight w:val="300"/>
        </w:trPr>
        <w:tc>
          <w:tcPr>
            <w:tcW w:w="5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138192" w14:textId="77777777" w:rsidR="00724D10" w:rsidRPr="00AE6641" w:rsidRDefault="00724D10" w:rsidP="00AE6641">
            <w:pPr>
              <w:spacing w:after="0" w:line="240" w:lineRule="auto"/>
              <w:rPr>
                <w:rFonts w:asciiTheme="majorHAnsi" w:eastAsia="Times New Roman" w:hAnsiTheme="majorHAnsi" w:cstheme="majorHAnsi"/>
                <w:b/>
                <w:bCs/>
                <w:color w:val="000000"/>
                <w:sz w:val="18"/>
                <w:szCs w:val="18"/>
              </w:rPr>
            </w:pPr>
            <w:r w:rsidRPr="00AE6641">
              <w:rPr>
                <w:rFonts w:asciiTheme="majorHAnsi" w:eastAsia="Times New Roman" w:hAnsiTheme="majorHAnsi" w:cstheme="majorHAnsi"/>
                <w:b/>
                <w:bCs/>
                <w:color w:val="000000"/>
                <w:sz w:val="18"/>
                <w:szCs w:val="18"/>
              </w:rPr>
              <w:t>NO</w:t>
            </w:r>
          </w:p>
        </w:tc>
        <w:tc>
          <w:tcPr>
            <w:tcW w:w="4520" w:type="dxa"/>
            <w:tcBorders>
              <w:top w:val="single" w:sz="4" w:space="0" w:color="auto"/>
              <w:left w:val="nil"/>
              <w:bottom w:val="single" w:sz="4" w:space="0" w:color="auto"/>
              <w:right w:val="single" w:sz="4" w:space="0" w:color="auto"/>
            </w:tcBorders>
            <w:shd w:val="clear" w:color="auto" w:fill="auto"/>
            <w:noWrap/>
            <w:vAlign w:val="bottom"/>
            <w:hideMark/>
          </w:tcPr>
          <w:p w14:paraId="7D5EA6A3" w14:textId="77777777" w:rsidR="00724D10" w:rsidRPr="00AE6641" w:rsidRDefault="00724D10" w:rsidP="00AE6641">
            <w:pPr>
              <w:spacing w:after="0" w:line="240" w:lineRule="auto"/>
              <w:rPr>
                <w:rFonts w:asciiTheme="majorHAnsi" w:eastAsia="Times New Roman" w:hAnsiTheme="majorHAnsi" w:cstheme="majorHAnsi"/>
                <w:b/>
                <w:bCs/>
                <w:color w:val="000000"/>
                <w:sz w:val="18"/>
                <w:szCs w:val="18"/>
              </w:rPr>
            </w:pPr>
            <w:r w:rsidRPr="00AE6641">
              <w:rPr>
                <w:rFonts w:asciiTheme="majorHAnsi" w:eastAsia="Times New Roman" w:hAnsiTheme="majorHAnsi" w:cstheme="majorHAnsi"/>
                <w:b/>
                <w:bCs/>
                <w:color w:val="000000"/>
                <w:sz w:val="18"/>
                <w:szCs w:val="18"/>
              </w:rPr>
              <w:t>BANK</w:t>
            </w:r>
          </w:p>
        </w:tc>
      </w:tr>
      <w:tr w:rsidR="00724D10" w:rsidRPr="00AE6641" w14:paraId="1655F9FA"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D496612"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1</w:t>
            </w:r>
          </w:p>
        </w:tc>
        <w:tc>
          <w:tcPr>
            <w:tcW w:w="4520" w:type="dxa"/>
            <w:tcBorders>
              <w:top w:val="nil"/>
              <w:left w:val="nil"/>
              <w:bottom w:val="single" w:sz="4" w:space="0" w:color="auto"/>
              <w:right w:val="single" w:sz="4" w:space="0" w:color="auto"/>
            </w:tcBorders>
            <w:shd w:val="clear" w:color="auto" w:fill="auto"/>
            <w:noWrap/>
            <w:vAlign w:val="bottom"/>
            <w:hideMark/>
          </w:tcPr>
          <w:p w14:paraId="73DD92CF"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African Banking Corporation Ltd</w:t>
            </w:r>
          </w:p>
        </w:tc>
      </w:tr>
      <w:tr w:rsidR="00724D10" w:rsidRPr="00AE6641" w14:paraId="46CDD083"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B639926"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2</w:t>
            </w:r>
          </w:p>
        </w:tc>
        <w:tc>
          <w:tcPr>
            <w:tcW w:w="4520" w:type="dxa"/>
            <w:tcBorders>
              <w:top w:val="nil"/>
              <w:left w:val="nil"/>
              <w:bottom w:val="single" w:sz="4" w:space="0" w:color="auto"/>
              <w:right w:val="single" w:sz="4" w:space="0" w:color="auto"/>
            </w:tcBorders>
            <w:shd w:val="clear" w:color="auto" w:fill="auto"/>
            <w:noWrap/>
            <w:vAlign w:val="bottom"/>
            <w:hideMark/>
          </w:tcPr>
          <w:p w14:paraId="36F742E3"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Bank of Africa (K) Ltd</w:t>
            </w:r>
          </w:p>
        </w:tc>
      </w:tr>
      <w:tr w:rsidR="00724D10" w:rsidRPr="00AE6641" w14:paraId="2278D00A"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0C50775"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3</w:t>
            </w:r>
          </w:p>
        </w:tc>
        <w:tc>
          <w:tcPr>
            <w:tcW w:w="4520" w:type="dxa"/>
            <w:tcBorders>
              <w:top w:val="nil"/>
              <w:left w:val="nil"/>
              <w:bottom w:val="single" w:sz="4" w:space="0" w:color="auto"/>
              <w:right w:val="single" w:sz="4" w:space="0" w:color="auto"/>
            </w:tcBorders>
            <w:shd w:val="clear" w:color="auto" w:fill="auto"/>
            <w:noWrap/>
            <w:vAlign w:val="bottom"/>
            <w:hideMark/>
          </w:tcPr>
          <w:p w14:paraId="01BBF37E"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Bank of Baroda (Kenya) Limited</w:t>
            </w:r>
          </w:p>
        </w:tc>
      </w:tr>
      <w:tr w:rsidR="00724D10" w:rsidRPr="00AE6641" w14:paraId="6136F018"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FD1CA02"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4</w:t>
            </w:r>
          </w:p>
        </w:tc>
        <w:tc>
          <w:tcPr>
            <w:tcW w:w="4520" w:type="dxa"/>
            <w:tcBorders>
              <w:top w:val="nil"/>
              <w:left w:val="nil"/>
              <w:bottom w:val="single" w:sz="4" w:space="0" w:color="auto"/>
              <w:right w:val="single" w:sz="4" w:space="0" w:color="auto"/>
            </w:tcBorders>
            <w:shd w:val="clear" w:color="auto" w:fill="auto"/>
            <w:noWrap/>
            <w:vAlign w:val="bottom"/>
            <w:hideMark/>
          </w:tcPr>
          <w:p w14:paraId="7E3F65F2"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Bank of India</w:t>
            </w:r>
          </w:p>
        </w:tc>
      </w:tr>
      <w:tr w:rsidR="00724D10" w:rsidRPr="00AE6641" w14:paraId="3E80779A"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3A5BA3D"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5</w:t>
            </w:r>
          </w:p>
        </w:tc>
        <w:tc>
          <w:tcPr>
            <w:tcW w:w="4520" w:type="dxa"/>
            <w:tcBorders>
              <w:top w:val="nil"/>
              <w:left w:val="nil"/>
              <w:bottom w:val="single" w:sz="4" w:space="0" w:color="auto"/>
              <w:right w:val="single" w:sz="4" w:space="0" w:color="auto"/>
            </w:tcBorders>
            <w:shd w:val="clear" w:color="auto" w:fill="auto"/>
            <w:noWrap/>
            <w:vAlign w:val="bottom"/>
            <w:hideMark/>
          </w:tcPr>
          <w:p w14:paraId="57E670C1"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Barclays Bank of Kenya Ltd</w:t>
            </w:r>
          </w:p>
        </w:tc>
      </w:tr>
      <w:tr w:rsidR="00724D10" w:rsidRPr="00AE6641" w14:paraId="5B810DD3"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1792077"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6</w:t>
            </w:r>
          </w:p>
        </w:tc>
        <w:tc>
          <w:tcPr>
            <w:tcW w:w="4520" w:type="dxa"/>
            <w:tcBorders>
              <w:top w:val="nil"/>
              <w:left w:val="nil"/>
              <w:bottom w:val="single" w:sz="4" w:space="0" w:color="auto"/>
              <w:right w:val="single" w:sz="4" w:space="0" w:color="auto"/>
            </w:tcBorders>
            <w:shd w:val="clear" w:color="auto" w:fill="auto"/>
            <w:noWrap/>
            <w:vAlign w:val="bottom"/>
            <w:hideMark/>
          </w:tcPr>
          <w:p w14:paraId="7EDF670B"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Charterhouse Bank Ltd*</w:t>
            </w:r>
          </w:p>
        </w:tc>
      </w:tr>
      <w:tr w:rsidR="00724D10" w:rsidRPr="00AE6641" w14:paraId="4E4E2441"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0FC492C"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7</w:t>
            </w:r>
          </w:p>
        </w:tc>
        <w:tc>
          <w:tcPr>
            <w:tcW w:w="4520" w:type="dxa"/>
            <w:tcBorders>
              <w:top w:val="nil"/>
              <w:left w:val="nil"/>
              <w:bottom w:val="single" w:sz="4" w:space="0" w:color="auto"/>
              <w:right w:val="single" w:sz="4" w:space="0" w:color="auto"/>
            </w:tcBorders>
            <w:shd w:val="clear" w:color="auto" w:fill="auto"/>
            <w:noWrap/>
            <w:vAlign w:val="bottom"/>
            <w:hideMark/>
          </w:tcPr>
          <w:p w14:paraId="698FD793"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Chase Bank (K) Ltd**</w:t>
            </w:r>
          </w:p>
        </w:tc>
      </w:tr>
      <w:tr w:rsidR="00724D10" w:rsidRPr="00AE6641" w14:paraId="63222E5C"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6D1AE9A"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8</w:t>
            </w:r>
          </w:p>
        </w:tc>
        <w:tc>
          <w:tcPr>
            <w:tcW w:w="4520" w:type="dxa"/>
            <w:tcBorders>
              <w:top w:val="nil"/>
              <w:left w:val="nil"/>
              <w:bottom w:val="single" w:sz="4" w:space="0" w:color="auto"/>
              <w:right w:val="single" w:sz="4" w:space="0" w:color="auto"/>
            </w:tcBorders>
            <w:shd w:val="clear" w:color="auto" w:fill="auto"/>
            <w:noWrap/>
            <w:vAlign w:val="bottom"/>
            <w:hideMark/>
          </w:tcPr>
          <w:p w14:paraId="55240D61"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Citibank N.A. Kenya</w:t>
            </w:r>
          </w:p>
        </w:tc>
      </w:tr>
      <w:tr w:rsidR="00724D10" w:rsidRPr="00AE6641" w14:paraId="24FFD978"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1595D62"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9</w:t>
            </w:r>
          </w:p>
        </w:tc>
        <w:tc>
          <w:tcPr>
            <w:tcW w:w="4520" w:type="dxa"/>
            <w:tcBorders>
              <w:top w:val="nil"/>
              <w:left w:val="nil"/>
              <w:bottom w:val="single" w:sz="4" w:space="0" w:color="auto"/>
              <w:right w:val="single" w:sz="4" w:space="0" w:color="auto"/>
            </w:tcBorders>
            <w:shd w:val="clear" w:color="auto" w:fill="auto"/>
            <w:noWrap/>
            <w:vAlign w:val="bottom"/>
            <w:hideMark/>
          </w:tcPr>
          <w:p w14:paraId="4C6049E6"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Commercial Bank of Africa Limited</w:t>
            </w:r>
          </w:p>
        </w:tc>
      </w:tr>
      <w:tr w:rsidR="00724D10" w:rsidRPr="00AE6641" w14:paraId="67232BE2"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6468D11"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10</w:t>
            </w:r>
          </w:p>
        </w:tc>
        <w:tc>
          <w:tcPr>
            <w:tcW w:w="4520" w:type="dxa"/>
            <w:tcBorders>
              <w:top w:val="nil"/>
              <w:left w:val="nil"/>
              <w:bottom w:val="single" w:sz="4" w:space="0" w:color="auto"/>
              <w:right w:val="single" w:sz="4" w:space="0" w:color="auto"/>
            </w:tcBorders>
            <w:shd w:val="clear" w:color="auto" w:fill="auto"/>
            <w:noWrap/>
            <w:vAlign w:val="bottom"/>
            <w:hideMark/>
          </w:tcPr>
          <w:p w14:paraId="5B9E68B1"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Consolidated Bank of Kenya Limited</w:t>
            </w:r>
          </w:p>
        </w:tc>
      </w:tr>
      <w:tr w:rsidR="00724D10" w:rsidRPr="00AE6641" w14:paraId="3BCCCE71"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B577849"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11</w:t>
            </w:r>
          </w:p>
        </w:tc>
        <w:tc>
          <w:tcPr>
            <w:tcW w:w="4520" w:type="dxa"/>
            <w:tcBorders>
              <w:top w:val="nil"/>
              <w:left w:val="nil"/>
              <w:bottom w:val="single" w:sz="4" w:space="0" w:color="auto"/>
              <w:right w:val="single" w:sz="4" w:space="0" w:color="auto"/>
            </w:tcBorders>
            <w:shd w:val="clear" w:color="auto" w:fill="auto"/>
            <w:noWrap/>
            <w:vAlign w:val="bottom"/>
            <w:hideMark/>
          </w:tcPr>
          <w:p w14:paraId="75AE53AB"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Co-operative Bank of Kenya Ltd</w:t>
            </w:r>
          </w:p>
        </w:tc>
      </w:tr>
      <w:tr w:rsidR="00724D10" w:rsidRPr="00AE6641" w14:paraId="402D8F44"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B18A0B0"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12</w:t>
            </w:r>
          </w:p>
        </w:tc>
        <w:tc>
          <w:tcPr>
            <w:tcW w:w="4520" w:type="dxa"/>
            <w:tcBorders>
              <w:top w:val="nil"/>
              <w:left w:val="nil"/>
              <w:bottom w:val="single" w:sz="4" w:space="0" w:color="auto"/>
              <w:right w:val="single" w:sz="4" w:space="0" w:color="auto"/>
            </w:tcBorders>
            <w:shd w:val="clear" w:color="auto" w:fill="auto"/>
            <w:noWrap/>
            <w:vAlign w:val="bottom"/>
            <w:hideMark/>
          </w:tcPr>
          <w:p w14:paraId="3AD95F66"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Credit Bank Ltd</w:t>
            </w:r>
          </w:p>
        </w:tc>
      </w:tr>
      <w:tr w:rsidR="00724D10" w:rsidRPr="00AE6641" w14:paraId="5464C3D6"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EDDFAEC"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13</w:t>
            </w:r>
          </w:p>
        </w:tc>
        <w:tc>
          <w:tcPr>
            <w:tcW w:w="4520" w:type="dxa"/>
            <w:tcBorders>
              <w:top w:val="nil"/>
              <w:left w:val="nil"/>
              <w:bottom w:val="single" w:sz="4" w:space="0" w:color="auto"/>
              <w:right w:val="single" w:sz="4" w:space="0" w:color="auto"/>
            </w:tcBorders>
            <w:shd w:val="clear" w:color="auto" w:fill="auto"/>
            <w:noWrap/>
            <w:vAlign w:val="bottom"/>
            <w:hideMark/>
          </w:tcPr>
          <w:p w14:paraId="14EFF3B3"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Development Bank of Kenya Ltd</w:t>
            </w:r>
          </w:p>
        </w:tc>
      </w:tr>
      <w:tr w:rsidR="00724D10" w:rsidRPr="00AE6641" w14:paraId="00909CF8"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8B9D038"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14</w:t>
            </w:r>
          </w:p>
        </w:tc>
        <w:tc>
          <w:tcPr>
            <w:tcW w:w="4520" w:type="dxa"/>
            <w:tcBorders>
              <w:top w:val="nil"/>
              <w:left w:val="nil"/>
              <w:bottom w:val="single" w:sz="4" w:space="0" w:color="auto"/>
              <w:right w:val="single" w:sz="4" w:space="0" w:color="auto"/>
            </w:tcBorders>
            <w:shd w:val="clear" w:color="auto" w:fill="auto"/>
            <w:noWrap/>
            <w:vAlign w:val="bottom"/>
            <w:hideMark/>
          </w:tcPr>
          <w:p w14:paraId="4B75C843"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Diamond Trust Bank Kenya Limited</w:t>
            </w:r>
          </w:p>
        </w:tc>
      </w:tr>
      <w:tr w:rsidR="00724D10" w:rsidRPr="00AE6641" w14:paraId="5B342162"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6E2756A"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15</w:t>
            </w:r>
          </w:p>
        </w:tc>
        <w:tc>
          <w:tcPr>
            <w:tcW w:w="4520" w:type="dxa"/>
            <w:tcBorders>
              <w:top w:val="nil"/>
              <w:left w:val="nil"/>
              <w:bottom w:val="single" w:sz="4" w:space="0" w:color="auto"/>
              <w:right w:val="single" w:sz="4" w:space="0" w:color="auto"/>
            </w:tcBorders>
            <w:shd w:val="clear" w:color="auto" w:fill="auto"/>
            <w:noWrap/>
            <w:vAlign w:val="bottom"/>
            <w:hideMark/>
          </w:tcPr>
          <w:p w14:paraId="78BF3A7F"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DIB Bank Kenya Ltd</w:t>
            </w:r>
          </w:p>
        </w:tc>
      </w:tr>
      <w:tr w:rsidR="00724D10" w:rsidRPr="00AE6641" w14:paraId="40C69440"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9F18131"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16</w:t>
            </w:r>
          </w:p>
        </w:tc>
        <w:tc>
          <w:tcPr>
            <w:tcW w:w="4520" w:type="dxa"/>
            <w:tcBorders>
              <w:top w:val="nil"/>
              <w:left w:val="nil"/>
              <w:bottom w:val="single" w:sz="4" w:space="0" w:color="auto"/>
              <w:right w:val="single" w:sz="4" w:space="0" w:color="auto"/>
            </w:tcBorders>
            <w:shd w:val="clear" w:color="auto" w:fill="auto"/>
            <w:noWrap/>
            <w:vAlign w:val="bottom"/>
            <w:hideMark/>
          </w:tcPr>
          <w:p w14:paraId="40F637C7"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Ecobank Kenya Ltd</w:t>
            </w:r>
          </w:p>
        </w:tc>
      </w:tr>
      <w:tr w:rsidR="00724D10" w:rsidRPr="00AE6641" w14:paraId="66881C2A"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D32359E"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17</w:t>
            </w:r>
          </w:p>
        </w:tc>
        <w:tc>
          <w:tcPr>
            <w:tcW w:w="4520" w:type="dxa"/>
            <w:tcBorders>
              <w:top w:val="nil"/>
              <w:left w:val="nil"/>
              <w:bottom w:val="single" w:sz="4" w:space="0" w:color="auto"/>
              <w:right w:val="single" w:sz="4" w:space="0" w:color="auto"/>
            </w:tcBorders>
            <w:shd w:val="clear" w:color="auto" w:fill="auto"/>
            <w:noWrap/>
            <w:vAlign w:val="bottom"/>
            <w:hideMark/>
          </w:tcPr>
          <w:p w14:paraId="2A3FA420"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Equity Bank Kenya Ltd</w:t>
            </w:r>
          </w:p>
        </w:tc>
      </w:tr>
      <w:tr w:rsidR="00724D10" w:rsidRPr="00AE6641" w14:paraId="2B41D3A5"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EAD6E79"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18</w:t>
            </w:r>
          </w:p>
        </w:tc>
        <w:tc>
          <w:tcPr>
            <w:tcW w:w="4520" w:type="dxa"/>
            <w:tcBorders>
              <w:top w:val="nil"/>
              <w:left w:val="nil"/>
              <w:bottom w:val="single" w:sz="4" w:space="0" w:color="auto"/>
              <w:right w:val="single" w:sz="4" w:space="0" w:color="auto"/>
            </w:tcBorders>
            <w:shd w:val="clear" w:color="auto" w:fill="auto"/>
            <w:noWrap/>
            <w:vAlign w:val="bottom"/>
            <w:hideMark/>
          </w:tcPr>
          <w:p w14:paraId="2E73CB0F"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Family Bank Ltd.</w:t>
            </w:r>
          </w:p>
        </w:tc>
      </w:tr>
      <w:tr w:rsidR="00724D10" w:rsidRPr="00AE6641" w14:paraId="0FF2D87A"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17612893"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19</w:t>
            </w:r>
          </w:p>
        </w:tc>
        <w:tc>
          <w:tcPr>
            <w:tcW w:w="4520" w:type="dxa"/>
            <w:tcBorders>
              <w:top w:val="nil"/>
              <w:left w:val="nil"/>
              <w:bottom w:val="single" w:sz="4" w:space="0" w:color="auto"/>
              <w:right w:val="single" w:sz="4" w:space="0" w:color="auto"/>
            </w:tcBorders>
            <w:shd w:val="clear" w:color="auto" w:fill="auto"/>
            <w:noWrap/>
            <w:vAlign w:val="bottom"/>
            <w:hideMark/>
          </w:tcPr>
          <w:p w14:paraId="055E5BC2"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First Community Bank Ltd</w:t>
            </w:r>
          </w:p>
        </w:tc>
      </w:tr>
      <w:tr w:rsidR="00724D10" w:rsidRPr="00AE6641" w14:paraId="6C68BDE5"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267803B"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20</w:t>
            </w:r>
          </w:p>
        </w:tc>
        <w:tc>
          <w:tcPr>
            <w:tcW w:w="4520" w:type="dxa"/>
            <w:tcBorders>
              <w:top w:val="nil"/>
              <w:left w:val="nil"/>
              <w:bottom w:val="single" w:sz="4" w:space="0" w:color="auto"/>
              <w:right w:val="single" w:sz="4" w:space="0" w:color="auto"/>
            </w:tcBorders>
            <w:shd w:val="clear" w:color="auto" w:fill="auto"/>
            <w:noWrap/>
            <w:vAlign w:val="bottom"/>
            <w:hideMark/>
          </w:tcPr>
          <w:p w14:paraId="07AF5551"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Guaranty Trust Bank Ltd</w:t>
            </w:r>
          </w:p>
        </w:tc>
      </w:tr>
      <w:tr w:rsidR="00724D10" w:rsidRPr="00AE6641" w14:paraId="33291B13"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949E03F"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21</w:t>
            </w:r>
          </w:p>
        </w:tc>
        <w:tc>
          <w:tcPr>
            <w:tcW w:w="4520" w:type="dxa"/>
            <w:tcBorders>
              <w:top w:val="nil"/>
              <w:left w:val="nil"/>
              <w:bottom w:val="single" w:sz="4" w:space="0" w:color="auto"/>
              <w:right w:val="single" w:sz="4" w:space="0" w:color="auto"/>
            </w:tcBorders>
            <w:shd w:val="clear" w:color="auto" w:fill="auto"/>
            <w:noWrap/>
            <w:vAlign w:val="bottom"/>
            <w:hideMark/>
          </w:tcPr>
          <w:p w14:paraId="722C93A5"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Guardian Bank Limited</w:t>
            </w:r>
          </w:p>
        </w:tc>
      </w:tr>
      <w:tr w:rsidR="00724D10" w:rsidRPr="00AE6641" w14:paraId="56C63CAE"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B0084BD"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22</w:t>
            </w:r>
          </w:p>
        </w:tc>
        <w:tc>
          <w:tcPr>
            <w:tcW w:w="4520" w:type="dxa"/>
            <w:tcBorders>
              <w:top w:val="nil"/>
              <w:left w:val="nil"/>
              <w:bottom w:val="single" w:sz="4" w:space="0" w:color="auto"/>
              <w:right w:val="single" w:sz="4" w:space="0" w:color="auto"/>
            </w:tcBorders>
            <w:shd w:val="clear" w:color="auto" w:fill="auto"/>
            <w:noWrap/>
            <w:vAlign w:val="bottom"/>
            <w:hideMark/>
          </w:tcPr>
          <w:p w14:paraId="6DF12285"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Gulf African Bank Ltd</w:t>
            </w:r>
          </w:p>
        </w:tc>
      </w:tr>
      <w:tr w:rsidR="00724D10" w:rsidRPr="00AE6641" w14:paraId="5780780D"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E12BC80"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23</w:t>
            </w:r>
          </w:p>
        </w:tc>
        <w:tc>
          <w:tcPr>
            <w:tcW w:w="4520" w:type="dxa"/>
            <w:tcBorders>
              <w:top w:val="nil"/>
              <w:left w:val="nil"/>
              <w:bottom w:val="single" w:sz="4" w:space="0" w:color="auto"/>
              <w:right w:val="single" w:sz="4" w:space="0" w:color="auto"/>
            </w:tcBorders>
            <w:shd w:val="clear" w:color="auto" w:fill="auto"/>
            <w:noWrap/>
            <w:vAlign w:val="bottom"/>
            <w:hideMark/>
          </w:tcPr>
          <w:p w14:paraId="7FD63371"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Habib Bank AG Zurich</w:t>
            </w:r>
          </w:p>
        </w:tc>
      </w:tr>
      <w:tr w:rsidR="00724D10" w:rsidRPr="00AE6641" w14:paraId="291341C7"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68A6A41"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24</w:t>
            </w:r>
          </w:p>
        </w:tc>
        <w:tc>
          <w:tcPr>
            <w:tcW w:w="4520" w:type="dxa"/>
            <w:tcBorders>
              <w:top w:val="nil"/>
              <w:left w:val="nil"/>
              <w:bottom w:val="single" w:sz="4" w:space="0" w:color="auto"/>
              <w:right w:val="single" w:sz="4" w:space="0" w:color="auto"/>
            </w:tcBorders>
            <w:shd w:val="clear" w:color="auto" w:fill="auto"/>
            <w:noWrap/>
            <w:vAlign w:val="bottom"/>
            <w:hideMark/>
          </w:tcPr>
          <w:p w14:paraId="371B3028"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HFC Ltd</w:t>
            </w:r>
          </w:p>
        </w:tc>
      </w:tr>
      <w:tr w:rsidR="00724D10" w:rsidRPr="00AE6641" w14:paraId="2C294B9D"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2CF4190"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25</w:t>
            </w:r>
          </w:p>
        </w:tc>
        <w:tc>
          <w:tcPr>
            <w:tcW w:w="4520" w:type="dxa"/>
            <w:tcBorders>
              <w:top w:val="nil"/>
              <w:left w:val="nil"/>
              <w:bottom w:val="single" w:sz="4" w:space="0" w:color="auto"/>
              <w:right w:val="single" w:sz="4" w:space="0" w:color="auto"/>
            </w:tcBorders>
            <w:shd w:val="clear" w:color="auto" w:fill="auto"/>
            <w:noWrap/>
            <w:vAlign w:val="bottom"/>
            <w:hideMark/>
          </w:tcPr>
          <w:p w14:paraId="44131C16"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I &amp; M Bank Ltd</w:t>
            </w:r>
          </w:p>
        </w:tc>
      </w:tr>
      <w:tr w:rsidR="00724D10" w:rsidRPr="00AE6641" w14:paraId="57BB3BEE"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74694C9"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26</w:t>
            </w:r>
          </w:p>
        </w:tc>
        <w:tc>
          <w:tcPr>
            <w:tcW w:w="4520" w:type="dxa"/>
            <w:tcBorders>
              <w:top w:val="nil"/>
              <w:left w:val="nil"/>
              <w:bottom w:val="single" w:sz="4" w:space="0" w:color="auto"/>
              <w:right w:val="single" w:sz="4" w:space="0" w:color="auto"/>
            </w:tcBorders>
            <w:shd w:val="clear" w:color="auto" w:fill="auto"/>
            <w:noWrap/>
            <w:vAlign w:val="bottom"/>
            <w:hideMark/>
          </w:tcPr>
          <w:p w14:paraId="79C6B92F"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Imperial Bank Ltd**</w:t>
            </w:r>
          </w:p>
        </w:tc>
      </w:tr>
      <w:tr w:rsidR="00724D10" w:rsidRPr="00AE6641" w14:paraId="548E331E"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4F6FD0A"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27</w:t>
            </w:r>
          </w:p>
        </w:tc>
        <w:tc>
          <w:tcPr>
            <w:tcW w:w="4520" w:type="dxa"/>
            <w:tcBorders>
              <w:top w:val="nil"/>
              <w:left w:val="nil"/>
              <w:bottom w:val="single" w:sz="4" w:space="0" w:color="auto"/>
              <w:right w:val="single" w:sz="4" w:space="0" w:color="auto"/>
            </w:tcBorders>
            <w:shd w:val="clear" w:color="auto" w:fill="auto"/>
            <w:noWrap/>
            <w:vAlign w:val="bottom"/>
            <w:hideMark/>
          </w:tcPr>
          <w:p w14:paraId="525651D5"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Jamii Bora Bank Ltd</w:t>
            </w:r>
          </w:p>
        </w:tc>
      </w:tr>
      <w:tr w:rsidR="00724D10" w:rsidRPr="00AE6641" w14:paraId="3FEBB934"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6E4BDE76"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28</w:t>
            </w:r>
          </w:p>
        </w:tc>
        <w:tc>
          <w:tcPr>
            <w:tcW w:w="4520" w:type="dxa"/>
            <w:tcBorders>
              <w:top w:val="nil"/>
              <w:left w:val="nil"/>
              <w:bottom w:val="single" w:sz="4" w:space="0" w:color="auto"/>
              <w:right w:val="single" w:sz="4" w:space="0" w:color="auto"/>
            </w:tcBorders>
            <w:shd w:val="clear" w:color="auto" w:fill="auto"/>
            <w:noWrap/>
            <w:vAlign w:val="bottom"/>
            <w:hideMark/>
          </w:tcPr>
          <w:p w14:paraId="6FA24987"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KCB Bank Kenya Ltd</w:t>
            </w:r>
          </w:p>
        </w:tc>
      </w:tr>
      <w:tr w:rsidR="00724D10" w:rsidRPr="00AE6641" w14:paraId="64272BA9"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12CCECA"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29</w:t>
            </w:r>
          </w:p>
        </w:tc>
        <w:tc>
          <w:tcPr>
            <w:tcW w:w="4520" w:type="dxa"/>
            <w:tcBorders>
              <w:top w:val="nil"/>
              <w:left w:val="nil"/>
              <w:bottom w:val="single" w:sz="4" w:space="0" w:color="auto"/>
              <w:right w:val="single" w:sz="4" w:space="0" w:color="auto"/>
            </w:tcBorders>
            <w:shd w:val="clear" w:color="auto" w:fill="auto"/>
            <w:noWrap/>
            <w:vAlign w:val="bottom"/>
            <w:hideMark/>
          </w:tcPr>
          <w:p w14:paraId="3F05FF7D"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Mayfair Bank Ltd</w:t>
            </w:r>
          </w:p>
        </w:tc>
      </w:tr>
      <w:tr w:rsidR="00724D10" w:rsidRPr="00AE6641" w14:paraId="218EB2CA"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DC2D6A6"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30</w:t>
            </w:r>
          </w:p>
        </w:tc>
        <w:tc>
          <w:tcPr>
            <w:tcW w:w="4520" w:type="dxa"/>
            <w:tcBorders>
              <w:top w:val="nil"/>
              <w:left w:val="nil"/>
              <w:bottom w:val="single" w:sz="4" w:space="0" w:color="auto"/>
              <w:right w:val="single" w:sz="4" w:space="0" w:color="auto"/>
            </w:tcBorders>
            <w:shd w:val="clear" w:color="auto" w:fill="auto"/>
            <w:noWrap/>
            <w:vAlign w:val="bottom"/>
            <w:hideMark/>
          </w:tcPr>
          <w:p w14:paraId="46B1797E"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Middle East Bank (K) Ltd</w:t>
            </w:r>
          </w:p>
        </w:tc>
      </w:tr>
      <w:tr w:rsidR="00724D10" w:rsidRPr="00AE6641" w14:paraId="44FD6CB2"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A6DA4F4"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31</w:t>
            </w:r>
          </w:p>
        </w:tc>
        <w:tc>
          <w:tcPr>
            <w:tcW w:w="4520" w:type="dxa"/>
            <w:tcBorders>
              <w:top w:val="nil"/>
              <w:left w:val="nil"/>
              <w:bottom w:val="single" w:sz="4" w:space="0" w:color="auto"/>
              <w:right w:val="single" w:sz="4" w:space="0" w:color="auto"/>
            </w:tcBorders>
            <w:shd w:val="clear" w:color="auto" w:fill="auto"/>
            <w:noWrap/>
            <w:vAlign w:val="bottom"/>
            <w:hideMark/>
          </w:tcPr>
          <w:p w14:paraId="5B5E1FF9"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M-Oriental Commercial Bank Ltd</w:t>
            </w:r>
          </w:p>
        </w:tc>
      </w:tr>
      <w:tr w:rsidR="00724D10" w:rsidRPr="00AE6641" w14:paraId="37C53C77"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93FCF51"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32</w:t>
            </w:r>
          </w:p>
        </w:tc>
        <w:tc>
          <w:tcPr>
            <w:tcW w:w="4520" w:type="dxa"/>
            <w:tcBorders>
              <w:top w:val="nil"/>
              <w:left w:val="nil"/>
              <w:bottom w:val="single" w:sz="4" w:space="0" w:color="auto"/>
              <w:right w:val="single" w:sz="4" w:space="0" w:color="auto"/>
            </w:tcBorders>
            <w:shd w:val="clear" w:color="auto" w:fill="auto"/>
            <w:noWrap/>
            <w:vAlign w:val="bottom"/>
            <w:hideMark/>
          </w:tcPr>
          <w:p w14:paraId="30012A6C"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National Bank of Kenya Ltd</w:t>
            </w:r>
          </w:p>
        </w:tc>
      </w:tr>
      <w:tr w:rsidR="00724D10" w:rsidRPr="00AE6641" w14:paraId="5136736E"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4AD62CB"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33</w:t>
            </w:r>
          </w:p>
        </w:tc>
        <w:tc>
          <w:tcPr>
            <w:tcW w:w="4520" w:type="dxa"/>
            <w:tcBorders>
              <w:top w:val="nil"/>
              <w:left w:val="nil"/>
              <w:bottom w:val="single" w:sz="4" w:space="0" w:color="auto"/>
              <w:right w:val="single" w:sz="4" w:space="0" w:color="auto"/>
            </w:tcBorders>
            <w:shd w:val="clear" w:color="auto" w:fill="auto"/>
            <w:noWrap/>
            <w:vAlign w:val="bottom"/>
            <w:hideMark/>
          </w:tcPr>
          <w:p w14:paraId="2AB3DD1D"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NIC Bank PLC</w:t>
            </w:r>
          </w:p>
        </w:tc>
      </w:tr>
      <w:tr w:rsidR="00724D10" w:rsidRPr="00AE6641" w14:paraId="4F276EFB"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0F73142"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34</w:t>
            </w:r>
          </w:p>
        </w:tc>
        <w:tc>
          <w:tcPr>
            <w:tcW w:w="4520" w:type="dxa"/>
            <w:tcBorders>
              <w:top w:val="nil"/>
              <w:left w:val="nil"/>
              <w:bottom w:val="single" w:sz="4" w:space="0" w:color="auto"/>
              <w:right w:val="single" w:sz="4" w:space="0" w:color="auto"/>
            </w:tcBorders>
            <w:shd w:val="clear" w:color="auto" w:fill="auto"/>
            <w:noWrap/>
            <w:vAlign w:val="bottom"/>
            <w:hideMark/>
          </w:tcPr>
          <w:p w14:paraId="162972D7"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Paramount Bank Ltd</w:t>
            </w:r>
          </w:p>
        </w:tc>
      </w:tr>
      <w:tr w:rsidR="00724D10" w:rsidRPr="00AE6641" w14:paraId="00AB8441"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36D97AF6"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35</w:t>
            </w:r>
          </w:p>
        </w:tc>
        <w:tc>
          <w:tcPr>
            <w:tcW w:w="4520" w:type="dxa"/>
            <w:tcBorders>
              <w:top w:val="nil"/>
              <w:left w:val="nil"/>
              <w:bottom w:val="single" w:sz="4" w:space="0" w:color="auto"/>
              <w:right w:val="single" w:sz="4" w:space="0" w:color="auto"/>
            </w:tcBorders>
            <w:shd w:val="clear" w:color="auto" w:fill="auto"/>
            <w:noWrap/>
            <w:vAlign w:val="bottom"/>
            <w:hideMark/>
          </w:tcPr>
          <w:p w14:paraId="504EF8CC"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Prime Bank Ltd</w:t>
            </w:r>
          </w:p>
        </w:tc>
      </w:tr>
      <w:tr w:rsidR="00724D10" w:rsidRPr="00AE6641" w14:paraId="0B16F3A0"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EFD526E"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36</w:t>
            </w:r>
          </w:p>
        </w:tc>
        <w:tc>
          <w:tcPr>
            <w:tcW w:w="4520" w:type="dxa"/>
            <w:tcBorders>
              <w:top w:val="nil"/>
              <w:left w:val="nil"/>
              <w:bottom w:val="single" w:sz="4" w:space="0" w:color="auto"/>
              <w:right w:val="single" w:sz="4" w:space="0" w:color="auto"/>
            </w:tcBorders>
            <w:shd w:val="clear" w:color="auto" w:fill="auto"/>
            <w:noWrap/>
            <w:vAlign w:val="bottom"/>
            <w:hideMark/>
          </w:tcPr>
          <w:p w14:paraId="6750353B"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SBM Bank Kenya Ltd</w:t>
            </w:r>
          </w:p>
        </w:tc>
      </w:tr>
      <w:tr w:rsidR="00724D10" w:rsidRPr="00AE6641" w14:paraId="2DF64A9E"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0A8CF6C7"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37</w:t>
            </w:r>
          </w:p>
        </w:tc>
        <w:tc>
          <w:tcPr>
            <w:tcW w:w="4520" w:type="dxa"/>
            <w:tcBorders>
              <w:top w:val="nil"/>
              <w:left w:val="nil"/>
              <w:bottom w:val="single" w:sz="4" w:space="0" w:color="auto"/>
              <w:right w:val="single" w:sz="4" w:space="0" w:color="auto"/>
            </w:tcBorders>
            <w:shd w:val="clear" w:color="auto" w:fill="auto"/>
            <w:noWrap/>
            <w:vAlign w:val="bottom"/>
            <w:hideMark/>
          </w:tcPr>
          <w:p w14:paraId="5CE3E5DE"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Sidian Bank Ltd</w:t>
            </w:r>
          </w:p>
        </w:tc>
      </w:tr>
      <w:tr w:rsidR="00724D10" w:rsidRPr="00AE6641" w14:paraId="33BD13DD"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C99687D"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38</w:t>
            </w:r>
          </w:p>
        </w:tc>
        <w:tc>
          <w:tcPr>
            <w:tcW w:w="4520" w:type="dxa"/>
            <w:tcBorders>
              <w:top w:val="nil"/>
              <w:left w:val="nil"/>
              <w:bottom w:val="single" w:sz="4" w:space="0" w:color="auto"/>
              <w:right w:val="single" w:sz="4" w:space="0" w:color="auto"/>
            </w:tcBorders>
            <w:shd w:val="clear" w:color="auto" w:fill="auto"/>
            <w:noWrap/>
            <w:vAlign w:val="bottom"/>
            <w:hideMark/>
          </w:tcPr>
          <w:p w14:paraId="044A5C21"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Spire Bank Limited</w:t>
            </w:r>
          </w:p>
        </w:tc>
      </w:tr>
      <w:tr w:rsidR="00724D10" w:rsidRPr="00AE6641" w14:paraId="7122917C"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77AFCFC3"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39</w:t>
            </w:r>
          </w:p>
        </w:tc>
        <w:tc>
          <w:tcPr>
            <w:tcW w:w="4520" w:type="dxa"/>
            <w:tcBorders>
              <w:top w:val="nil"/>
              <w:left w:val="nil"/>
              <w:bottom w:val="single" w:sz="4" w:space="0" w:color="auto"/>
              <w:right w:val="single" w:sz="4" w:space="0" w:color="auto"/>
            </w:tcBorders>
            <w:shd w:val="clear" w:color="auto" w:fill="auto"/>
            <w:noWrap/>
            <w:vAlign w:val="bottom"/>
            <w:hideMark/>
          </w:tcPr>
          <w:p w14:paraId="2EC25ACF"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Stanbic Bank Kenya Ltd</w:t>
            </w:r>
          </w:p>
        </w:tc>
      </w:tr>
      <w:tr w:rsidR="00724D10" w:rsidRPr="00AE6641" w14:paraId="2431C204"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56343D87"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40</w:t>
            </w:r>
          </w:p>
        </w:tc>
        <w:tc>
          <w:tcPr>
            <w:tcW w:w="4520" w:type="dxa"/>
            <w:tcBorders>
              <w:top w:val="nil"/>
              <w:left w:val="nil"/>
              <w:bottom w:val="single" w:sz="4" w:space="0" w:color="auto"/>
              <w:right w:val="single" w:sz="4" w:space="0" w:color="auto"/>
            </w:tcBorders>
            <w:shd w:val="clear" w:color="auto" w:fill="auto"/>
            <w:noWrap/>
            <w:vAlign w:val="bottom"/>
            <w:hideMark/>
          </w:tcPr>
          <w:p w14:paraId="2D294B12"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Standard Chartered Bank Kenya Ltd</w:t>
            </w:r>
          </w:p>
        </w:tc>
      </w:tr>
      <w:tr w:rsidR="00724D10" w:rsidRPr="00AE6641" w14:paraId="02B9D327"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3ECCA14"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41</w:t>
            </w:r>
          </w:p>
        </w:tc>
        <w:tc>
          <w:tcPr>
            <w:tcW w:w="4520" w:type="dxa"/>
            <w:tcBorders>
              <w:top w:val="nil"/>
              <w:left w:val="nil"/>
              <w:bottom w:val="single" w:sz="4" w:space="0" w:color="auto"/>
              <w:right w:val="single" w:sz="4" w:space="0" w:color="auto"/>
            </w:tcBorders>
            <w:shd w:val="clear" w:color="auto" w:fill="auto"/>
            <w:noWrap/>
            <w:vAlign w:val="bottom"/>
            <w:hideMark/>
          </w:tcPr>
          <w:p w14:paraId="4E1124B3"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Transnational Bank Limited</w:t>
            </w:r>
          </w:p>
        </w:tc>
      </w:tr>
      <w:tr w:rsidR="00724D10" w:rsidRPr="00AE6641" w14:paraId="0631F86B"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2DE636C4"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42</w:t>
            </w:r>
          </w:p>
        </w:tc>
        <w:tc>
          <w:tcPr>
            <w:tcW w:w="4520" w:type="dxa"/>
            <w:tcBorders>
              <w:top w:val="nil"/>
              <w:left w:val="nil"/>
              <w:bottom w:val="single" w:sz="4" w:space="0" w:color="auto"/>
              <w:right w:val="single" w:sz="4" w:space="0" w:color="auto"/>
            </w:tcBorders>
            <w:shd w:val="clear" w:color="auto" w:fill="auto"/>
            <w:noWrap/>
            <w:vAlign w:val="bottom"/>
            <w:hideMark/>
          </w:tcPr>
          <w:p w14:paraId="73CFCE80"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UBA Kenya Bank Ltd</w:t>
            </w:r>
          </w:p>
        </w:tc>
      </w:tr>
      <w:tr w:rsidR="00724D10" w:rsidRPr="00AE6641" w14:paraId="2A92FBC1" w14:textId="77777777" w:rsidTr="00A52602">
        <w:trPr>
          <w:gridAfter w:val="1"/>
          <w:wAfter w:w="1656" w:type="dxa"/>
          <w:trHeight w:val="300"/>
        </w:trPr>
        <w:tc>
          <w:tcPr>
            <w:tcW w:w="576" w:type="dxa"/>
            <w:tcBorders>
              <w:top w:val="nil"/>
              <w:left w:val="single" w:sz="4" w:space="0" w:color="auto"/>
              <w:bottom w:val="single" w:sz="4" w:space="0" w:color="auto"/>
              <w:right w:val="single" w:sz="4" w:space="0" w:color="auto"/>
            </w:tcBorders>
            <w:shd w:val="clear" w:color="auto" w:fill="auto"/>
            <w:noWrap/>
            <w:vAlign w:val="bottom"/>
            <w:hideMark/>
          </w:tcPr>
          <w:p w14:paraId="4613D459"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43</w:t>
            </w:r>
          </w:p>
        </w:tc>
        <w:tc>
          <w:tcPr>
            <w:tcW w:w="4520" w:type="dxa"/>
            <w:tcBorders>
              <w:top w:val="nil"/>
              <w:left w:val="nil"/>
              <w:bottom w:val="single" w:sz="4" w:space="0" w:color="auto"/>
              <w:right w:val="single" w:sz="4" w:space="0" w:color="auto"/>
            </w:tcBorders>
            <w:shd w:val="clear" w:color="auto" w:fill="auto"/>
            <w:noWrap/>
            <w:vAlign w:val="bottom"/>
            <w:hideMark/>
          </w:tcPr>
          <w:p w14:paraId="01C62C02"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Victoria Commercial Bank Limited</w:t>
            </w:r>
          </w:p>
        </w:tc>
      </w:tr>
      <w:tr w:rsidR="00724D10" w:rsidRPr="00AE6641" w14:paraId="1CF9115F" w14:textId="77777777" w:rsidTr="00A52602">
        <w:trPr>
          <w:trHeight w:val="300"/>
        </w:trPr>
        <w:tc>
          <w:tcPr>
            <w:tcW w:w="576" w:type="dxa"/>
            <w:tcBorders>
              <w:top w:val="nil"/>
              <w:left w:val="nil"/>
              <w:bottom w:val="nil"/>
              <w:right w:val="nil"/>
            </w:tcBorders>
            <w:shd w:val="clear" w:color="auto" w:fill="auto"/>
            <w:noWrap/>
            <w:vAlign w:val="bottom"/>
            <w:hideMark/>
          </w:tcPr>
          <w:p w14:paraId="63D0E957"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p>
        </w:tc>
        <w:tc>
          <w:tcPr>
            <w:tcW w:w="4520" w:type="dxa"/>
            <w:tcBorders>
              <w:top w:val="nil"/>
              <w:left w:val="nil"/>
              <w:bottom w:val="nil"/>
              <w:right w:val="nil"/>
            </w:tcBorders>
            <w:shd w:val="clear" w:color="auto" w:fill="auto"/>
            <w:noWrap/>
            <w:vAlign w:val="bottom"/>
            <w:hideMark/>
          </w:tcPr>
          <w:p w14:paraId="6094915C" w14:textId="77777777" w:rsidR="00724D10" w:rsidRPr="00AE6641" w:rsidRDefault="00724D10" w:rsidP="00AE6641">
            <w:pPr>
              <w:spacing w:after="0" w:line="240" w:lineRule="auto"/>
              <w:rPr>
                <w:rFonts w:asciiTheme="majorHAnsi" w:eastAsia="Times New Roman" w:hAnsiTheme="majorHAnsi" w:cstheme="majorHAnsi"/>
                <w:sz w:val="18"/>
                <w:szCs w:val="18"/>
              </w:rPr>
            </w:pPr>
          </w:p>
        </w:tc>
        <w:tc>
          <w:tcPr>
            <w:tcW w:w="1656" w:type="dxa"/>
            <w:tcBorders>
              <w:top w:val="nil"/>
              <w:left w:val="nil"/>
              <w:bottom w:val="nil"/>
              <w:right w:val="nil"/>
            </w:tcBorders>
            <w:shd w:val="clear" w:color="auto" w:fill="auto"/>
            <w:noWrap/>
            <w:vAlign w:val="bottom"/>
            <w:hideMark/>
          </w:tcPr>
          <w:p w14:paraId="3E995FB2" w14:textId="77777777" w:rsidR="00724D10" w:rsidRPr="00AE6641" w:rsidRDefault="00724D10" w:rsidP="00AE6641">
            <w:pPr>
              <w:spacing w:after="0" w:line="240" w:lineRule="auto"/>
              <w:rPr>
                <w:rFonts w:asciiTheme="majorHAnsi" w:eastAsia="Times New Roman" w:hAnsiTheme="majorHAnsi" w:cstheme="majorHAnsi"/>
                <w:sz w:val="18"/>
                <w:szCs w:val="18"/>
              </w:rPr>
            </w:pPr>
          </w:p>
        </w:tc>
      </w:tr>
    </w:tbl>
    <w:p w14:paraId="1A1C3DF5" w14:textId="77777777" w:rsidR="00724D10" w:rsidRPr="0022305D" w:rsidRDefault="00724D10" w:rsidP="00D272C9">
      <w:pPr>
        <w:widowControl w:val="0"/>
        <w:autoSpaceDE w:val="0"/>
        <w:autoSpaceDN w:val="0"/>
        <w:adjustRightInd w:val="0"/>
        <w:spacing w:after="0" w:line="240" w:lineRule="auto"/>
        <w:rPr>
          <w:rFonts w:asciiTheme="majorHAnsi" w:hAnsiTheme="majorHAnsi" w:cstheme="majorHAnsi"/>
          <w:iCs/>
          <w:sz w:val="24"/>
          <w:szCs w:val="24"/>
        </w:rPr>
      </w:pPr>
    </w:p>
    <w:p w14:paraId="4881AEAE" w14:textId="77777777" w:rsidR="00724D10" w:rsidRPr="0022305D" w:rsidRDefault="00724D10" w:rsidP="00724D10">
      <w:pPr>
        <w:widowControl w:val="0"/>
        <w:autoSpaceDE w:val="0"/>
        <w:autoSpaceDN w:val="0"/>
        <w:adjustRightInd w:val="0"/>
        <w:spacing w:after="0" w:line="480" w:lineRule="auto"/>
        <w:rPr>
          <w:rFonts w:asciiTheme="majorHAnsi" w:hAnsiTheme="majorHAnsi" w:cstheme="majorHAnsi"/>
          <w:iCs/>
          <w:sz w:val="24"/>
          <w:szCs w:val="24"/>
        </w:rPr>
      </w:pPr>
      <w:r w:rsidRPr="0022305D">
        <w:rPr>
          <w:rFonts w:asciiTheme="majorHAnsi" w:hAnsiTheme="majorHAnsi" w:cstheme="majorHAnsi"/>
          <w:iCs/>
          <w:sz w:val="24"/>
          <w:szCs w:val="24"/>
        </w:rPr>
        <w:t>Source: Central bank of Kenya</w:t>
      </w:r>
    </w:p>
    <w:p w14:paraId="32171869" w14:textId="77777777" w:rsidR="00724D10" w:rsidRPr="0022305D" w:rsidRDefault="00724D10" w:rsidP="00724D10">
      <w:pPr>
        <w:widowControl w:val="0"/>
        <w:autoSpaceDE w:val="0"/>
        <w:autoSpaceDN w:val="0"/>
        <w:adjustRightInd w:val="0"/>
        <w:spacing w:after="0" w:line="480" w:lineRule="auto"/>
        <w:rPr>
          <w:rFonts w:asciiTheme="majorHAnsi" w:hAnsiTheme="majorHAnsi" w:cstheme="majorHAnsi"/>
          <w:iCs/>
          <w:sz w:val="24"/>
          <w:szCs w:val="24"/>
        </w:rPr>
      </w:pPr>
    </w:p>
    <w:p w14:paraId="3B104DC2" w14:textId="77777777" w:rsidR="00724D10" w:rsidRPr="0022305D" w:rsidRDefault="00724D10" w:rsidP="00724D10">
      <w:pPr>
        <w:widowControl w:val="0"/>
        <w:autoSpaceDE w:val="0"/>
        <w:autoSpaceDN w:val="0"/>
        <w:adjustRightInd w:val="0"/>
        <w:spacing w:after="0" w:line="480" w:lineRule="auto"/>
        <w:rPr>
          <w:rFonts w:asciiTheme="majorHAnsi" w:hAnsiTheme="majorHAnsi" w:cstheme="majorHAnsi"/>
          <w:iCs/>
          <w:sz w:val="24"/>
          <w:szCs w:val="24"/>
        </w:rPr>
      </w:pPr>
    </w:p>
    <w:p w14:paraId="7B83EE9A" w14:textId="733F4EA0" w:rsidR="00724D10" w:rsidRDefault="00724D10" w:rsidP="00724D10">
      <w:pPr>
        <w:widowControl w:val="0"/>
        <w:autoSpaceDE w:val="0"/>
        <w:autoSpaceDN w:val="0"/>
        <w:adjustRightInd w:val="0"/>
        <w:spacing w:after="0" w:line="480" w:lineRule="auto"/>
        <w:rPr>
          <w:rFonts w:asciiTheme="majorHAnsi" w:hAnsiTheme="majorHAnsi" w:cstheme="majorHAnsi"/>
          <w:iCs/>
          <w:sz w:val="24"/>
          <w:szCs w:val="24"/>
        </w:rPr>
      </w:pPr>
    </w:p>
    <w:p w14:paraId="5EB85472" w14:textId="608C9139" w:rsidR="00583CA1" w:rsidRDefault="00583CA1" w:rsidP="00724D10">
      <w:pPr>
        <w:widowControl w:val="0"/>
        <w:autoSpaceDE w:val="0"/>
        <w:autoSpaceDN w:val="0"/>
        <w:adjustRightInd w:val="0"/>
        <w:spacing w:after="0" w:line="480" w:lineRule="auto"/>
        <w:rPr>
          <w:rFonts w:asciiTheme="majorHAnsi" w:hAnsiTheme="majorHAnsi" w:cstheme="majorHAnsi"/>
          <w:iCs/>
          <w:sz w:val="24"/>
          <w:szCs w:val="24"/>
        </w:rPr>
      </w:pPr>
    </w:p>
    <w:p w14:paraId="0BAC228F" w14:textId="65B67C2C" w:rsidR="00583CA1" w:rsidRDefault="00583CA1" w:rsidP="00724D10">
      <w:pPr>
        <w:widowControl w:val="0"/>
        <w:autoSpaceDE w:val="0"/>
        <w:autoSpaceDN w:val="0"/>
        <w:adjustRightInd w:val="0"/>
        <w:spacing w:after="0" w:line="480" w:lineRule="auto"/>
        <w:rPr>
          <w:rFonts w:asciiTheme="majorHAnsi" w:hAnsiTheme="majorHAnsi" w:cstheme="majorHAnsi"/>
          <w:iCs/>
          <w:sz w:val="24"/>
          <w:szCs w:val="24"/>
        </w:rPr>
      </w:pPr>
    </w:p>
    <w:p w14:paraId="24C694FA" w14:textId="714E115C" w:rsidR="00583CA1" w:rsidRDefault="00583CA1" w:rsidP="00724D10">
      <w:pPr>
        <w:widowControl w:val="0"/>
        <w:autoSpaceDE w:val="0"/>
        <w:autoSpaceDN w:val="0"/>
        <w:adjustRightInd w:val="0"/>
        <w:spacing w:after="0" w:line="480" w:lineRule="auto"/>
        <w:rPr>
          <w:rFonts w:asciiTheme="majorHAnsi" w:hAnsiTheme="majorHAnsi" w:cstheme="majorHAnsi"/>
          <w:iCs/>
          <w:sz w:val="24"/>
          <w:szCs w:val="24"/>
        </w:rPr>
      </w:pPr>
    </w:p>
    <w:p w14:paraId="5AFCEEC1" w14:textId="34605787" w:rsidR="00583CA1" w:rsidRDefault="00583CA1" w:rsidP="00724D10">
      <w:pPr>
        <w:widowControl w:val="0"/>
        <w:autoSpaceDE w:val="0"/>
        <w:autoSpaceDN w:val="0"/>
        <w:adjustRightInd w:val="0"/>
        <w:spacing w:after="0" w:line="480" w:lineRule="auto"/>
        <w:rPr>
          <w:rFonts w:asciiTheme="majorHAnsi" w:hAnsiTheme="majorHAnsi" w:cstheme="majorHAnsi"/>
          <w:iCs/>
          <w:sz w:val="24"/>
          <w:szCs w:val="24"/>
        </w:rPr>
      </w:pPr>
    </w:p>
    <w:p w14:paraId="6F0AA1B8" w14:textId="05EAFB38" w:rsidR="00583CA1" w:rsidRDefault="00583CA1" w:rsidP="00724D10">
      <w:pPr>
        <w:widowControl w:val="0"/>
        <w:autoSpaceDE w:val="0"/>
        <w:autoSpaceDN w:val="0"/>
        <w:adjustRightInd w:val="0"/>
        <w:spacing w:after="0" w:line="480" w:lineRule="auto"/>
        <w:rPr>
          <w:rFonts w:asciiTheme="majorHAnsi" w:hAnsiTheme="majorHAnsi" w:cstheme="majorHAnsi"/>
          <w:iCs/>
          <w:sz w:val="24"/>
          <w:szCs w:val="24"/>
        </w:rPr>
      </w:pPr>
    </w:p>
    <w:p w14:paraId="22B45210" w14:textId="7ABCE48F" w:rsidR="00583CA1" w:rsidRDefault="00583CA1" w:rsidP="00724D10">
      <w:pPr>
        <w:widowControl w:val="0"/>
        <w:autoSpaceDE w:val="0"/>
        <w:autoSpaceDN w:val="0"/>
        <w:adjustRightInd w:val="0"/>
        <w:spacing w:after="0" w:line="480" w:lineRule="auto"/>
        <w:rPr>
          <w:rFonts w:asciiTheme="majorHAnsi" w:hAnsiTheme="majorHAnsi" w:cstheme="majorHAnsi"/>
          <w:iCs/>
          <w:sz w:val="24"/>
          <w:szCs w:val="24"/>
        </w:rPr>
      </w:pPr>
    </w:p>
    <w:p w14:paraId="3B993D5B" w14:textId="00D3AC32" w:rsidR="00583CA1" w:rsidRDefault="00583CA1" w:rsidP="00724D10">
      <w:pPr>
        <w:widowControl w:val="0"/>
        <w:autoSpaceDE w:val="0"/>
        <w:autoSpaceDN w:val="0"/>
        <w:adjustRightInd w:val="0"/>
        <w:spacing w:after="0" w:line="480" w:lineRule="auto"/>
        <w:rPr>
          <w:rFonts w:asciiTheme="majorHAnsi" w:hAnsiTheme="majorHAnsi" w:cstheme="majorHAnsi"/>
          <w:iCs/>
          <w:sz w:val="24"/>
          <w:szCs w:val="24"/>
        </w:rPr>
      </w:pPr>
    </w:p>
    <w:p w14:paraId="5381AF5D" w14:textId="31315B47" w:rsidR="00583CA1" w:rsidRDefault="00583CA1" w:rsidP="00724D10">
      <w:pPr>
        <w:widowControl w:val="0"/>
        <w:autoSpaceDE w:val="0"/>
        <w:autoSpaceDN w:val="0"/>
        <w:adjustRightInd w:val="0"/>
        <w:spacing w:after="0" w:line="480" w:lineRule="auto"/>
        <w:rPr>
          <w:rFonts w:asciiTheme="majorHAnsi" w:hAnsiTheme="majorHAnsi" w:cstheme="majorHAnsi"/>
          <w:iCs/>
          <w:sz w:val="24"/>
          <w:szCs w:val="24"/>
        </w:rPr>
      </w:pPr>
    </w:p>
    <w:p w14:paraId="4D878597" w14:textId="631CC0AE" w:rsidR="00583CA1" w:rsidRDefault="00583CA1" w:rsidP="00724D10">
      <w:pPr>
        <w:widowControl w:val="0"/>
        <w:autoSpaceDE w:val="0"/>
        <w:autoSpaceDN w:val="0"/>
        <w:adjustRightInd w:val="0"/>
        <w:spacing w:after="0" w:line="480" w:lineRule="auto"/>
        <w:rPr>
          <w:rFonts w:asciiTheme="majorHAnsi" w:hAnsiTheme="majorHAnsi" w:cstheme="majorHAnsi"/>
          <w:iCs/>
          <w:sz w:val="24"/>
          <w:szCs w:val="24"/>
        </w:rPr>
      </w:pPr>
    </w:p>
    <w:p w14:paraId="6118B058" w14:textId="0B3217B5" w:rsidR="00583CA1" w:rsidRDefault="00583CA1" w:rsidP="00724D10">
      <w:pPr>
        <w:widowControl w:val="0"/>
        <w:autoSpaceDE w:val="0"/>
        <w:autoSpaceDN w:val="0"/>
        <w:adjustRightInd w:val="0"/>
        <w:spacing w:after="0" w:line="480" w:lineRule="auto"/>
        <w:rPr>
          <w:rFonts w:asciiTheme="majorHAnsi" w:hAnsiTheme="majorHAnsi" w:cstheme="majorHAnsi"/>
          <w:iCs/>
          <w:sz w:val="24"/>
          <w:szCs w:val="24"/>
        </w:rPr>
      </w:pPr>
    </w:p>
    <w:p w14:paraId="1F288550" w14:textId="708F1B16" w:rsidR="00583CA1" w:rsidRDefault="00583CA1" w:rsidP="00724D10">
      <w:pPr>
        <w:widowControl w:val="0"/>
        <w:autoSpaceDE w:val="0"/>
        <w:autoSpaceDN w:val="0"/>
        <w:adjustRightInd w:val="0"/>
        <w:spacing w:after="0" w:line="480" w:lineRule="auto"/>
        <w:rPr>
          <w:rFonts w:asciiTheme="majorHAnsi" w:hAnsiTheme="majorHAnsi" w:cstheme="majorHAnsi"/>
          <w:iCs/>
          <w:sz w:val="24"/>
          <w:szCs w:val="24"/>
        </w:rPr>
      </w:pPr>
    </w:p>
    <w:p w14:paraId="3D0F10B4" w14:textId="77777777" w:rsidR="00583CA1" w:rsidRPr="0022305D" w:rsidRDefault="00583CA1" w:rsidP="00724D10">
      <w:pPr>
        <w:widowControl w:val="0"/>
        <w:autoSpaceDE w:val="0"/>
        <w:autoSpaceDN w:val="0"/>
        <w:adjustRightInd w:val="0"/>
        <w:spacing w:after="0" w:line="480" w:lineRule="auto"/>
        <w:rPr>
          <w:rFonts w:asciiTheme="majorHAnsi" w:hAnsiTheme="majorHAnsi" w:cstheme="majorHAnsi"/>
          <w:iCs/>
          <w:sz w:val="24"/>
          <w:szCs w:val="24"/>
        </w:rPr>
      </w:pPr>
    </w:p>
    <w:p w14:paraId="0F659611" w14:textId="77777777" w:rsidR="00724D10" w:rsidRPr="0022305D" w:rsidRDefault="00724D10" w:rsidP="00724D10">
      <w:pPr>
        <w:widowControl w:val="0"/>
        <w:autoSpaceDE w:val="0"/>
        <w:autoSpaceDN w:val="0"/>
        <w:adjustRightInd w:val="0"/>
        <w:spacing w:after="0" w:line="480" w:lineRule="auto"/>
        <w:rPr>
          <w:rFonts w:asciiTheme="majorHAnsi" w:hAnsiTheme="majorHAnsi" w:cstheme="majorHAnsi"/>
          <w:iCs/>
          <w:sz w:val="24"/>
          <w:szCs w:val="24"/>
        </w:rPr>
      </w:pPr>
    </w:p>
    <w:p w14:paraId="473AB110" w14:textId="77777777" w:rsidR="00724D10" w:rsidRPr="00AE6641" w:rsidRDefault="00724D10" w:rsidP="00AE6641">
      <w:pPr>
        <w:pStyle w:val="Heading2"/>
        <w:spacing w:line="240" w:lineRule="auto"/>
        <w:rPr>
          <w:rFonts w:asciiTheme="majorHAnsi" w:hAnsiTheme="majorHAnsi" w:cstheme="majorHAnsi"/>
          <w:sz w:val="18"/>
          <w:szCs w:val="18"/>
        </w:rPr>
      </w:pPr>
      <w:bookmarkStart w:id="139" w:name="_Toc76494430"/>
      <w:bookmarkStart w:id="140" w:name="_Toc78205832"/>
      <w:r w:rsidRPr="0014761B">
        <w:rPr>
          <w:rFonts w:asciiTheme="majorHAnsi" w:hAnsiTheme="majorHAnsi" w:cstheme="majorHAnsi"/>
          <w:sz w:val="24"/>
          <w:szCs w:val="24"/>
        </w:rPr>
        <w:t>Appendix 2:</w:t>
      </w:r>
      <w:r w:rsidRPr="0014761B">
        <w:rPr>
          <w:rStyle w:val="Heading2Char"/>
          <w:rFonts w:asciiTheme="majorHAnsi" w:hAnsiTheme="majorHAnsi" w:cstheme="majorHAnsi"/>
          <w:sz w:val="24"/>
          <w:szCs w:val="24"/>
        </w:rPr>
        <w:t xml:space="preserve"> Banks which have consistently published from 2011-</w:t>
      </w:r>
      <w:r w:rsidRPr="00AE6641">
        <w:rPr>
          <w:rStyle w:val="Heading2Char"/>
          <w:rFonts w:asciiTheme="majorHAnsi" w:hAnsiTheme="majorHAnsi" w:cstheme="majorHAnsi"/>
          <w:sz w:val="18"/>
          <w:szCs w:val="18"/>
        </w:rPr>
        <w:t>2020</w:t>
      </w:r>
      <w:bookmarkEnd w:id="139"/>
      <w:bookmarkEnd w:id="140"/>
    </w:p>
    <w:tbl>
      <w:tblPr>
        <w:tblW w:w="7787" w:type="dxa"/>
        <w:tblLook w:val="04A0" w:firstRow="1" w:lastRow="0" w:firstColumn="1" w:lastColumn="0" w:noHBand="0" w:noVBand="1"/>
      </w:tblPr>
      <w:tblGrid>
        <w:gridCol w:w="893"/>
        <w:gridCol w:w="6894"/>
      </w:tblGrid>
      <w:tr w:rsidR="00724D10" w:rsidRPr="00AE6641" w14:paraId="190DC5CD" w14:textId="77777777" w:rsidTr="00A52602">
        <w:trPr>
          <w:trHeight w:val="294"/>
        </w:trPr>
        <w:tc>
          <w:tcPr>
            <w:tcW w:w="8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A79711" w14:textId="77777777" w:rsidR="00724D10" w:rsidRPr="00AE6641" w:rsidRDefault="00724D10" w:rsidP="00AE6641">
            <w:pPr>
              <w:spacing w:after="0" w:line="240" w:lineRule="auto"/>
              <w:rPr>
                <w:rFonts w:asciiTheme="majorHAnsi" w:eastAsia="Times New Roman" w:hAnsiTheme="majorHAnsi" w:cstheme="majorHAnsi"/>
                <w:b/>
                <w:bCs/>
                <w:color w:val="000000"/>
                <w:sz w:val="18"/>
                <w:szCs w:val="18"/>
              </w:rPr>
            </w:pPr>
            <w:r w:rsidRPr="00AE6641">
              <w:rPr>
                <w:rFonts w:asciiTheme="majorHAnsi" w:eastAsia="Times New Roman" w:hAnsiTheme="majorHAnsi" w:cstheme="majorHAnsi"/>
                <w:b/>
                <w:bCs/>
                <w:color w:val="000000"/>
                <w:sz w:val="18"/>
                <w:szCs w:val="18"/>
              </w:rPr>
              <w:t> </w:t>
            </w:r>
          </w:p>
        </w:tc>
        <w:tc>
          <w:tcPr>
            <w:tcW w:w="6894" w:type="dxa"/>
            <w:tcBorders>
              <w:top w:val="single" w:sz="4" w:space="0" w:color="auto"/>
              <w:left w:val="nil"/>
              <w:bottom w:val="single" w:sz="4" w:space="0" w:color="auto"/>
              <w:right w:val="single" w:sz="4" w:space="0" w:color="auto"/>
            </w:tcBorders>
            <w:shd w:val="clear" w:color="auto" w:fill="auto"/>
            <w:noWrap/>
            <w:vAlign w:val="bottom"/>
            <w:hideMark/>
          </w:tcPr>
          <w:p w14:paraId="055B425E" w14:textId="77777777" w:rsidR="00724D10" w:rsidRPr="00AE6641" w:rsidRDefault="00724D10" w:rsidP="00AE6641">
            <w:pPr>
              <w:spacing w:after="0" w:line="240" w:lineRule="auto"/>
              <w:rPr>
                <w:rFonts w:asciiTheme="majorHAnsi" w:eastAsia="Times New Roman" w:hAnsiTheme="majorHAnsi" w:cstheme="majorHAnsi"/>
                <w:b/>
                <w:bCs/>
                <w:color w:val="000000"/>
                <w:sz w:val="18"/>
                <w:szCs w:val="18"/>
              </w:rPr>
            </w:pPr>
            <w:r w:rsidRPr="00AE6641">
              <w:rPr>
                <w:rFonts w:asciiTheme="majorHAnsi" w:eastAsia="Times New Roman" w:hAnsiTheme="majorHAnsi" w:cstheme="majorHAnsi"/>
                <w:b/>
                <w:bCs/>
                <w:color w:val="000000"/>
                <w:sz w:val="18"/>
                <w:szCs w:val="18"/>
              </w:rPr>
              <w:t>BANK</w:t>
            </w:r>
          </w:p>
        </w:tc>
      </w:tr>
      <w:tr w:rsidR="00724D10" w:rsidRPr="00AE6641" w14:paraId="30CC239B"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4069FF0C"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1</w:t>
            </w:r>
          </w:p>
        </w:tc>
        <w:tc>
          <w:tcPr>
            <w:tcW w:w="6894" w:type="dxa"/>
            <w:tcBorders>
              <w:top w:val="nil"/>
              <w:left w:val="nil"/>
              <w:bottom w:val="single" w:sz="4" w:space="0" w:color="auto"/>
              <w:right w:val="single" w:sz="4" w:space="0" w:color="auto"/>
            </w:tcBorders>
            <w:shd w:val="clear" w:color="auto" w:fill="auto"/>
            <w:noWrap/>
            <w:vAlign w:val="bottom"/>
            <w:hideMark/>
          </w:tcPr>
          <w:p w14:paraId="3D6A4454"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Absa Bank Kenya Plc</w:t>
            </w:r>
          </w:p>
        </w:tc>
      </w:tr>
      <w:tr w:rsidR="00724D10" w:rsidRPr="00AE6641" w14:paraId="6096E759"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227ECA07"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2</w:t>
            </w:r>
          </w:p>
        </w:tc>
        <w:tc>
          <w:tcPr>
            <w:tcW w:w="6894" w:type="dxa"/>
            <w:tcBorders>
              <w:top w:val="nil"/>
              <w:left w:val="nil"/>
              <w:bottom w:val="single" w:sz="4" w:space="0" w:color="auto"/>
              <w:right w:val="single" w:sz="4" w:space="0" w:color="auto"/>
            </w:tcBorders>
            <w:shd w:val="clear" w:color="auto" w:fill="auto"/>
            <w:noWrap/>
            <w:vAlign w:val="bottom"/>
            <w:hideMark/>
          </w:tcPr>
          <w:p w14:paraId="7519246A"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Access Bank Plc</w:t>
            </w:r>
          </w:p>
        </w:tc>
      </w:tr>
      <w:tr w:rsidR="00724D10" w:rsidRPr="00AE6641" w14:paraId="4250D75F"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18363074"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3</w:t>
            </w:r>
          </w:p>
        </w:tc>
        <w:tc>
          <w:tcPr>
            <w:tcW w:w="6894" w:type="dxa"/>
            <w:tcBorders>
              <w:top w:val="nil"/>
              <w:left w:val="nil"/>
              <w:bottom w:val="single" w:sz="4" w:space="0" w:color="auto"/>
              <w:right w:val="single" w:sz="4" w:space="0" w:color="auto"/>
            </w:tcBorders>
            <w:shd w:val="clear" w:color="auto" w:fill="auto"/>
            <w:noWrap/>
            <w:vAlign w:val="bottom"/>
            <w:hideMark/>
          </w:tcPr>
          <w:p w14:paraId="71ED93ED"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African Banking Corporation Ltd</w:t>
            </w:r>
          </w:p>
        </w:tc>
      </w:tr>
      <w:tr w:rsidR="00724D10" w:rsidRPr="00AE6641" w14:paraId="6708100F"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32631D1F"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4</w:t>
            </w:r>
          </w:p>
        </w:tc>
        <w:tc>
          <w:tcPr>
            <w:tcW w:w="6894" w:type="dxa"/>
            <w:tcBorders>
              <w:top w:val="nil"/>
              <w:left w:val="nil"/>
              <w:bottom w:val="single" w:sz="4" w:space="0" w:color="auto"/>
              <w:right w:val="single" w:sz="4" w:space="0" w:color="auto"/>
            </w:tcBorders>
            <w:shd w:val="clear" w:color="auto" w:fill="auto"/>
            <w:noWrap/>
            <w:vAlign w:val="bottom"/>
            <w:hideMark/>
          </w:tcPr>
          <w:p w14:paraId="1F60FE4A"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Bank of Africa (K) Ltd</w:t>
            </w:r>
          </w:p>
        </w:tc>
      </w:tr>
      <w:tr w:rsidR="00724D10" w:rsidRPr="00AE6641" w14:paraId="64C02C96"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3B5CEB9D"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5</w:t>
            </w:r>
          </w:p>
        </w:tc>
        <w:tc>
          <w:tcPr>
            <w:tcW w:w="6894" w:type="dxa"/>
            <w:tcBorders>
              <w:top w:val="nil"/>
              <w:left w:val="nil"/>
              <w:bottom w:val="single" w:sz="4" w:space="0" w:color="auto"/>
              <w:right w:val="single" w:sz="4" w:space="0" w:color="auto"/>
            </w:tcBorders>
            <w:shd w:val="clear" w:color="auto" w:fill="auto"/>
            <w:noWrap/>
            <w:vAlign w:val="bottom"/>
            <w:hideMark/>
          </w:tcPr>
          <w:p w14:paraId="76C7A98B"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Bank of Baroda (Kenya) Limited</w:t>
            </w:r>
          </w:p>
        </w:tc>
      </w:tr>
      <w:tr w:rsidR="00724D10" w:rsidRPr="00AE6641" w14:paraId="2C60609D"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3B7B5055"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6</w:t>
            </w:r>
          </w:p>
        </w:tc>
        <w:tc>
          <w:tcPr>
            <w:tcW w:w="6894" w:type="dxa"/>
            <w:tcBorders>
              <w:top w:val="nil"/>
              <w:left w:val="nil"/>
              <w:bottom w:val="single" w:sz="4" w:space="0" w:color="auto"/>
              <w:right w:val="single" w:sz="4" w:space="0" w:color="auto"/>
            </w:tcBorders>
            <w:shd w:val="clear" w:color="auto" w:fill="auto"/>
            <w:noWrap/>
            <w:vAlign w:val="bottom"/>
            <w:hideMark/>
          </w:tcPr>
          <w:p w14:paraId="04C59E8E"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Bank of India</w:t>
            </w:r>
          </w:p>
        </w:tc>
      </w:tr>
      <w:tr w:rsidR="00724D10" w:rsidRPr="00AE6641" w14:paraId="2C49BFB3"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08673544"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7</w:t>
            </w:r>
          </w:p>
        </w:tc>
        <w:tc>
          <w:tcPr>
            <w:tcW w:w="6894" w:type="dxa"/>
            <w:tcBorders>
              <w:top w:val="nil"/>
              <w:left w:val="nil"/>
              <w:bottom w:val="single" w:sz="4" w:space="0" w:color="auto"/>
              <w:right w:val="single" w:sz="4" w:space="0" w:color="auto"/>
            </w:tcBorders>
            <w:shd w:val="clear" w:color="auto" w:fill="auto"/>
            <w:noWrap/>
            <w:vAlign w:val="bottom"/>
            <w:hideMark/>
          </w:tcPr>
          <w:p w14:paraId="7A731717"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Citibank N.A. Kenya</w:t>
            </w:r>
          </w:p>
        </w:tc>
      </w:tr>
      <w:tr w:rsidR="00724D10" w:rsidRPr="00AE6641" w14:paraId="7779D5A9"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244BF0B3"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8</w:t>
            </w:r>
          </w:p>
        </w:tc>
        <w:tc>
          <w:tcPr>
            <w:tcW w:w="6894" w:type="dxa"/>
            <w:tcBorders>
              <w:top w:val="nil"/>
              <w:left w:val="nil"/>
              <w:bottom w:val="single" w:sz="4" w:space="0" w:color="auto"/>
              <w:right w:val="single" w:sz="4" w:space="0" w:color="auto"/>
            </w:tcBorders>
            <w:shd w:val="clear" w:color="auto" w:fill="auto"/>
            <w:noWrap/>
            <w:vAlign w:val="bottom"/>
            <w:hideMark/>
          </w:tcPr>
          <w:p w14:paraId="105DBF20"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Consolidated Bank of Kenya Limited</w:t>
            </w:r>
          </w:p>
        </w:tc>
      </w:tr>
      <w:tr w:rsidR="00724D10" w:rsidRPr="00AE6641" w14:paraId="5424F473"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1806A697"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9</w:t>
            </w:r>
          </w:p>
        </w:tc>
        <w:tc>
          <w:tcPr>
            <w:tcW w:w="6894" w:type="dxa"/>
            <w:tcBorders>
              <w:top w:val="nil"/>
              <w:left w:val="nil"/>
              <w:bottom w:val="single" w:sz="4" w:space="0" w:color="auto"/>
              <w:right w:val="single" w:sz="4" w:space="0" w:color="auto"/>
            </w:tcBorders>
            <w:shd w:val="clear" w:color="auto" w:fill="auto"/>
            <w:noWrap/>
            <w:vAlign w:val="bottom"/>
            <w:hideMark/>
          </w:tcPr>
          <w:p w14:paraId="52319B70"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Co-operative Bank of Kenya Ltd</w:t>
            </w:r>
          </w:p>
        </w:tc>
      </w:tr>
      <w:tr w:rsidR="00724D10" w:rsidRPr="00AE6641" w14:paraId="3E7CA325"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28C2B4AC"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10</w:t>
            </w:r>
          </w:p>
        </w:tc>
        <w:tc>
          <w:tcPr>
            <w:tcW w:w="6894" w:type="dxa"/>
            <w:tcBorders>
              <w:top w:val="nil"/>
              <w:left w:val="nil"/>
              <w:bottom w:val="single" w:sz="4" w:space="0" w:color="auto"/>
              <w:right w:val="single" w:sz="4" w:space="0" w:color="auto"/>
            </w:tcBorders>
            <w:shd w:val="clear" w:color="auto" w:fill="auto"/>
            <w:noWrap/>
            <w:vAlign w:val="bottom"/>
            <w:hideMark/>
          </w:tcPr>
          <w:p w14:paraId="5099FC9B"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Credit Bank Ltd</w:t>
            </w:r>
          </w:p>
        </w:tc>
      </w:tr>
      <w:tr w:rsidR="00724D10" w:rsidRPr="00AE6641" w14:paraId="36F89474"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4E8B9E4E"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11</w:t>
            </w:r>
          </w:p>
        </w:tc>
        <w:tc>
          <w:tcPr>
            <w:tcW w:w="6894" w:type="dxa"/>
            <w:tcBorders>
              <w:top w:val="nil"/>
              <w:left w:val="nil"/>
              <w:bottom w:val="single" w:sz="4" w:space="0" w:color="auto"/>
              <w:right w:val="single" w:sz="4" w:space="0" w:color="auto"/>
            </w:tcBorders>
            <w:shd w:val="clear" w:color="auto" w:fill="auto"/>
            <w:noWrap/>
            <w:vAlign w:val="bottom"/>
            <w:hideMark/>
          </w:tcPr>
          <w:p w14:paraId="5D44E456"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Development Bank of Kenya Ltd</w:t>
            </w:r>
          </w:p>
        </w:tc>
      </w:tr>
      <w:tr w:rsidR="00724D10" w:rsidRPr="00AE6641" w14:paraId="3F199249"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7963FE7A"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12</w:t>
            </w:r>
          </w:p>
        </w:tc>
        <w:tc>
          <w:tcPr>
            <w:tcW w:w="6894" w:type="dxa"/>
            <w:tcBorders>
              <w:top w:val="nil"/>
              <w:left w:val="nil"/>
              <w:bottom w:val="single" w:sz="4" w:space="0" w:color="auto"/>
              <w:right w:val="single" w:sz="4" w:space="0" w:color="auto"/>
            </w:tcBorders>
            <w:shd w:val="clear" w:color="auto" w:fill="auto"/>
            <w:noWrap/>
            <w:vAlign w:val="bottom"/>
            <w:hideMark/>
          </w:tcPr>
          <w:p w14:paraId="0C269472"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Diamond Trust Bank Kenya Limited</w:t>
            </w:r>
          </w:p>
        </w:tc>
      </w:tr>
      <w:tr w:rsidR="00724D10" w:rsidRPr="00AE6641" w14:paraId="4521AAA7"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530DCF30"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13</w:t>
            </w:r>
          </w:p>
        </w:tc>
        <w:tc>
          <w:tcPr>
            <w:tcW w:w="6894" w:type="dxa"/>
            <w:tcBorders>
              <w:top w:val="nil"/>
              <w:left w:val="nil"/>
              <w:bottom w:val="single" w:sz="4" w:space="0" w:color="auto"/>
              <w:right w:val="single" w:sz="4" w:space="0" w:color="auto"/>
            </w:tcBorders>
            <w:shd w:val="clear" w:color="auto" w:fill="auto"/>
            <w:noWrap/>
            <w:vAlign w:val="bottom"/>
            <w:hideMark/>
          </w:tcPr>
          <w:p w14:paraId="53D24804"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DIB Bank Kenya Ltd</w:t>
            </w:r>
          </w:p>
        </w:tc>
      </w:tr>
      <w:tr w:rsidR="00724D10" w:rsidRPr="00AE6641" w14:paraId="181515A3"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379CA368"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14</w:t>
            </w:r>
          </w:p>
        </w:tc>
        <w:tc>
          <w:tcPr>
            <w:tcW w:w="6894" w:type="dxa"/>
            <w:tcBorders>
              <w:top w:val="nil"/>
              <w:left w:val="nil"/>
              <w:bottom w:val="single" w:sz="4" w:space="0" w:color="auto"/>
              <w:right w:val="single" w:sz="4" w:space="0" w:color="auto"/>
            </w:tcBorders>
            <w:shd w:val="clear" w:color="auto" w:fill="auto"/>
            <w:noWrap/>
            <w:vAlign w:val="bottom"/>
            <w:hideMark/>
          </w:tcPr>
          <w:p w14:paraId="0F35A55A"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Ecobank Kenya Ltd</w:t>
            </w:r>
          </w:p>
        </w:tc>
      </w:tr>
      <w:tr w:rsidR="00724D10" w:rsidRPr="00AE6641" w14:paraId="3BDD024F"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7BEBBA92"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15</w:t>
            </w:r>
          </w:p>
        </w:tc>
        <w:tc>
          <w:tcPr>
            <w:tcW w:w="6894" w:type="dxa"/>
            <w:tcBorders>
              <w:top w:val="nil"/>
              <w:left w:val="nil"/>
              <w:bottom w:val="single" w:sz="4" w:space="0" w:color="auto"/>
              <w:right w:val="single" w:sz="4" w:space="0" w:color="auto"/>
            </w:tcBorders>
            <w:shd w:val="clear" w:color="auto" w:fill="auto"/>
            <w:noWrap/>
            <w:vAlign w:val="bottom"/>
            <w:hideMark/>
          </w:tcPr>
          <w:p w14:paraId="1D616143"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Equity Bank Kenya Ltd</w:t>
            </w:r>
          </w:p>
        </w:tc>
      </w:tr>
      <w:tr w:rsidR="00724D10" w:rsidRPr="00AE6641" w14:paraId="7583BDF5"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28AE68AB"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16</w:t>
            </w:r>
          </w:p>
        </w:tc>
        <w:tc>
          <w:tcPr>
            <w:tcW w:w="6894" w:type="dxa"/>
            <w:tcBorders>
              <w:top w:val="nil"/>
              <w:left w:val="nil"/>
              <w:bottom w:val="single" w:sz="4" w:space="0" w:color="auto"/>
              <w:right w:val="single" w:sz="4" w:space="0" w:color="auto"/>
            </w:tcBorders>
            <w:shd w:val="clear" w:color="auto" w:fill="auto"/>
            <w:noWrap/>
            <w:vAlign w:val="bottom"/>
            <w:hideMark/>
          </w:tcPr>
          <w:p w14:paraId="45F2250A"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Family Bank Ltd.</w:t>
            </w:r>
          </w:p>
        </w:tc>
      </w:tr>
      <w:tr w:rsidR="00724D10" w:rsidRPr="00AE6641" w14:paraId="7EE445F8"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5A1B4B3A"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17</w:t>
            </w:r>
          </w:p>
        </w:tc>
        <w:tc>
          <w:tcPr>
            <w:tcW w:w="6894" w:type="dxa"/>
            <w:tcBorders>
              <w:top w:val="nil"/>
              <w:left w:val="nil"/>
              <w:bottom w:val="single" w:sz="4" w:space="0" w:color="auto"/>
              <w:right w:val="single" w:sz="4" w:space="0" w:color="auto"/>
            </w:tcBorders>
            <w:shd w:val="clear" w:color="auto" w:fill="auto"/>
            <w:noWrap/>
            <w:vAlign w:val="bottom"/>
            <w:hideMark/>
          </w:tcPr>
          <w:p w14:paraId="6421C736"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First Community Bank Ltd</w:t>
            </w:r>
          </w:p>
        </w:tc>
      </w:tr>
      <w:tr w:rsidR="00724D10" w:rsidRPr="00AE6641" w14:paraId="132B7B83"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165D35C1"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18</w:t>
            </w:r>
          </w:p>
        </w:tc>
        <w:tc>
          <w:tcPr>
            <w:tcW w:w="6894" w:type="dxa"/>
            <w:tcBorders>
              <w:top w:val="nil"/>
              <w:left w:val="nil"/>
              <w:bottom w:val="single" w:sz="4" w:space="0" w:color="auto"/>
              <w:right w:val="single" w:sz="4" w:space="0" w:color="auto"/>
            </w:tcBorders>
            <w:shd w:val="clear" w:color="auto" w:fill="auto"/>
            <w:noWrap/>
            <w:vAlign w:val="bottom"/>
            <w:hideMark/>
          </w:tcPr>
          <w:p w14:paraId="10E3EDEE"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Guaranty Trust Bank Ltd</w:t>
            </w:r>
          </w:p>
        </w:tc>
      </w:tr>
      <w:tr w:rsidR="00724D10" w:rsidRPr="00AE6641" w14:paraId="3BF12AA8"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062DFEF9"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19</w:t>
            </w:r>
          </w:p>
        </w:tc>
        <w:tc>
          <w:tcPr>
            <w:tcW w:w="6894" w:type="dxa"/>
            <w:tcBorders>
              <w:top w:val="nil"/>
              <w:left w:val="nil"/>
              <w:bottom w:val="single" w:sz="4" w:space="0" w:color="auto"/>
              <w:right w:val="single" w:sz="4" w:space="0" w:color="auto"/>
            </w:tcBorders>
            <w:shd w:val="clear" w:color="auto" w:fill="auto"/>
            <w:noWrap/>
            <w:vAlign w:val="bottom"/>
            <w:hideMark/>
          </w:tcPr>
          <w:p w14:paraId="2D9B5AA5"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Guardian Bank Limited</w:t>
            </w:r>
          </w:p>
        </w:tc>
      </w:tr>
      <w:tr w:rsidR="00724D10" w:rsidRPr="00AE6641" w14:paraId="3A566F1B"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2DFE4A25"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20</w:t>
            </w:r>
          </w:p>
        </w:tc>
        <w:tc>
          <w:tcPr>
            <w:tcW w:w="6894" w:type="dxa"/>
            <w:tcBorders>
              <w:top w:val="nil"/>
              <w:left w:val="nil"/>
              <w:bottom w:val="single" w:sz="4" w:space="0" w:color="auto"/>
              <w:right w:val="single" w:sz="4" w:space="0" w:color="auto"/>
            </w:tcBorders>
            <w:shd w:val="clear" w:color="auto" w:fill="auto"/>
            <w:noWrap/>
            <w:vAlign w:val="bottom"/>
            <w:hideMark/>
          </w:tcPr>
          <w:p w14:paraId="0F6F427D"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Gulf African Bank Ltd</w:t>
            </w:r>
          </w:p>
        </w:tc>
      </w:tr>
      <w:tr w:rsidR="00724D10" w:rsidRPr="00AE6641" w14:paraId="24A5A0DE"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20F13368"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21</w:t>
            </w:r>
          </w:p>
        </w:tc>
        <w:tc>
          <w:tcPr>
            <w:tcW w:w="6894" w:type="dxa"/>
            <w:tcBorders>
              <w:top w:val="nil"/>
              <w:left w:val="nil"/>
              <w:bottom w:val="single" w:sz="4" w:space="0" w:color="auto"/>
              <w:right w:val="single" w:sz="4" w:space="0" w:color="auto"/>
            </w:tcBorders>
            <w:shd w:val="clear" w:color="auto" w:fill="auto"/>
            <w:noWrap/>
            <w:vAlign w:val="bottom"/>
            <w:hideMark/>
          </w:tcPr>
          <w:p w14:paraId="604DD307"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Habib Bank AG Zurich</w:t>
            </w:r>
          </w:p>
        </w:tc>
      </w:tr>
      <w:tr w:rsidR="00724D10" w:rsidRPr="00AE6641" w14:paraId="5D25033C"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011918A7"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22</w:t>
            </w:r>
          </w:p>
        </w:tc>
        <w:tc>
          <w:tcPr>
            <w:tcW w:w="6894" w:type="dxa"/>
            <w:tcBorders>
              <w:top w:val="nil"/>
              <w:left w:val="nil"/>
              <w:bottom w:val="single" w:sz="4" w:space="0" w:color="auto"/>
              <w:right w:val="single" w:sz="4" w:space="0" w:color="auto"/>
            </w:tcBorders>
            <w:shd w:val="clear" w:color="auto" w:fill="auto"/>
            <w:noWrap/>
            <w:vAlign w:val="bottom"/>
            <w:hideMark/>
          </w:tcPr>
          <w:p w14:paraId="3AD37464"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HFC Ltd</w:t>
            </w:r>
          </w:p>
        </w:tc>
      </w:tr>
      <w:tr w:rsidR="00724D10" w:rsidRPr="00AE6641" w14:paraId="37EFE852"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6FF9F11B"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23</w:t>
            </w:r>
          </w:p>
        </w:tc>
        <w:tc>
          <w:tcPr>
            <w:tcW w:w="6894" w:type="dxa"/>
            <w:tcBorders>
              <w:top w:val="nil"/>
              <w:left w:val="nil"/>
              <w:bottom w:val="single" w:sz="4" w:space="0" w:color="auto"/>
              <w:right w:val="single" w:sz="4" w:space="0" w:color="auto"/>
            </w:tcBorders>
            <w:shd w:val="clear" w:color="auto" w:fill="auto"/>
            <w:noWrap/>
            <w:vAlign w:val="bottom"/>
            <w:hideMark/>
          </w:tcPr>
          <w:p w14:paraId="62A3909E"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I &amp; M Bank Ltd</w:t>
            </w:r>
          </w:p>
        </w:tc>
      </w:tr>
      <w:tr w:rsidR="00724D10" w:rsidRPr="00AE6641" w14:paraId="01428607"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09B07359"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24</w:t>
            </w:r>
          </w:p>
        </w:tc>
        <w:tc>
          <w:tcPr>
            <w:tcW w:w="6894" w:type="dxa"/>
            <w:tcBorders>
              <w:top w:val="nil"/>
              <w:left w:val="nil"/>
              <w:bottom w:val="single" w:sz="4" w:space="0" w:color="auto"/>
              <w:right w:val="single" w:sz="4" w:space="0" w:color="auto"/>
            </w:tcBorders>
            <w:shd w:val="clear" w:color="auto" w:fill="auto"/>
            <w:noWrap/>
            <w:vAlign w:val="bottom"/>
            <w:hideMark/>
          </w:tcPr>
          <w:p w14:paraId="5145E3D7"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KCB Bank Kenya Ltd</w:t>
            </w:r>
          </w:p>
        </w:tc>
      </w:tr>
      <w:tr w:rsidR="00724D10" w:rsidRPr="00AE6641" w14:paraId="0E4CCBF6"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701C62A1"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25</w:t>
            </w:r>
          </w:p>
        </w:tc>
        <w:tc>
          <w:tcPr>
            <w:tcW w:w="6894" w:type="dxa"/>
            <w:tcBorders>
              <w:top w:val="nil"/>
              <w:left w:val="nil"/>
              <w:bottom w:val="single" w:sz="4" w:space="0" w:color="auto"/>
              <w:right w:val="single" w:sz="4" w:space="0" w:color="auto"/>
            </w:tcBorders>
            <w:shd w:val="clear" w:color="auto" w:fill="auto"/>
            <w:noWrap/>
            <w:vAlign w:val="bottom"/>
            <w:hideMark/>
          </w:tcPr>
          <w:p w14:paraId="0C009B27"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Kingdom Bank Ltd</w:t>
            </w:r>
          </w:p>
        </w:tc>
      </w:tr>
      <w:tr w:rsidR="00724D10" w:rsidRPr="00AE6641" w14:paraId="14100115"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333956F6"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26</w:t>
            </w:r>
          </w:p>
        </w:tc>
        <w:tc>
          <w:tcPr>
            <w:tcW w:w="6894" w:type="dxa"/>
            <w:tcBorders>
              <w:top w:val="nil"/>
              <w:left w:val="nil"/>
              <w:bottom w:val="single" w:sz="4" w:space="0" w:color="auto"/>
              <w:right w:val="single" w:sz="4" w:space="0" w:color="auto"/>
            </w:tcBorders>
            <w:shd w:val="clear" w:color="auto" w:fill="auto"/>
            <w:noWrap/>
            <w:vAlign w:val="bottom"/>
            <w:hideMark/>
          </w:tcPr>
          <w:p w14:paraId="39C9F6DB"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Middle East Bank (K) Ltd</w:t>
            </w:r>
          </w:p>
        </w:tc>
      </w:tr>
      <w:tr w:rsidR="00724D10" w:rsidRPr="00AE6641" w14:paraId="5AD05415"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45064E15"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27</w:t>
            </w:r>
          </w:p>
        </w:tc>
        <w:tc>
          <w:tcPr>
            <w:tcW w:w="6894" w:type="dxa"/>
            <w:tcBorders>
              <w:top w:val="nil"/>
              <w:left w:val="nil"/>
              <w:bottom w:val="single" w:sz="4" w:space="0" w:color="auto"/>
              <w:right w:val="single" w:sz="4" w:space="0" w:color="auto"/>
            </w:tcBorders>
            <w:shd w:val="clear" w:color="auto" w:fill="auto"/>
            <w:noWrap/>
            <w:vAlign w:val="bottom"/>
            <w:hideMark/>
          </w:tcPr>
          <w:p w14:paraId="1DEE5219"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M-Oriental Commercial Bank Ltd</w:t>
            </w:r>
          </w:p>
        </w:tc>
      </w:tr>
      <w:tr w:rsidR="00724D10" w:rsidRPr="00AE6641" w14:paraId="7505820F"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0536A304"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28</w:t>
            </w:r>
          </w:p>
        </w:tc>
        <w:tc>
          <w:tcPr>
            <w:tcW w:w="6894" w:type="dxa"/>
            <w:tcBorders>
              <w:top w:val="nil"/>
              <w:left w:val="nil"/>
              <w:bottom w:val="single" w:sz="4" w:space="0" w:color="auto"/>
              <w:right w:val="single" w:sz="4" w:space="0" w:color="auto"/>
            </w:tcBorders>
            <w:shd w:val="clear" w:color="auto" w:fill="auto"/>
            <w:noWrap/>
            <w:vAlign w:val="bottom"/>
            <w:hideMark/>
          </w:tcPr>
          <w:p w14:paraId="1C188DD2"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National Bank of Kenya Ltd</w:t>
            </w:r>
          </w:p>
        </w:tc>
      </w:tr>
      <w:tr w:rsidR="00724D10" w:rsidRPr="00AE6641" w14:paraId="1D1EB2A8"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6F5B724E"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29</w:t>
            </w:r>
          </w:p>
        </w:tc>
        <w:tc>
          <w:tcPr>
            <w:tcW w:w="6894" w:type="dxa"/>
            <w:tcBorders>
              <w:top w:val="nil"/>
              <w:left w:val="nil"/>
              <w:bottom w:val="single" w:sz="4" w:space="0" w:color="auto"/>
              <w:right w:val="single" w:sz="4" w:space="0" w:color="auto"/>
            </w:tcBorders>
            <w:shd w:val="clear" w:color="auto" w:fill="auto"/>
            <w:noWrap/>
            <w:vAlign w:val="bottom"/>
            <w:hideMark/>
          </w:tcPr>
          <w:p w14:paraId="223D1A17"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NCBA Bank Kenya PLC</w:t>
            </w:r>
          </w:p>
        </w:tc>
      </w:tr>
      <w:tr w:rsidR="00724D10" w:rsidRPr="00AE6641" w14:paraId="0BABC35B"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3DB8A9C1"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30</w:t>
            </w:r>
          </w:p>
        </w:tc>
        <w:tc>
          <w:tcPr>
            <w:tcW w:w="6894" w:type="dxa"/>
            <w:tcBorders>
              <w:top w:val="nil"/>
              <w:left w:val="nil"/>
              <w:bottom w:val="single" w:sz="4" w:space="0" w:color="auto"/>
              <w:right w:val="single" w:sz="4" w:space="0" w:color="auto"/>
            </w:tcBorders>
            <w:shd w:val="clear" w:color="auto" w:fill="auto"/>
            <w:noWrap/>
            <w:vAlign w:val="bottom"/>
            <w:hideMark/>
          </w:tcPr>
          <w:p w14:paraId="705518F8"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Paramount Bank Ltd</w:t>
            </w:r>
          </w:p>
        </w:tc>
      </w:tr>
      <w:tr w:rsidR="00724D10" w:rsidRPr="00AE6641" w14:paraId="7867771F"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577224D7"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31</w:t>
            </w:r>
          </w:p>
        </w:tc>
        <w:tc>
          <w:tcPr>
            <w:tcW w:w="6894" w:type="dxa"/>
            <w:tcBorders>
              <w:top w:val="nil"/>
              <w:left w:val="nil"/>
              <w:bottom w:val="single" w:sz="4" w:space="0" w:color="auto"/>
              <w:right w:val="single" w:sz="4" w:space="0" w:color="auto"/>
            </w:tcBorders>
            <w:shd w:val="clear" w:color="auto" w:fill="auto"/>
            <w:noWrap/>
            <w:vAlign w:val="bottom"/>
            <w:hideMark/>
          </w:tcPr>
          <w:p w14:paraId="50FC4171"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Prime Bank Ltd</w:t>
            </w:r>
          </w:p>
        </w:tc>
      </w:tr>
      <w:tr w:rsidR="00724D10" w:rsidRPr="00AE6641" w14:paraId="194867B1"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3451CFC2"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32</w:t>
            </w:r>
          </w:p>
        </w:tc>
        <w:tc>
          <w:tcPr>
            <w:tcW w:w="6894" w:type="dxa"/>
            <w:tcBorders>
              <w:top w:val="nil"/>
              <w:left w:val="nil"/>
              <w:bottom w:val="single" w:sz="4" w:space="0" w:color="auto"/>
              <w:right w:val="single" w:sz="4" w:space="0" w:color="auto"/>
            </w:tcBorders>
            <w:shd w:val="clear" w:color="auto" w:fill="auto"/>
            <w:noWrap/>
            <w:vAlign w:val="bottom"/>
            <w:hideMark/>
          </w:tcPr>
          <w:p w14:paraId="419C03BE"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SBM Bank Kenya Ltd</w:t>
            </w:r>
          </w:p>
        </w:tc>
      </w:tr>
      <w:tr w:rsidR="00724D10" w:rsidRPr="00AE6641" w14:paraId="24CDDF0A"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09BEB8B6"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33</w:t>
            </w:r>
          </w:p>
        </w:tc>
        <w:tc>
          <w:tcPr>
            <w:tcW w:w="6894" w:type="dxa"/>
            <w:tcBorders>
              <w:top w:val="nil"/>
              <w:left w:val="nil"/>
              <w:bottom w:val="single" w:sz="4" w:space="0" w:color="auto"/>
              <w:right w:val="single" w:sz="4" w:space="0" w:color="auto"/>
            </w:tcBorders>
            <w:shd w:val="clear" w:color="auto" w:fill="auto"/>
            <w:noWrap/>
            <w:vAlign w:val="bottom"/>
            <w:hideMark/>
          </w:tcPr>
          <w:p w14:paraId="74C0D590"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Sidian Bank Ltd</w:t>
            </w:r>
          </w:p>
        </w:tc>
      </w:tr>
      <w:tr w:rsidR="00724D10" w:rsidRPr="00AE6641" w14:paraId="12A6943E"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08F24180"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34</w:t>
            </w:r>
          </w:p>
        </w:tc>
        <w:tc>
          <w:tcPr>
            <w:tcW w:w="6894" w:type="dxa"/>
            <w:tcBorders>
              <w:top w:val="nil"/>
              <w:left w:val="nil"/>
              <w:bottom w:val="single" w:sz="4" w:space="0" w:color="auto"/>
              <w:right w:val="single" w:sz="4" w:space="0" w:color="auto"/>
            </w:tcBorders>
            <w:shd w:val="clear" w:color="auto" w:fill="auto"/>
            <w:noWrap/>
            <w:vAlign w:val="bottom"/>
            <w:hideMark/>
          </w:tcPr>
          <w:p w14:paraId="50C78E2F"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Spire Bank Limited</w:t>
            </w:r>
          </w:p>
        </w:tc>
      </w:tr>
      <w:tr w:rsidR="00724D10" w:rsidRPr="00AE6641" w14:paraId="651456B4"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1B91C8F8"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35</w:t>
            </w:r>
          </w:p>
        </w:tc>
        <w:tc>
          <w:tcPr>
            <w:tcW w:w="6894" w:type="dxa"/>
            <w:tcBorders>
              <w:top w:val="nil"/>
              <w:left w:val="nil"/>
              <w:bottom w:val="single" w:sz="4" w:space="0" w:color="auto"/>
              <w:right w:val="single" w:sz="4" w:space="0" w:color="auto"/>
            </w:tcBorders>
            <w:shd w:val="clear" w:color="auto" w:fill="auto"/>
            <w:noWrap/>
            <w:vAlign w:val="bottom"/>
            <w:hideMark/>
          </w:tcPr>
          <w:p w14:paraId="42D79FA5"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Stanbic Bank Kenya Ltd</w:t>
            </w:r>
          </w:p>
        </w:tc>
      </w:tr>
      <w:tr w:rsidR="00724D10" w:rsidRPr="00AE6641" w14:paraId="16EADD4E"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584F2875"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36</w:t>
            </w:r>
          </w:p>
        </w:tc>
        <w:tc>
          <w:tcPr>
            <w:tcW w:w="6894" w:type="dxa"/>
            <w:tcBorders>
              <w:top w:val="nil"/>
              <w:left w:val="nil"/>
              <w:bottom w:val="single" w:sz="4" w:space="0" w:color="auto"/>
              <w:right w:val="single" w:sz="4" w:space="0" w:color="auto"/>
            </w:tcBorders>
            <w:shd w:val="clear" w:color="auto" w:fill="auto"/>
            <w:noWrap/>
            <w:vAlign w:val="bottom"/>
            <w:hideMark/>
          </w:tcPr>
          <w:p w14:paraId="6FCFEE03"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Standard Chartered Bank Kenya Ltd</w:t>
            </w:r>
          </w:p>
        </w:tc>
      </w:tr>
      <w:tr w:rsidR="00724D10" w:rsidRPr="00AE6641" w14:paraId="7A6BAB83"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4B38C8AF"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37</w:t>
            </w:r>
          </w:p>
        </w:tc>
        <w:tc>
          <w:tcPr>
            <w:tcW w:w="6894" w:type="dxa"/>
            <w:tcBorders>
              <w:top w:val="nil"/>
              <w:left w:val="nil"/>
              <w:bottom w:val="single" w:sz="4" w:space="0" w:color="auto"/>
              <w:right w:val="single" w:sz="4" w:space="0" w:color="auto"/>
            </w:tcBorders>
            <w:shd w:val="clear" w:color="auto" w:fill="auto"/>
            <w:noWrap/>
            <w:vAlign w:val="bottom"/>
            <w:hideMark/>
          </w:tcPr>
          <w:p w14:paraId="5C77C920"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UBA Kenya Bank Ltd</w:t>
            </w:r>
          </w:p>
        </w:tc>
      </w:tr>
      <w:tr w:rsidR="00724D10" w:rsidRPr="00AE6641" w14:paraId="19B5EAC4" w14:textId="77777777" w:rsidTr="00A52602">
        <w:trPr>
          <w:trHeight w:val="294"/>
        </w:trPr>
        <w:tc>
          <w:tcPr>
            <w:tcW w:w="893" w:type="dxa"/>
            <w:tcBorders>
              <w:top w:val="nil"/>
              <w:left w:val="single" w:sz="4" w:space="0" w:color="auto"/>
              <w:bottom w:val="single" w:sz="4" w:space="0" w:color="auto"/>
              <w:right w:val="single" w:sz="4" w:space="0" w:color="auto"/>
            </w:tcBorders>
            <w:shd w:val="clear" w:color="auto" w:fill="auto"/>
            <w:noWrap/>
            <w:vAlign w:val="bottom"/>
            <w:hideMark/>
          </w:tcPr>
          <w:p w14:paraId="0F9FA718" w14:textId="77777777" w:rsidR="00724D10" w:rsidRPr="00AE6641" w:rsidRDefault="00724D10" w:rsidP="00AE6641">
            <w:pPr>
              <w:spacing w:after="0" w:line="240" w:lineRule="auto"/>
              <w:jc w:val="right"/>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38</w:t>
            </w:r>
          </w:p>
        </w:tc>
        <w:tc>
          <w:tcPr>
            <w:tcW w:w="6894" w:type="dxa"/>
            <w:tcBorders>
              <w:top w:val="nil"/>
              <w:left w:val="nil"/>
              <w:bottom w:val="single" w:sz="4" w:space="0" w:color="auto"/>
              <w:right w:val="single" w:sz="4" w:space="0" w:color="auto"/>
            </w:tcBorders>
            <w:shd w:val="clear" w:color="auto" w:fill="auto"/>
            <w:noWrap/>
            <w:vAlign w:val="bottom"/>
            <w:hideMark/>
          </w:tcPr>
          <w:p w14:paraId="7ADA09C6" w14:textId="77777777" w:rsidR="00724D10" w:rsidRPr="00AE6641" w:rsidRDefault="00724D10" w:rsidP="00AE6641">
            <w:pPr>
              <w:spacing w:after="0" w:line="240" w:lineRule="auto"/>
              <w:rPr>
                <w:rFonts w:asciiTheme="majorHAnsi" w:eastAsia="Times New Roman" w:hAnsiTheme="majorHAnsi" w:cstheme="majorHAnsi"/>
                <w:color w:val="000000"/>
                <w:sz w:val="18"/>
                <w:szCs w:val="18"/>
              </w:rPr>
            </w:pPr>
            <w:r w:rsidRPr="00AE6641">
              <w:rPr>
                <w:rFonts w:asciiTheme="majorHAnsi" w:eastAsia="Times New Roman" w:hAnsiTheme="majorHAnsi" w:cstheme="majorHAnsi"/>
                <w:color w:val="000000"/>
                <w:sz w:val="18"/>
                <w:szCs w:val="18"/>
              </w:rPr>
              <w:t>Victoria Commercial Bank Limited</w:t>
            </w:r>
          </w:p>
        </w:tc>
      </w:tr>
    </w:tbl>
    <w:p w14:paraId="72FC222A" w14:textId="77777777" w:rsidR="00724D10" w:rsidRPr="00AE6641" w:rsidRDefault="00724D10" w:rsidP="00AE6641">
      <w:pPr>
        <w:widowControl w:val="0"/>
        <w:autoSpaceDE w:val="0"/>
        <w:autoSpaceDN w:val="0"/>
        <w:adjustRightInd w:val="0"/>
        <w:spacing w:after="0" w:line="240" w:lineRule="auto"/>
        <w:rPr>
          <w:rFonts w:asciiTheme="majorHAnsi" w:hAnsiTheme="majorHAnsi" w:cstheme="majorHAnsi"/>
          <w:b/>
          <w:bCs/>
          <w:iCs/>
          <w:sz w:val="18"/>
          <w:szCs w:val="18"/>
        </w:rPr>
      </w:pPr>
    </w:p>
    <w:p w14:paraId="4DB7919B" w14:textId="77777777" w:rsidR="00724D10" w:rsidRPr="00AE6641" w:rsidRDefault="00724D10" w:rsidP="00AE6641">
      <w:pPr>
        <w:widowControl w:val="0"/>
        <w:autoSpaceDE w:val="0"/>
        <w:autoSpaceDN w:val="0"/>
        <w:adjustRightInd w:val="0"/>
        <w:spacing w:after="0" w:line="240" w:lineRule="auto"/>
        <w:rPr>
          <w:rFonts w:asciiTheme="majorHAnsi" w:hAnsiTheme="majorHAnsi" w:cstheme="majorHAnsi"/>
          <w:iCs/>
          <w:sz w:val="18"/>
          <w:szCs w:val="18"/>
        </w:rPr>
      </w:pPr>
      <w:r w:rsidRPr="00AE6641">
        <w:rPr>
          <w:rFonts w:asciiTheme="majorHAnsi" w:hAnsiTheme="majorHAnsi" w:cstheme="majorHAnsi"/>
          <w:iCs/>
          <w:sz w:val="18"/>
          <w:szCs w:val="18"/>
        </w:rPr>
        <w:t>Source: Central Bank of Kenya</w:t>
      </w:r>
    </w:p>
    <w:p w14:paraId="1AAE8DA8" w14:textId="77777777" w:rsidR="00724D10" w:rsidRPr="0022305D" w:rsidRDefault="00724D10" w:rsidP="00724D10">
      <w:pPr>
        <w:tabs>
          <w:tab w:val="left" w:pos="4188"/>
        </w:tabs>
        <w:spacing w:line="480" w:lineRule="auto"/>
        <w:rPr>
          <w:rFonts w:asciiTheme="majorHAnsi" w:hAnsiTheme="majorHAnsi" w:cstheme="majorHAnsi"/>
          <w:sz w:val="24"/>
          <w:szCs w:val="24"/>
        </w:rPr>
      </w:pPr>
    </w:p>
    <w:p w14:paraId="1FD1ADA7" w14:textId="0B4CD000" w:rsidR="00724D10" w:rsidRPr="0022305D" w:rsidRDefault="00724D10" w:rsidP="00D272C9">
      <w:pPr>
        <w:pStyle w:val="Heading2"/>
        <w:spacing w:line="480" w:lineRule="auto"/>
        <w:rPr>
          <w:rFonts w:asciiTheme="majorHAnsi" w:hAnsiTheme="majorHAnsi" w:cstheme="majorHAnsi"/>
          <w:sz w:val="24"/>
          <w:szCs w:val="24"/>
        </w:rPr>
      </w:pPr>
      <w:bookmarkStart w:id="141" w:name="_Toc76494431"/>
      <w:bookmarkStart w:id="142" w:name="_Toc78205833"/>
      <w:r w:rsidRPr="00AB63A4">
        <w:rPr>
          <w:rFonts w:asciiTheme="majorHAnsi" w:hAnsiTheme="majorHAnsi" w:cstheme="majorHAnsi"/>
          <w:b w:val="0"/>
          <w:bCs/>
          <w:sz w:val="24"/>
          <w:szCs w:val="24"/>
        </w:rPr>
        <w:t>Appendix 3</w:t>
      </w:r>
      <w:r w:rsidRPr="0022305D">
        <w:rPr>
          <w:rFonts w:asciiTheme="majorHAnsi" w:hAnsiTheme="majorHAnsi" w:cstheme="majorHAnsi"/>
          <w:sz w:val="24"/>
          <w:szCs w:val="24"/>
        </w:rPr>
        <w:t xml:space="preserve">: </w:t>
      </w:r>
      <w:r w:rsidRPr="0022305D">
        <w:rPr>
          <w:rStyle w:val="Heading2Char"/>
          <w:rFonts w:asciiTheme="majorHAnsi" w:hAnsiTheme="majorHAnsi" w:cstheme="majorHAnsi"/>
        </w:rPr>
        <w:t>Secondary data collection tool</w:t>
      </w:r>
      <w:bookmarkEnd w:id="141"/>
      <w:bookmarkEnd w:id="142"/>
    </w:p>
    <w:p w14:paraId="49FFA9C6" w14:textId="77777777" w:rsidR="00724D10" w:rsidRPr="0022305D" w:rsidRDefault="00724D10" w:rsidP="00724D10">
      <w:pPr>
        <w:tabs>
          <w:tab w:val="left" w:pos="4188"/>
        </w:tabs>
        <w:spacing w:line="480" w:lineRule="auto"/>
        <w:rPr>
          <w:rFonts w:asciiTheme="majorHAnsi" w:hAnsiTheme="majorHAnsi" w:cstheme="majorHAnsi"/>
          <w:sz w:val="24"/>
          <w:szCs w:val="24"/>
        </w:rPr>
      </w:pPr>
      <w:r w:rsidRPr="0022305D">
        <w:rPr>
          <w:rFonts w:asciiTheme="majorHAnsi" w:hAnsiTheme="majorHAnsi" w:cstheme="majorHAnsi"/>
          <w:noProof/>
        </w:rPr>
        <w:drawing>
          <wp:inline distT="0" distB="0" distL="0" distR="0" wp14:anchorId="4A2C8D72" wp14:editId="2A3B2DB9">
            <wp:extent cx="5848350" cy="27336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48350" cy="2733675"/>
                    </a:xfrm>
                    <a:prstGeom prst="rect">
                      <a:avLst/>
                    </a:prstGeom>
                    <a:noFill/>
                    <a:ln>
                      <a:noFill/>
                    </a:ln>
                  </pic:spPr>
                </pic:pic>
              </a:graphicData>
            </a:graphic>
          </wp:inline>
        </w:drawing>
      </w:r>
    </w:p>
    <w:p w14:paraId="7020DD0E" w14:textId="77777777" w:rsidR="00724D10" w:rsidRPr="0022305D" w:rsidRDefault="00724D10" w:rsidP="00724D10">
      <w:pPr>
        <w:tabs>
          <w:tab w:val="left" w:pos="4188"/>
        </w:tabs>
        <w:spacing w:line="480" w:lineRule="auto"/>
        <w:rPr>
          <w:rFonts w:asciiTheme="majorHAnsi" w:hAnsiTheme="majorHAnsi" w:cstheme="majorHAnsi"/>
          <w:sz w:val="24"/>
          <w:szCs w:val="24"/>
        </w:rPr>
      </w:pPr>
    </w:p>
    <w:p w14:paraId="37CD50E8" w14:textId="77777777" w:rsidR="00724D10" w:rsidRPr="0022305D" w:rsidRDefault="00724D10" w:rsidP="00724D10">
      <w:pPr>
        <w:tabs>
          <w:tab w:val="left" w:pos="4188"/>
        </w:tabs>
        <w:spacing w:line="480" w:lineRule="auto"/>
        <w:rPr>
          <w:rFonts w:asciiTheme="majorHAnsi" w:hAnsiTheme="majorHAnsi" w:cstheme="majorHAnsi"/>
          <w:sz w:val="24"/>
          <w:szCs w:val="24"/>
        </w:rPr>
      </w:pPr>
    </w:p>
    <w:p w14:paraId="5AA5A0A2" w14:textId="2AEDA670" w:rsidR="00724D10" w:rsidRDefault="00724D10" w:rsidP="00724D10">
      <w:pPr>
        <w:tabs>
          <w:tab w:val="left" w:pos="4188"/>
        </w:tabs>
        <w:spacing w:line="480" w:lineRule="auto"/>
        <w:rPr>
          <w:rFonts w:asciiTheme="majorHAnsi" w:hAnsiTheme="majorHAnsi" w:cstheme="majorHAnsi"/>
          <w:sz w:val="24"/>
          <w:szCs w:val="24"/>
        </w:rPr>
      </w:pPr>
    </w:p>
    <w:p w14:paraId="7A16D8D9" w14:textId="5989E595" w:rsidR="00F55DAA" w:rsidRDefault="00F55DAA" w:rsidP="00724D10">
      <w:pPr>
        <w:tabs>
          <w:tab w:val="left" w:pos="4188"/>
        </w:tabs>
        <w:spacing w:line="480" w:lineRule="auto"/>
        <w:rPr>
          <w:rFonts w:asciiTheme="majorHAnsi" w:hAnsiTheme="majorHAnsi" w:cstheme="majorHAnsi"/>
          <w:sz w:val="24"/>
          <w:szCs w:val="24"/>
        </w:rPr>
      </w:pPr>
    </w:p>
    <w:p w14:paraId="1A395C93" w14:textId="25A125E8" w:rsidR="00F55DAA" w:rsidRDefault="00F55DAA" w:rsidP="00724D10">
      <w:pPr>
        <w:tabs>
          <w:tab w:val="left" w:pos="4188"/>
        </w:tabs>
        <w:spacing w:line="480" w:lineRule="auto"/>
        <w:rPr>
          <w:rFonts w:asciiTheme="majorHAnsi" w:hAnsiTheme="majorHAnsi" w:cstheme="majorHAnsi"/>
          <w:sz w:val="24"/>
          <w:szCs w:val="24"/>
        </w:rPr>
      </w:pPr>
    </w:p>
    <w:p w14:paraId="3237F918" w14:textId="285BCFF5" w:rsidR="00F55DAA" w:rsidRDefault="00F55DAA" w:rsidP="00724D10">
      <w:pPr>
        <w:tabs>
          <w:tab w:val="left" w:pos="4188"/>
        </w:tabs>
        <w:spacing w:line="480" w:lineRule="auto"/>
        <w:rPr>
          <w:rFonts w:asciiTheme="majorHAnsi" w:hAnsiTheme="majorHAnsi" w:cstheme="majorHAnsi"/>
          <w:sz w:val="24"/>
          <w:szCs w:val="24"/>
        </w:rPr>
      </w:pPr>
    </w:p>
    <w:p w14:paraId="6545B35B" w14:textId="3DFEA398" w:rsidR="00F55DAA" w:rsidRDefault="00F55DAA" w:rsidP="00724D10">
      <w:pPr>
        <w:tabs>
          <w:tab w:val="left" w:pos="4188"/>
        </w:tabs>
        <w:spacing w:line="480" w:lineRule="auto"/>
        <w:rPr>
          <w:rFonts w:asciiTheme="majorHAnsi" w:hAnsiTheme="majorHAnsi" w:cstheme="majorHAnsi"/>
          <w:sz w:val="24"/>
          <w:szCs w:val="24"/>
        </w:rPr>
      </w:pPr>
    </w:p>
    <w:p w14:paraId="6CD6C985" w14:textId="06FDE237" w:rsidR="00F55DAA" w:rsidRDefault="00F55DAA" w:rsidP="00724D10">
      <w:pPr>
        <w:tabs>
          <w:tab w:val="left" w:pos="4188"/>
        </w:tabs>
        <w:spacing w:line="480" w:lineRule="auto"/>
        <w:rPr>
          <w:rFonts w:asciiTheme="majorHAnsi" w:hAnsiTheme="majorHAnsi" w:cstheme="majorHAnsi"/>
          <w:sz w:val="24"/>
          <w:szCs w:val="24"/>
        </w:rPr>
      </w:pPr>
    </w:p>
    <w:p w14:paraId="54DC04DD" w14:textId="17B3648F" w:rsidR="00F55DAA" w:rsidRDefault="00F55DAA" w:rsidP="00724D10">
      <w:pPr>
        <w:tabs>
          <w:tab w:val="left" w:pos="4188"/>
        </w:tabs>
        <w:spacing w:line="480" w:lineRule="auto"/>
        <w:rPr>
          <w:rFonts w:asciiTheme="majorHAnsi" w:hAnsiTheme="majorHAnsi" w:cstheme="majorHAnsi"/>
          <w:sz w:val="24"/>
          <w:szCs w:val="24"/>
        </w:rPr>
      </w:pPr>
    </w:p>
    <w:p w14:paraId="5825865C" w14:textId="32A04B0B" w:rsidR="00F55DAA" w:rsidRDefault="00F55DAA" w:rsidP="00724D10">
      <w:pPr>
        <w:tabs>
          <w:tab w:val="left" w:pos="4188"/>
        </w:tabs>
        <w:spacing w:line="480" w:lineRule="auto"/>
        <w:rPr>
          <w:rFonts w:asciiTheme="majorHAnsi" w:hAnsiTheme="majorHAnsi" w:cstheme="majorHAnsi"/>
          <w:sz w:val="24"/>
          <w:szCs w:val="24"/>
        </w:rPr>
      </w:pPr>
    </w:p>
    <w:p w14:paraId="4A6BB3BF" w14:textId="20DB7C8E" w:rsidR="00F55DAA" w:rsidRDefault="00F55DAA" w:rsidP="00724D10">
      <w:pPr>
        <w:tabs>
          <w:tab w:val="left" w:pos="4188"/>
        </w:tabs>
        <w:spacing w:line="480" w:lineRule="auto"/>
        <w:rPr>
          <w:rFonts w:asciiTheme="majorHAnsi" w:hAnsiTheme="majorHAnsi" w:cstheme="majorHAnsi"/>
          <w:sz w:val="24"/>
          <w:szCs w:val="24"/>
        </w:rPr>
      </w:pPr>
    </w:p>
    <w:p w14:paraId="1F462915" w14:textId="29EBABC3" w:rsidR="00F55DAA" w:rsidRPr="00AB63A4" w:rsidRDefault="00AB63A4" w:rsidP="00AB63A4">
      <w:pPr>
        <w:pStyle w:val="Heading2"/>
        <w:rPr>
          <w:b w:val="0"/>
          <w:bCs/>
        </w:rPr>
      </w:pPr>
      <w:bookmarkStart w:id="143" w:name="_Toc78205834"/>
      <w:r w:rsidRPr="00AB63A4">
        <w:rPr>
          <w:rStyle w:val="markedcontent"/>
          <w:b w:val="0"/>
          <w:bCs/>
        </w:rPr>
        <w:t xml:space="preserve">Appendix 4: </w:t>
      </w:r>
      <w:r w:rsidR="00F55DAA" w:rsidRPr="00AB63A4">
        <w:rPr>
          <w:rStyle w:val="markedcontent"/>
          <w:b w:val="0"/>
          <w:bCs/>
        </w:rPr>
        <w:t>T</w:t>
      </w:r>
      <w:r w:rsidR="00FC0C3C" w:rsidRPr="00AB63A4">
        <w:rPr>
          <w:rStyle w:val="markedcontent"/>
          <w:b w:val="0"/>
          <w:bCs/>
        </w:rPr>
        <w:t>ime table</w:t>
      </w:r>
      <w:bookmarkEnd w:id="143"/>
    </w:p>
    <w:tbl>
      <w:tblPr>
        <w:tblStyle w:val="TableGrid"/>
        <w:tblW w:w="0" w:type="auto"/>
        <w:tblLook w:val="04A0" w:firstRow="1" w:lastRow="0" w:firstColumn="1" w:lastColumn="0" w:noHBand="0" w:noVBand="1"/>
      </w:tblPr>
      <w:tblGrid>
        <w:gridCol w:w="3865"/>
        <w:gridCol w:w="4680"/>
      </w:tblGrid>
      <w:tr w:rsidR="00F55DAA" w14:paraId="18087329" w14:textId="77777777" w:rsidTr="00F55DAA">
        <w:tc>
          <w:tcPr>
            <w:tcW w:w="3865" w:type="dxa"/>
          </w:tcPr>
          <w:p w14:paraId="427F7FE5" w14:textId="49B45FE8" w:rsidR="00F55DAA" w:rsidRPr="00F55DAA" w:rsidRDefault="00F55DAA" w:rsidP="00724D10">
            <w:pPr>
              <w:tabs>
                <w:tab w:val="left" w:pos="4188"/>
              </w:tabs>
              <w:spacing w:line="480" w:lineRule="auto"/>
              <w:rPr>
                <w:rFonts w:asciiTheme="majorHAnsi" w:hAnsiTheme="majorHAnsi" w:cstheme="majorHAnsi"/>
                <w:b/>
                <w:bCs/>
                <w:sz w:val="24"/>
                <w:szCs w:val="24"/>
              </w:rPr>
            </w:pPr>
            <w:r w:rsidRPr="00F55DAA">
              <w:rPr>
                <w:rFonts w:asciiTheme="majorHAnsi" w:hAnsiTheme="majorHAnsi" w:cstheme="majorHAnsi"/>
                <w:b/>
                <w:bCs/>
                <w:sz w:val="24"/>
                <w:szCs w:val="24"/>
              </w:rPr>
              <w:t>TIME</w:t>
            </w:r>
          </w:p>
        </w:tc>
        <w:tc>
          <w:tcPr>
            <w:tcW w:w="4680" w:type="dxa"/>
          </w:tcPr>
          <w:p w14:paraId="305A48A3" w14:textId="39322C15" w:rsidR="00F55DAA" w:rsidRPr="00F55DAA" w:rsidRDefault="00F55DAA" w:rsidP="00724D10">
            <w:pPr>
              <w:tabs>
                <w:tab w:val="left" w:pos="4188"/>
              </w:tabs>
              <w:spacing w:line="480" w:lineRule="auto"/>
              <w:rPr>
                <w:rFonts w:asciiTheme="majorHAnsi" w:hAnsiTheme="majorHAnsi" w:cstheme="majorHAnsi"/>
                <w:b/>
                <w:bCs/>
                <w:sz w:val="24"/>
                <w:szCs w:val="24"/>
              </w:rPr>
            </w:pPr>
            <w:r w:rsidRPr="00F55DAA">
              <w:rPr>
                <w:rFonts w:asciiTheme="majorHAnsi" w:hAnsiTheme="majorHAnsi" w:cstheme="majorHAnsi"/>
                <w:b/>
                <w:bCs/>
                <w:sz w:val="24"/>
                <w:szCs w:val="24"/>
              </w:rPr>
              <w:t>ACTIVITY</w:t>
            </w:r>
          </w:p>
        </w:tc>
      </w:tr>
      <w:tr w:rsidR="00F55DAA" w14:paraId="4753F603" w14:textId="77777777" w:rsidTr="00F55DAA">
        <w:tc>
          <w:tcPr>
            <w:tcW w:w="3865" w:type="dxa"/>
          </w:tcPr>
          <w:p w14:paraId="1736A8AA" w14:textId="538F68A7" w:rsidR="00F55DAA" w:rsidRPr="00F55DAA" w:rsidRDefault="00F55DAA" w:rsidP="00724D10">
            <w:pPr>
              <w:tabs>
                <w:tab w:val="left" w:pos="4188"/>
              </w:tabs>
              <w:spacing w:line="480" w:lineRule="auto"/>
              <w:rPr>
                <w:rFonts w:asciiTheme="majorHAnsi" w:hAnsiTheme="majorHAnsi" w:cstheme="majorHAnsi"/>
                <w:sz w:val="24"/>
                <w:szCs w:val="24"/>
              </w:rPr>
            </w:pPr>
            <w:r w:rsidRPr="00F55DAA">
              <w:rPr>
                <w:rStyle w:val="markedcontent"/>
                <w:rFonts w:asciiTheme="majorHAnsi" w:hAnsiTheme="majorHAnsi" w:cstheme="majorHAnsi"/>
                <w:sz w:val="30"/>
                <w:szCs w:val="30"/>
              </w:rPr>
              <w:t>December 2020</w:t>
            </w:r>
          </w:p>
        </w:tc>
        <w:tc>
          <w:tcPr>
            <w:tcW w:w="4680" w:type="dxa"/>
          </w:tcPr>
          <w:p w14:paraId="26F14126" w14:textId="1A92280C" w:rsidR="00F55DAA" w:rsidRPr="00F55DAA" w:rsidRDefault="00F55DAA" w:rsidP="00724D10">
            <w:pPr>
              <w:tabs>
                <w:tab w:val="left" w:pos="4188"/>
              </w:tabs>
              <w:spacing w:line="480" w:lineRule="auto"/>
              <w:rPr>
                <w:rFonts w:asciiTheme="majorHAnsi" w:hAnsiTheme="majorHAnsi" w:cstheme="majorHAnsi"/>
                <w:sz w:val="24"/>
                <w:szCs w:val="24"/>
              </w:rPr>
            </w:pPr>
            <w:r w:rsidRPr="00F55DAA">
              <w:rPr>
                <w:rStyle w:val="markedcontent"/>
                <w:rFonts w:asciiTheme="majorHAnsi" w:hAnsiTheme="majorHAnsi" w:cstheme="majorHAnsi"/>
                <w:sz w:val="30"/>
                <w:szCs w:val="30"/>
              </w:rPr>
              <w:t>Concept Presentation</w:t>
            </w:r>
          </w:p>
        </w:tc>
      </w:tr>
      <w:tr w:rsidR="00F55DAA" w14:paraId="467FE2C6" w14:textId="77777777" w:rsidTr="00F55DAA">
        <w:tc>
          <w:tcPr>
            <w:tcW w:w="3865" w:type="dxa"/>
          </w:tcPr>
          <w:p w14:paraId="7B11AC59" w14:textId="1010FABB" w:rsidR="00F55DAA" w:rsidRPr="00F55DAA" w:rsidRDefault="00F55DAA" w:rsidP="00724D10">
            <w:pPr>
              <w:tabs>
                <w:tab w:val="left" w:pos="4188"/>
              </w:tabs>
              <w:spacing w:line="480" w:lineRule="auto"/>
              <w:rPr>
                <w:rFonts w:asciiTheme="majorHAnsi" w:hAnsiTheme="majorHAnsi" w:cstheme="majorHAnsi"/>
                <w:sz w:val="24"/>
                <w:szCs w:val="24"/>
              </w:rPr>
            </w:pPr>
            <w:r w:rsidRPr="00F55DAA">
              <w:rPr>
                <w:rStyle w:val="markedcontent"/>
                <w:rFonts w:asciiTheme="majorHAnsi" w:hAnsiTheme="majorHAnsi" w:cstheme="majorHAnsi"/>
                <w:sz w:val="30"/>
                <w:szCs w:val="30"/>
              </w:rPr>
              <w:t>February 2021</w:t>
            </w:r>
          </w:p>
        </w:tc>
        <w:tc>
          <w:tcPr>
            <w:tcW w:w="4680" w:type="dxa"/>
          </w:tcPr>
          <w:p w14:paraId="700DDBAC" w14:textId="19C97EF6" w:rsidR="00F55DAA" w:rsidRPr="00F55DAA" w:rsidRDefault="00F55DAA" w:rsidP="00724D10">
            <w:pPr>
              <w:tabs>
                <w:tab w:val="left" w:pos="4188"/>
              </w:tabs>
              <w:spacing w:line="480" w:lineRule="auto"/>
              <w:rPr>
                <w:rFonts w:asciiTheme="majorHAnsi" w:hAnsiTheme="majorHAnsi" w:cstheme="majorHAnsi"/>
                <w:sz w:val="24"/>
                <w:szCs w:val="24"/>
              </w:rPr>
            </w:pPr>
            <w:r w:rsidRPr="00F55DAA">
              <w:rPr>
                <w:rStyle w:val="markedcontent"/>
                <w:rFonts w:asciiTheme="majorHAnsi" w:hAnsiTheme="majorHAnsi" w:cstheme="majorHAnsi"/>
                <w:sz w:val="30"/>
                <w:szCs w:val="30"/>
              </w:rPr>
              <w:t>Proposal presentation</w:t>
            </w:r>
          </w:p>
        </w:tc>
      </w:tr>
      <w:tr w:rsidR="00F55DAA" w14:paraId="3B6AB4FF" w14:textId="77777777" w:rsidTr="00F55DAA">
        <w:tc>
          <w:tcPr>
            <w:tcW w:w="3865" w:type="dxa"/>
          </w:tcPr>
          <w:p w14:paraId="332BACA8" w14:textId="1961B3E9" w:rsidR="00F55DAA" w:rsidRPr="00F55DAA" w:rsidRDefault="00F55DAA" w:rsidP="00724D10">
            <w:pPr>
              <w:tabs>
                <w:tab w:val="left" w:pos="4188"/>
              </w:tabs>
              <w:spacing w:line="480" w:lineRule="auto"/>
              <w:rPr>
                <w:rFonts w:asciiTheme="majorHAnsi" w:hAnsiTheme="majorHAnsi" w:cstheme="majorHAnsi"/>
                <w:sz w:val="24"/>
                <w:szCs w:val="24"/>
              </w:rPr>
            </w:pPr>
            <w:r w:rsidRPr="00F55DAA">
              <w:rPr>
                <w:rStyle w:val="markedcontent"/>
                <w:rFonts w:asciiTheme="majorHAnsi" w:hAnsiTheme="majorHAnsi" w:cstheme="majorHAnsi"/>
                <w:sz w:val="30"/>
                <w:szCs w:val="30"/>
              </w:rPr>
              <w:t>April 2021</w:t>
            </w:r>
          </w:p>
        </w:tc>
        <w:tc>
          <w:tcPr>
            <w:tcW w:w="4680" w:type="dxa"/>
          </w:tcPr>
          <w:p w14:paraId="2D8B83FF" w14:textId="4131EB1E" w:rsidR="00F55DAA" w:rsidRPr="00F55DAA" w:rsidRDefault="00F55DAA" w:rsidP="00724D10">
            <w:pPr>
              <w:tabs>
                <w:tab w:val="left" w:pos="4188"/>
              </w:tabs>
              <w:spacing w:line="480" w:lineRule="auto"/>
              <w:rPr>
                <w:rFonts w:asciiTheme="majorHAnsi" w:hAnsiTheme="majorHAnsi" w:cstheme="majorHAnsi"/>
                <w:sz w:val="24"/>
                <w:szCs w:val="24"/>
              </w:rPr>
            </w:pPr>
            <w:r w:rsidRPr="00F55DAA">
              <w:rPr>
                <w:rStyle w:val="markedcontent"/>
                <w:rFonts w:asciiTheme="majorHAnsi" w:hAnsiTheme="majorHAnsi" w:cstheme="majorHAnsi"/>
                <w:sz w:val="30"/>
                <w:szCs w:val="30"/>
              </w:rPr>
              <w:t>Study approval</w:t>
            </w:r>
          </w:p>
        </w:tc>
      </w:tr>
      <w:tr w:rsidR="00F55DAA" w14:paraId="372CB1A4" w14:textId="77777777" w:rsidTr="00F55DAA">
        <w:tc>
          <w:tcPr>
            <w:tcW w:w="3865" w:type="dxa"/>
          </w:tcPr>
          <w:p w14:paraId="07AE7E4C" w14:textId="1465DA3E" w:rsidR="00F55DAA" w:rsidRPr="00F55DAA" w:rsidRDefault="00F55DAA" w:rsidP="00724D10">
            <w:pPr>
              <w:tabs>
                <w:tab w:val="left" w:pos="4188"/>
              </w:tabs>
              <w:spacing w:line="480" w:lineRule="auto"/>
              <w:rPr>
                <w:rFonts w:asciiTheme="majorHAnsi" w:hAnsiTheme="majorHAnsi" w:cstheme="majorHAnsi"/>
                <w:sz w:val="24"/>
                <w:szCs w:val="24"/>
              </w:rPr>
            </w:pPr>
            <w:r w:rsidRPr="00F55DAA">
              <w:rPr>
                <w:rStyle w:val="markedcontent"/>
                <w:rFonts w:asciiTheme="majorHAnsi" w:hAnsiTheme="majorHAnsi" w:cstheme="majorHAnsi"/>
                <w:sz w:val="30"/>
                <w:szCs w:val="30"/>
              </w:rPr>
              <w:t>May 2021</w:t>
            </w:r>
          </w:p>
        </w:tc>
        <w:tc>
          <w:tcPr>
            <w:tcW w:w="4680" w:type="dxa"/>
          </w:tcPr>
          <w:p w14:paraId="4C2FCD0D" w14:textId="65890847" w:rsidR="00F55DAA" w:rsidRPr="00F55DAA" w:rsidRDefault="00F55DAA" w:rsidP="00724D10">
            <w:pPr>
              <w:tabs>
                <w:tab w:val="left" w:pos="4188"/>
              </w:tabs>
              <w:spacing w:line="480" w:lineRule="auto"/>
              <w:rPr>
                <w:rFonts w:asciiTheme="majorHAnsi" w:hAnsiTheme="majorHAnsi" w:cstheme="majorHAnsi"/>
                <w:sz w:val="24"/>
                <w:szCs w:val="24"/>
              </w:rPr>
            </w:pPr>
            <w:r w:rsidRPr="00F55DAA">
              <w:rPr>
                <w:rStyle w:val="markedcontent"/>
                <w:rFonts w:asciiTheme="majorHAnsi" w:hAnsiTheme="majorHAnsi" w:cstheme="majorHAnsi"/>
                <w:sz w:val="30"/>
                <w:szCs w:val="30"/>
              </w:rPr>
              <w:t>Data collection and analysis</w:t>
            </w:r>
          </w:p>
        </w:tc>
      </w:tr>
      <w:tr w:rsidR="00F55DAA" w14:paraId="63AD4686" w14:textId="77777777" w:rsidTr="00F55DAA">
        <w:tc>
          <w:tcPr>
            <w:tcW w:w="3865" w:type="dxa"/>
          </w:tcPr>
          <w:p w14:paraId="48A79EB2" w14:textId="49787614" w:rsidR="00F55DAA" w:rsidRPr="00F55DAA" w:rsidRDefault="00F55DAA" w:rsidP="00724D10">
            <w:pPr>
              <w:tabs>
                <w:tab w:val="left" w:pos="4188"/>
              </w:tabs>
              <w:spacing w:line="480" w:lineRule="auto"/>
              <w:rPr>
                <w:rFonts w:asciiTheme="majorHAnsi" w:hAnsiTheme="majorHAnsi" w:cstheme="majorHAnsi"/>
                <w:sz w:val="24"/>
                <w:szCs w:val="24"/>
              </w:rPr>
            </w:pPr>
            <w:r w:rsidRPr="00F55DAA">
              <w:rPr>
                <w:rStyle w:val="markedcontent"/>
                <w:rFonts w:asciiTheme="majorHAnsi" w:hAnsiTheme="majorHAnsi" w:cstheme="majorHAnsi"/>
                <w:sz w:val="30"/>
                <w:szCs w:val="30"/>
              </w:rPr>
              <w:t>Ju</w:t>
            </w:r>
            <w:r>
              <w:rPr>
                <w:rStyle w:val="markedcontent"/>
                <w:rFonts w:asciiTheme="majorHAnsi" w:hAnsiTheme="majorHAnsi" w:cstheme="majorHAnsi"/>
                <w:sz w:val="30"/>
                <w:szCs w:val="30"/>
              </w:rPr>
              <w:t>ly</w:t>
            </w:r>
            <w:r w:rsidRPr="00F55DAA">
              <w:rPr>
                <w:rStyle w:val="markedcontent"/>
                <w:rFonts w:asciiTheme="majorHAnsi" w:hAnsiTheme="majorHAnsi" w:cstheme="majorHAnsi"/>
                <w:sz w:val="30"/>
                <w:szCs w:val="30"/>
              </w:rPr>
              <w:t xml:space="preserve"> 2021</w:t>
            </w:r>
          </w:p>
        </w:tc>
        <w:tc>
          <w:tcPr>
            <w:tcW w:w="4680" w:type="dxa"/>
          </w:tcPr>
          <w:p w14:paraId="617FDC64" w14:textId="430E9CC6" w:rsidR="00F55DAA" w:rsidRPr="00F55DAA" w:rsidRDefault="00F55DAA" w:rsidP="00724D10">
            <w:pPr>
              <w:tabs>
                <w:tab w:val="left" w:pos="4188"/>
              </w:tabs>
              <w:spacing w:line="480" w:lineRule="auto"/>
              <w:rPr>
                <w:rFonts w:asciiTheme="majorHAnsi" w:hAnsiTheme="majorHAnsi" w:cstheme="majorHAnsi"/>
                <w:sz w:val="24"/>
                <w:szCs w:val="24"/>
              </w:rPr>
            </w:pPr>
            <w:r w:rsidRPr="00F55DAA">
              <w:rPr>
                <w:rStyle w:val="markedcontent"/>
                <w:rFonts w:asciiTheme="majorHAnsi" w:hAnsiTheme="majorHAnsi" w:cstheme="majorHAnsi"/>
                <w:sz w:val="30"/>
                <w:szCs w:val="30"/>
              </w:rPr>
              <w:t>Thesis defense</w:t>
            </w:r>
          </w:p>
        </w:tc>
      </w:tr>
    </w:tbl>
    <w:p w14:paraId="3CD6B2CC" w14:textId="13961AF9" w:rsidR="00F55DAA" w:rsidRDefault="00F55DAA" w:rsidP="00724D10">
      <w:pPr>
        <w:tabs>
          <w:tab w:val="left" w:pos="4188"/>
        </w:tabs>
        <w:spacing w:line="480" w:lineRule="auto"/>
        <w:rPr>
          <w:rFonts w:asciiTheme="majorHAnsi" w:hAnsiTheme="majorHAnsi" w:cstheme="majorHAnsi"/>
          <w:sz w:val="24"/>
          <w:szCs w:val="24"/>
        </w:rPr>
      </w:pPr>
    </w:p>
    <w:p w14:paraId="0095744A" w14:textId="009AE658" w:rsidR="00F55DAA" w:rsidRDefault="00F55DAA" w:rsidP="00724D10">
      <w:pPr>
        <w:tabs>
          <w:tab w:val="left" w:pos="4188"/>
        </w:tabs>
        <w:spacing w:line="480" w:lineRule="auto"/>
        <w:rPr>
          <w:rFonts w:asciiTheme="majorHAnsi" w:hAnsiTheme="majorHAnsi" w:cstheme="majorHAnsi"/>
          <w:sz w:val="24"/>
          <w:szCs w:val="24"/>
        </w:rPr>
      </w:pPr>
    </w:p>
    <w:p w14:paraId="51837EEF" w14:textId="3CA9684F" w:rsidR="00F55DAA" w:rsidRDefault="00F55DAA" w:rsidP="00724D10">
      <w:pPr>
        <w:tabs>
          <w:tab w:val="left" w:pos="4188"/>
        </w:tabs>
        <w:spacing w:line="480" w:lineRule="auto"/>
        <w:rPr>
          <w:rFonts w:asciiTheme="majorHAnsi" w:hAnsiTheme="majorHAnsi" w:cstheme="majorHAnsi"/>
          <w:sz w:val="24"/>
          <w:szCs w:val="24"/>
        </w:rPr>
      </w:pPr>
    </w:p>
    <w:p w14:paraId="4A1362E2" w14:textId="64C55D2E" w:rsidR="00F55DAA" w:rsidRDefault="00F55DAA" w:rsidP="00724D10">
      <w:pPr>
        <w:tabs>
          <w:tab w:val="left" w:pos="4188"/>
        </w:tabs>
        <w:spacing w:line="480" w:lineRule="auto"/>
        <w:rPr>
          <w:rFonts w:asciiTheme="majorHAnsi" w:hAnsiTheme="majorHAnsi" w:cstheme="majorHAnsi"/>
          <w:sz w:val="24"/>
          <w:szCs w:val="24"/>
        </w:rPr>
      </w:pPr>
    </w:p>
    <w:p w14:paraId="029488D4" w14:textId="7D385EC3" w:rsidR="00F55DAA" w:rsidRDefault="00F55DAA" w:rsidP="00724D10">
      <w:pPr>
        <w:tabs>
          <w:tab w:val="left" w:pos="4188"/>
        </w:tabs>
        <w:spacing w:line="480" w:lineRule="auto"/>
        <w:rPr>
          <w:rFonts w:asciiTheme="majorHAnsi" w:hAnsiTheme="majorHAnsi" w:cstheme="majorHAnsi"/>
          <w:sz w:val="24"/>
          <w:szCs w:val="24"/>
        </w:rPr>
      </w:pPr>
    </w:p>
    <w:p w14:paraId="769855E6" w14:textId="4D244A85" w:rsidR="00FC0C3C" w:rsidRDefault="00FC0C3C" w:rsidP="00724D10">
      <w:pPr>
        <w:tabs>
          <w:tab w:val="left" w:pos="4188"/>
        </w:tabs>
        <w:spacing w:line="480" w:lineRule="auto"/>
        <w:rPr>
          <w:rFonts w:asciiTheme="majorHAnsi" w:hAnsiTheme="majorHAnsi" w:cstheme="majorHAnsi"/>
          <w:sz w:val="24"/>
          <w:szCs w:val="24"/>
        </w:rPr>
      </w:pPr>
    </w:p>
    <w:p w14:paraId="044BB4CD" w14:textId="6763BFD6" w:rsidR="00FC0C3C" w:rsidRDefault="00FC0C3C" w:rsidP="00724D10">
      <w:pPr>
        <w:tabs>
          <w:tab w:val="left" w:pos="4188"/>
        </w:tabs>
        <w:spacing w:line="480" w:lineRule="auto"/>
        <w:rPr>
          <w:rFonts w:asciiTheme="majorHAnsi" w:hAnsiTheme="majorHAnsi" w:cstheme="majorHAnsi"/>
          <w:sz w:val="24"/>
          <w:szCs w:val="24"/>
        </w:rPr>
      </w:pPr>
    </w:p>
    <w:p w14:paraId="78C36AC0" w14:textId="7BE34B2C" w:rsidR="00FC0C3C" w:rsidRDefault="00FC0C3C" w:rsidP="00724D10">
      <w:pPr>
        <w:tabs>
          <w:tab w:val="left" w:pos="4188"/>
        </w:tabs>
        <w:spacing w:line="480" w:lineRule="auto"/>
        <w:rPr>
          <w:rFonts w:asciiTheme="majorHAnsi" w:hAnsiTheme="majorHAnsi" w:cstheme="majorHAnsi"/>
          <w:sz w:val="24"/>
          <w:szCs w:val="24"/>
        </w:rPr>
      </w:pPr>
    </w:p>
    <w:p w14:paraId="59C7C7E6" w14:textId="604CB891" w:rsidR="00FC0C3C" w:rsidRDefault="00FC0C3C" w:rsidP="00724D10">
      <w:pPr>
        <w:tabs>
          <w:tab w:val="left" w:pos="4188"/>
        </w:tabs>
        <w:spacing w:line="480" w:lineRule="auto"/>
        <w:rPr>
          <w:rFonts w:asciiTheme="majorHAnsi" w:hAnsiTheme="majorHAnsi" w:cstheme="majorHAnsi"/>
          <w:sz w:val="24"/>
          <w:szCs w:val="24"/>
        </w:rPr>
      </w:pPr>
    </w:p>
    <w:p w14:paraId="7A516FBC" w14:textId="21387011" w:rsidR="00FC0C3C" w:rsidRDefault="00FC0C3C" w:rsidP="00724D10">
      <w:pPr>
        <w:tabs>
          <w:tab w:val="left" w:pos="4188"/>
        </w:tabs>
        <w:spacing w:line="480" w:lineRule="auto"/>
        <w:rPr>
          <w:rFonts w:asciiTheme="majorHAnsi" w:hAnsiTheme="majorHAnsi" w:cstheme="majorHAnsi"/>
          <w:sz w:val="24"/>
          <w:szCs w:val="24"/>
        </w:rPr>
      </w:pPr>
    </w:p>
    <w:p w14:paraId="0D2FFDE4" w14:textId="052BD2C6" w:rsidR="00FC0C3C" w:rsidRDefault="00FC0C3C" w:rsidP="00724D10">
      <w:pPr>
        <w:tabs>
          <w:tab w:val="left" w:pos="4188"/>
        </w:tabs>
        <w:spacing w:line="480" w:lineRule="auto"/>
        <w:rPr>
          <w:rFonts w:asciiTheme="majorHAnsi" w:hAnsiTheme="majorHAnsi" w:cstheme="majorHAnsi"/>
          <w:sz w:val="24"/>
          <w:szCs w:val="24"/>
        </w:rPr>
      </w:pPr>
    </w:p>
    <w:p w14:paraId="7D419938" w14:textId="77777777" w:rsidR="00FC0C3C" w:rsidRPr="0022305D" w:rsidRDefault="00FC0C3C" w:rsidP="00724D10">
      <w:pPr>
        <w:tabs>
          <w:tab w:val="left" w:pos="4188"/>
        </w:tabs>
        <w:spacing w:line="480" w:lineRule="auto"/>
        <w:rPr>
          <w:rFonts w:asciiTheme="majorHAnsi" w:hAnsiTheme="majorHAnsi" w:cstheme="majorHAnsi"/>
          <w:sz w:val="24"/>
          <w:szCs w:val="24"/>
        </w:rPr>
      </w:pPr>
    </w:p>
    <w:p w14:paraId="1F104437" w14:textId="77777777" w:rsidR="00724D10" w:rsidRPr="00FC0C3C" w:rsidRDefault="00724D10" w:rsidP="00724D10">
      <w:pPr>
        <w:tabs>
          <w:tab w:val="left" w:pos="4188"/>
        </w:tabs>
        <w:spacing w:line="480" w:lineRule="auto"/>
        <w:rPr>
          <w:rFonts w:asciiTheme="majorHAnsi" w:hAnsiTheme="majorHAnsi" w:cstheme="majorHAnsi"/>
          <w:sz w:val="24"/>
          <w:szCs w:val="24"/>
        </w:rPr>
      </w:pPr>
    </w:p>
    <w:p w14:paraId="5CEE8096" w14:textId="514421E0" w:rsidR="00724D10" w:rsidRPr="00AB63A4" w:rsidRDefault="00AB63A4" w:rsidP="00AB63A4">
      <w:pPr>
        <w:pStyle w:val="Heading2"/>
        <w:rPr>
          <w:b w:val="0"/>
          <w:bCs/>
        </w:rPr>
      </w:pPr>
      <w:bookmarkStart w:id="144" w:name="_Toc78205835"/>
      <w:r w:rsidRPr="00AB63A4">
        <w:rPr>
          <w:b w:val="0"/>
          <w:bCs/>
        </w:rPr>
        <w:t xml:space="preserve">Appendix 5: </w:t>
      </w:r>
      <w:r w:rsidR="00FC0C3C" w:rsidRPr="00AB63A4">
        <w:rPr>
          <w:b w:val="0"/>
          <w:bCs/>
        </w:rPr>
        <w:t>Budget</w:t>
      </w:r>
      <w:bookmarkEnd w:id="144"/>
    </w:p>
    <w:tbl>
      <w:tblPr>
        <w:tblStyle w:val="TableGrid"/>
        <w:tblW w:w="0" w:type="auto"/>
        <w:tblLook w:val="04A0" w:firstRow="1" w:lastRow="0" w:firstColumn="1" w:lastColumn="0" w:noHBand="0" w:noVBand="1"/>
      </w:tblPr>
      <w:tblGrid>
        <w:gridCol w:w="4315"/>
        <w:gridCol w:w="4315"/>
      </w:tblGrid>
      <w:tr w:rsidR="00F55DAA" w14:paraId="37AAAE4E" w14:textId="77777777" w:rsidTr="00F55DAA">
        <w:tc>
          <w:tcPr>
            <w:tcW w:w="4315" w:type="dxa"/>
          </w:tcPr>
          <w:p w14:paraId="0624F84E" w14:textId="6388115E" w:rsidR="00F55DAA" w:rsidRPr="00F55DAA" w:rsidRDefault="00F55DAA" w:rsidP="00F55DAA">
            <w:pPr>
              <w:pStyle w:val="BodyText"/>
              <w:spacing w:line="480" w:lineRule="auto"/>
              <w:jc w:val="center"/>
              <w:rPr>
                <w:rFonts w:asciiTheme="majorHAnsi" w:hAnsiTheme="majorHAnsi" w:cstheme="majorHAnsi"/>
                <w:b/>
                <w:bCs/>
                <w:sz w:val="24"/>
                <w:szCs w:val="24"/>
              </w:rPr>
            </w:pPr>
            <w:r w:rsidRPr="00F55DAA">
              <w:rPr>
                <w:rFonts w:asciiTheme="majorHAnsi" w:hAnsiTheme="majorHAnsi" w:cstheme="majorHAnsi"/>
                <w:b/>
                <w:bCs/>
                <w:sz w:val="24"/>
                <w:szCs w:val="24"/>
              </w:rPr>
              <w:t>ITEM</w:t>
            </w:r>
          </w:p>
        </w:tc>
        <w:tc>
          <w:tcPr>
            <w:tcW w:w="4315" w:type="dxa"/>
          </w:tcPr>
          <w:p w14:paraId="1D889999" w14:textId="77777777" w:rsidR="00F55DAA" w:rsidRPr="00F55DAA" w:rsidRDefault="00F55DAA" w:rsidP="00F55DAA">
            <w:pPr>
              <w:pStyle w:val="BodyText"/>
              <w:spacing w:line="480" w:lineRule="auto"/>
              <w:jc w:val="center"/>
              <w:rPr>
                <w:rFonts w:asciiTheme="majorHAnsi" w:hAnsiTheme="majorHAnsi" w:cstheme="majorHAnsi"/>
                <w:b/>
                <w:bCs/>
                <w:sz w:val="24"/>
                <w:szCs w:val="24"/>
              </w:rPr>
            </w:pPr>
            <w:r w:rsidRPr="00F55DAA">
              <w:rPr>
                <w:rFonts w:asciiTheme="majorHAnsi" w:hAnsiTheme="majorHAnsi" w:cstheme="majorHAnsi"/>
                <w:b/>
                <w:bCs/>
                <w:sz w:val="24"/>
                <w:szCs w:val="24"/>
              </w:rPr>
              <w:t>TOTAL COST</w:t>
            </w:r>
          </w:p>
          <w:p w14:paraId="53567A9D" w14:textId="6FA00109" w:rsidR="00F55DAA" w:rsidRPr="00F55DAA" w:rsidRDefault="00F55DAA" w:rsidP="00F55DAA">
            <w:pPr>
              <w:pStyle w:val="BodyText"/>
              <w:spacing w:line="480" w:lineRule="auto"/>
              <w:jc w:val="center"/>
              <w:rPr>
                <w:rFonts w:asciiTheme="majorHAnsi" w:hAnsiTheme="majorHAnsi" w:cstheme="majorHAnsi"/>
                <w:b/>
                <w:bCs/>
                <w:sz w:val="24"/>
                <w:szCs w:val="24"/>
              </w:rPr>
            </w:pPr>
            <w:r w:rsidRPr="00F55DAA">
              <w:rPr>
                <w:rFonts w:asciiTheme="majorHAnsi" w:hAnsiTheme="majorHAnsi" w:cstheme="majorHAnsi"/>
                <w:b/>
                <w:bCs/>
                <w:sz w:val="24"/>
                <w:szCs w:val="24"/>
              </w:rPr>
              <w:t>(Ksh)</w:t>
            </w:r>
          </w:p>
        </w:tc>
      </w:tr>
      <w:tr w:rsidR="00F55DAA" w14:paraId="6DB29D9B" w14:textId="77777777" w:rsidTr="00F55DAA">
        <w:tc>
          <w:tcPr>
            <w:tcW w:w="4315" w:type="dxa"/>
          </w:tcPr>
          <w:p w14:paraId="29EDB4F0" w14:textId="622F9325" w:rsidR="00F55DAA" w:rsidRPr="00F55DAA" w:rsidRDefault="00F55DAA" w:rsidP="00724D10">
            <w:pPr>
              <w:pStyle w:val="BodyText"/>
              <w:spacing w:line="480" w:lineRule="auto"/>
              <w:rPr>
                <w:rFonts w:asciiTheme="majorHAnsi" w:hAnsiTheme="majorHAnsi" w:cstheme="majorHAnsi"/>
                <w:sz w:val="24"/>
                <w:szCs w:val="24"/>
              </w:rPr>
            </w:pPr>
            <w:r w:rsidRPr="00F55DAA">
              <w:rPr>
                <w:rStyle w:val="markedcontent"/>
                <w:rFonts w:asciiTheme="majorHAnsi" w:hAnsiTheme="majorHAnsi" w:cstheme="majorHAnsi"/>
                <w:sz w:val="24"/>
                <w:szCs w:val="24"/>
              </w:rPr>
              <w:t>Stationery</w:t>
            </w:r>
          </w:p>
        </w:tc>
        <w:tc>
          <w:tcPr>
            <w:tcW w:w="4315" w:type="dxa"/>
          </w:tcPr>
          <w:p w14:paraId="1F43236C" w14:textId="11F88DF4" w:rsidR="00F55DAA" w:rsidRPr="00F55DAA" w:rsidRDefault="00F55DAA" w:rsidP="00FC0C3C">
            <w:pPr>
              <w:pStyle w:val="BodyText"/>
              <w:spacing w:line="480" w:lineRule="auto"/>
              <w:jc w:val="center"/>
              <w:rPr>
                <w:rFonts w:asciiTheme="majorHAnsi" w:hAnsiTheme="majorHAnsi" w:cstheme="majorHAnsi"/>
                <w:sz w:val="24"/>
                <w:szCs w:val="24"/>
              </w:rPr>
            </w:pPr>
            <w:r>
              <w:rPr>
                <w:rFonts w:asciiTheme="majorHAnsi" w:hAnsiTheme="majorHAnsi" w:cstheme="majorHAnsi"/>
                <w:sz w:val="24"/>
                <w:szCs w:val="24"/>
              </w:rPr>
              <w:t>2,500</w:t>
            </w:r>
          </w:p>
        </w:tc>
      </w:tr>
      <w:tr w:rsidR="00F55DAA" w14:paraId="67487683" w14:textId="77777777" w:rsidTr="00F55DAA">
        <w:tc>
          <w:tcPr>
            <w:tcW w:w="4315" w:type="dxa"/>
          </w:tcPr>
          <w:p w14:paraId="78552610" w14:textId="38A62F5E" w:rsidR="00F55DAA" w:rsidRPr="00F55DAA" w:rsidRDefault="00F55DAA" w:rsidP="00724D10">
            <w:pPr>
              <w:pStyle w:val="BodyText"/>
              <w:spacing w:line="480" w:lineRule="auto"/>
              <w:rPr>
                <w:rFonts w:asciiTheme="majorHAnsi" w:hAnsiTheme="majorHAnsi" w:cstheme="majorHAnsi"/>
                <w:sz w:val="24"/>
                <w:szCs w:val="24"/>
              </w:rPr>
            </w:pPr>
            <w:r w:rsidRPr="00F55DAA">
              <w:rPr>
                <w:rStyle w:val="markedcontent"/>
                <w:rFonts w:asciiTheme="majorHAnsi" w:hAnsiTheme="majorHAnsi" w:cstheme="majorHAnsi"/>
                <w:sz w:val="24"/>
                <w:szCs w:val="24"/>
              </w:rPr>
              <w:t>Printing and binding</w:t>
            </w:r>
          </w:p>
        </w:tc>
        <w:tc>
          <w:tcPr>
            <w:tcW w:w="4315" w:type="dxa"/>
          </w:tcPr>
          <w:p w14:paraId="75A21D3C" w14:textId="51F7F0DE" w:rsidR="00F55DAA" w:rsidRPr="00F55DAA" w:rsidRDefault="00F55DAA" w:rsidP="00FC0C3C">
            <w:pPr>
              <w:pStyle w:val="BodyText"/>
              <w:spacing w:line="480" w:lineRule="auto"/>
              <w:jc w:val="center"/>
              <w:rPr>
                <w:rFonts w:asciiTheme="majorHAnsi" w:hAnsiTheme="majorHAnsi" w:cstheme="majorHAnsi"/>
                <w:sz w:val="24"/>
                <w:szCs w:val="24"/>
              </w:rPr>
            </w:pPr>
            <w:r>
              <w:rPr>
                <w:rFonts w:asciiTheme="majorHAnsi" w:hAnsiTheme="majorHAnsi" w:cstheme="majorHAnsi"/>
                <w:sz w:val="24"/>
                <w:szCs w:val="24"/>
              </w:rPr>
              <w:t>2,000</w:t>
            </w:r>
          </w:p>
        </w:tc>
      </w:tr>
      <w:tr w:rsidR="00F55DAA" w14:paraId="7B4569F2" w14:textId="77777777" w:rsidTr="00F55DAA">
        <w:tc>
          <w:tcPr>
            <w:tcW w:w="4315" w:type="dxa"/>
          </w:tcPr>
          <w:p w14:paraId="1C3E739F" w14:textId="5F7ABC01" w:rsidR="00F55DAA" w:rsidRPr="00F55DAA" w:rsidRDefault="00F55DAA" w:rsidP="00724D10">
            <w:pPr>
              <w:pStyle w:val="BodyText"/>
              <w:spacing w:line="480" w:lineRule="auto"/>
              <w:rPr>
                <w:rStyle w:val="markedcontent"/>
                <w:rFonts w:asciiTheme="majorHAnsi" w:hAnsiTheme="majorHAnsi" w:cstheme="majorHAnsi"/>
                <w:sz w:val="24"/>
                <w:szCs w:val="24"/>
              </w:rPr>
            </w:pPr>
            <w:r w:rsidRPr="00F55DAA">
              <w:rPr>
                <w:rStyle w:val="markedcontent"/>
                <w:rFonts w:asciiTheme="majorHAnsi" w:hAnsiTheme="majorHAnsi" w:cstheme="majorHAnsi"/>
                <w:sz w:val="24"/>
                <w:szCs w:val="24"/>
              </w:rPr>
              <w:t>Airtime and internet bundles</w:t>
            </w:r>
          </w:p>
        </w:tc>
        <w:tc>
          <w:tcPr>
            <w:tcW w:w="4315" w:type="dxa"/>
          </w:tcPr>
          <w:p w14:paraId="22E661DF" w14:textId="1F2480E3" w:rsidR="00F55DAA" w:rsidRPr="00F55DAA" w:rsidRDefault="00F55DAA" w:rsidP="00FC0C3C">
            <w:pPr>
              <w:pStyle w:val="BodyText"/>
              <w:spacing w:line="480" w:lineRule="auto"/>
              <w:jc w:val="center"/>
              <w:rPr>
                <w:rFonts w:asciiTheme="majorHAnsi" w:hAnsiTheme="majorHAnsi" w:cstheme="majorHAnsi"/>
                <w:sz w:val="24"/>
                <w:szCs w:val="24"/>
              </w:rPr>
            </w:pPr>
            <w:r>
              <w:rPr>
                <w:rFonts w:asciiTheme="majorHAnsi" w:hAnsiTheme="majorHAnsi" w:cstheme="majorHAnsi"/>
                <w:sz w:val="24"/>
                <w:szCs w:val="24"/>
              </w:rPr>
              <w:t>1,500</w:t>
            </w:r>
          </w:p>
        </w:tc>
      </w:tr>
      <w:tr w:rsidR="00F55DAA" w14:paraId="61C15BE1" w14:textId="77777777" w:rsidTr="00F55DAA">
        <w:tc>
          <w:tcPr>
            <w:tcW w:w="4315" w:type="dxa"/>
          </w:tcPr>
          <w:p w14:paraId="61F77932" w14:textId="1318236A" w:rsidR="00F55DAA" w:rsidRPr="00F55DAA" w:rsidRDefault="00F55DAA" w:rsidP="00724D10">
            <w:pPr>
              <w:pStyle w:val="BodyText"/>
              <w:spacing w:line="480" w:lineRule="auto"/>
              <w:rPr>
                <w:rFonts w:asciiTheme="majorHAnsi" w:hAnsiTheme="majorHAnsi" w:cstheme="majorHAnsi"/>
                <w:sz w:val="24"/>
                <w:szCs w:val="24"/>
              </w:rPr>
            </w:pPr>
            <w:r w:rsidRPr="00F55DAA">
              <w:rPr>
                <w:rStyle w:val="markedcontent"/>
                <w:rFonts w:asciiTheme="majorHAnsi" w:hAnsiTheme="majorHAnsi" w:cstheme="majorHAnsi"/>
                <w:sz w:val="24"/>
                <w:szCs w:val="24"/>
              </w:rPr>
              <w:t>Transport</w:t>
            </w:r>
          </w:p>
        </w:tc>
        <w:tc>
          <w:tcPr>
            <w:tcW w:w="4315" w:type="dxa"/>
          </w:tcPr>
          <w:p w14:paraId="6DF16BCC" w14:textId="0582B11C" w:rsidR="00F55DAA" w:rsidRPr="00F55DAA" w:rsidRDefault="00F55DAA" w:rsidP="00FC0C3C">
            <w:pPr>
              <w:pStyle w:val="BodyText"/>
              <w:spacing w:line="480" w:lineRule="auto"/>
              <w:jc w:val="center"/>
              <w:rPr>
                <w:rFonts w:asciiTheme="majorHAnsi" w:hAnsiTheme="majorHAnsi" w:cstheme="majorHAnsi"/>
                <w:sz w:val="24"/>
                <w:szCs w:val="24"/>
              </w:rPr>
            </w:pPr>
            <w:r>
              <w:rPr>
                <w:rFonts w:asciiTheme="majorHAnsi" w:hAnsiTheme="majorHAnsi" w:cstheme="majorHAnsi"/>
                <w:sz w:val="24"/>
                <w:szCs w:val="24"/>
              </w:rPr>
              <w:t>4,000</w:t>
            </w:r>
          </w:p>
        </w:tc>
      </w:tr>
      <w:tr w:rsidR="00FC0C3C" w14:paraId="11BF9F34" w14:textId="77777777" w:rsidTr="00F55DAA">
        <w:tc>
          <w:tcPr>
            <w:tcW w:w="4315" w:type="dxa"/>
          </w:tcPr>
          <w:p w14:paraId="476CD711" w14:textId="78A90F5B" w:rsidR="00FC0C3C" w:rsidRPr="00FC0C3C" w:rsidRDefault="00FC0C3C" w:rsidP="00FC0C3C">
            <w:pPr>
              <w:pStyle w:val="BodyText"/>
              <w:spacing w:line="480" w:lineRule="auto"/>
              <w:jc w:val="center"/>
              <w:rPr>
                <w:rStyle w:val="markedcontent"/>
                <w:rFonts w:asciiTheme="majorHAnsi" w:hAnsiTheme="majorHAnsi" w:cstheme="majorHAnsi"/>
                <w:b/>
                <w:bCs/>
                <w:sz w:val="24"/>
                <w:szCs w:val="24"/>
              </w:rPr>
            </w:pPr>
            <w:r w:rsidRPr="00FC0C3C">
              <w:rPr>
                <w:rStyle w:val="markedcontent"/>
                <w:rFonts w:asciiTheme="majorHAnsi" w:hAnsiTheme="majorHAnsi" w:cstheme="majorHAnsi"/>
                <w:b/>
                <w:bCs/>
                <w:sz w:val="24"/>
                <w:szCs w:val="24"/>
              </w:rPr>
              <w:t>Total</w:t>
            </w:r>
          </w:p>
        </w:tc>
        <w:tc>
          <w:tcPr>
            <w:tcW w:w="4315" w:type="dxa"/>
          </w:tcPr>
          <w:p w14:paraId="35838630" w14:textId="679293AE" w:rsidR="00FC0C3C" w:rsidRPr="00FC0C3C" w:rsidRDefault="00FC0C3C" w:rsidP="00FC0C3C">
            <w:pPr>
              <w:pStyle w:val="BodyText"/>
              <w:spacing w:line="480" w:lineRule="auto"/>
              <w:jc w:val="center"/>
              <w:rPr>
                <w:rFonts w:asciiTheme="majorHAnsi" w:hAnsiTheme="majorHAnsi" w:cstheme="majorHAnsi"/>
                <w:b/>
                <w:bCs/>
                <w:sz w:val="24"/>
                <w:szCs w:val="24"/>
              </w:rPr>
            </w:pPr>
            <w:r w:rsidRPr="00FC0C3C">
              <w:rPr>
                <w:rFonts w:asciiTheme="majorHAnsi" w:hAnsiTheme="majorHAnsi" w:cstheme="majorHAnsi"/>
                <w:b/>
                <w:bCs/>
                <w:sz w:val="24"/>
                <w:szCs w:val="24"/>
              </w:rPr>
              <w:t>10,000</w:t>
            </w:r>
          </w:p>
        </w:tc>
      </w:tr>
    </w:tbl>
    <w:p w14:paraId="44C7E08B" w14:textId="77777777" w:rsidR="00724D10" w:rsidRPr="0022305D" w:rsidRDefault="00724D10" w:rsidP="00724D10">
      <w:pPr>
        <w:pStyle w:val="BodyText"/>
        <w:spacing w:line="480" w:lineRule="auto"/>
        <w:rPr>
          <w:rFonts w:asciiTheme="majorHAnsi" w:hAnsiTheme="majorHAnsi" w:cstheme="majorHAnsi"/>
          <w:sz w:val="20"/>
        </w:rPr>
      </w:pPr>
    </w:p>
    <w:p w14:paraId="42FE1D79" w14:textId="1751DBB3" w:rsidR="00724D10" w:rsidRDefault="00724D10" w:rsidP="00724D10">
      <w:pPr>
        <w:pStyle w:val="BodyText"/>
        <w:spacing w:line="480" w:lineRule="auto"/>
        <w:rPr>
          <w:rFonts w:asciiTheme="majorHAnsi" w:hAnsiTheme="majorHAnsi" w:cstheme="majorHAnsi"/>
          <w:sz w:val="20"/>
        </w:rPr>
      </w:pPr>
    </w:p>
    <w:p w14:paraId="3A661BBA" w14:textId="7A4273CD" w:rsidR="00F55DAA" w:rsidRDefault="00F55DAA" w:rsidP="00724D10">
      <w:pPr>
        <w:pStyle w:val="BodyText"/>
        <w:spacing w:line="480" w:lineRule="auto"/>
        <w:rPr>
          <w:rFonts w:asciiTheme="majorHAnsi" w:hAnsiTheme="majorHAnsi" w:cstheme="majorHAnsi"/>
          <w:sz w:val="20"/>
        </w:rPr>
      </w:pPr>
    </w:p>
    <w:p w14:paraId="62617961" w14:textId="1A2B0895" w:rsidR="00F55DAA" w:rsidRDefault="00F55DAA" w:rsidP="00724D10">
      <w:pPr>
        <w:pStyle w:val="BodyText"/>
        <w:spacing w:line="480" w:lineRule="auto"/>
        <w:rPr>
          <w:rFonts w:asciiTheme="majorHAnsi" w:hAnsiTheme="majorHAnsi" w:cstheme="majorHAnsi"/>
          <w:sz w:val="20"/>
        </w:rPr>
      </w:pPr>
    </w:p>
    <w:p w14:paraId="7FF4EF4D" w14:textId="728D5F7F" w:rsidR="003D63FC" w:rsidRDefault="003D63FC" w:rsidP="00724D10">
      <w:pPr>
        <w:pStyle w:val="BodyText"/>
        <w:spacing w:line="480" w:lineRule="auto"/>
        <w:rPr>
          <w:rFonts w:asciiTheme="majorHAnsi" w:hAnsiTheme="majorHAnsi" w:cstheme="majorHAnsi"/>
          <w:sz w:val="20"/>
        </w:rPr>
      </w:pPr>
    </w:p>
    <w:p w14:paraId="34957529" w14:textId="64BC80A1" w:rsidR="003D63FC" w:rsidRDefault="003D63FC" w:rsidP="00724D10">
      <w:pPr>
        <w:pStyle w:val="BodyText"/>
        <w:spacing w:line="480" w:lineRule="auto"/>
        <w:rPr>
          <w:rFonts w:asciiTheme="majorHAnsi" w:hAnsiTheme="majorHAnsi" w:cstheme="majorHAnsi"/>
          <w:sz w:val="20"/>
        </w:rPr>
      </w:pPr>
    </w:p>
    <w:p w14:paraId="2E9F9F6B" w14:textId="3CB39A2C" w:rsidR="003D63FC" w:rsidRDefault="003D63FC" w:rsidP="00724D10">
      <w:pPr>
        <w:pStyle w:val="BodyText"/>
        <w:spacing w:line="480" w:lineRule="auto"/>
        <w:rPr>
          <w:rFonts w:asciiTheme="majorHAnsi" w:hAnsiTheme="majorHAnsi" w:cstheme="majorHAnsi"/>
          <w:sz w:val="20"/>
        </w:rPr>
      </w:pPr>
    </w:p>
    <w:p w14:paraId="512E5CB4" w14:textId="7AA7539B" w:rsidR="003D63FC" w:rsidRDefault="003D63FC" w:rsidP="00724D10">
      <w:pPr>
        <w:pStyle w:val="BodyText"/>
        <w:spacing w:line="480" w:lineRule="auto"/>
        <w:rPr>
          <w:rFonts w:asciiTheme="majorHAnsi" w:hAnsiTheme="majorHAnsi" w:cstheme="majorHAnsi"/>
          <w:sz w:val="20"/>
        </w:rPr>
      </w:pPr>
    </w:p>
    <w:p w14:paraId="003F68EF" w14:textId="1BA9439C" w:rsidR="003D63FC" w:rsidRDefault="003D63FC" w:rsidP="00724D10">
      <w:pPr>
        <w:pStyle w:val="BodyText"/>
        <w:spacing w:line="480" w:lineRule="auto"/>
        <w:rPr>
          <w:rFonts w:asciiTheme="majorHAnsi" w:hAnsiTheme="majorHAnsi" w:cstheme="majorHAnsi"/>
          <w:sz w:val="20"/>
        </w:rPr>
      </w:pPr>
    </w:p>
    <w:p w14:paraId="479386A6" w14:textId="58332CA9" w:rsidR="003D63FC" w:rsidRDefault="003D63FC" w:rsidP="00724D10">
      <w:pPr>
        <w:pStyle w:val="BodyText"/>
        <w:spacing w:line="480" w:lineRule="auto"/>
        <w:rPr>
          <w:rFonts w:asciiTheme="majorHAnsi" w:hAnsiTheme="majorHAnsi" w:cstheme="majorHAnsi"/>
          <w:sz w:val="20"/>
        </w:rPr>
      </w:pPr>
    </w:p>
    <w:p w14:paraId="3E4521BE" w14:textId="7D2C4166" w:rsidR="005D6F68" w:rsidRDefault="005D6F68" w:rsidP="00724D10">
      <w:pPr>
        <w:pStyle w:val="BodyText"/>
        <w:spacing w:line="480" w:lineRule="auto"/>
        <w:rPr>
          <w:rFonts w:asciiTheme="majorHAnsi" w:hAnsiTheme="majorHAnsi" w:cstheme="majorHAnsi"/>
          <w:sz w:val="20"/>
        </w:rPr>
      </w:pPr>
    </w:p>
    <w:p w14:paraId="25D5DBEB" w14:textId="18629593" w:rsidR="005D6F68" w:rsidRDefault="005D6F68" w:rsidP="00724D10">
      <w:pPr>
        <w:pStyle w:val="BodyText"/>
        <w:spacing w:line="480" w:lineRule="auto"/>
        <w:rPr>
          <w:rFonts w:asciiTheme="majorHAnsi" w:hAnsiTheme="majorHAnsi" w:cstheme="majorHAnsi"/>
          <w:sz w:val="20"/>
        </w:rPr>
      </w:pPr>
    </w:p>
    <w:p w14:paraId="1910DBA8" w14:textId="77777777" w:rsidR="005D6F68" w:rsidRDefault="005D6F68" w:rsidP="00724D10">
      <w:pPr>
        <w:pStyle w:val="BodyText"/>
        <w:spacing w:line="480" w:lineRule="auto"/>
        <w:rPr>
          <w:rFonts w:asciiTheme="majorHAnsi" w:hAnsiTheme="majorHAnsi" w:cstheme="majorHAnsi"/>
          <w:sz w:val="20"/>
        </w:rPr>
      </w:pPr>
    </w:p>
    <w:p w14:paraId="272270C1" w14:textId="6F4C68C3" w:rsidR="003D63FC" w:rsidRDefault="003D63FC" w:rsidP="00724D10">
      <w:pPr>
        <w:pStyle w:val="BodyText"/>
        <w:spacing w:line="480" w:lineRule="auto"/>
        <w:rPr>
          <w:rFonts w:asciiTheme="majorHAnsi" w:hAnsiTheme="majorHAnsi" w:cstheme="majorHAnsi"/>
          <w:sz w:val="20"/>
        </w:rPr>
      </w:pPr>
    </w:p>
    <w:p w14:paraId="615C0593" w14:textId="224EBCE2" w:rsidR="003D63FC" w:rsidRDefault="003D63FC" w:rsidP="00724D10">
      <w:pPr>
        <w:pStyle w:val="BodyText"/>
        <w:spacing w:line="480" w:lineRule="auto"/>
        <w:rPr>
          <w:rFonts w:asciiTheme="majorHAnsi" w:hAnsiTheme="majorHAnsi" w:cstheme="majorHAnsi"/>
          <w:sz w:val="20"/>
        </w:rPr>
      </w:pPr>
    </w:p>
    <w:p w14:paraId="0D94C2BC" w14:textId="1EFF6FE1" w:rsidR="003D63FC" w:rsidRPr="00D42D99" w:rsidRDefault="003D63FC" w:rsidP="00724D10">
      <w:pPr>
        <w:pStyle w:val="BodyText"/>
        <w:spacing w:line="480" w:lineRule="auto"/>
        <w:rPr>
          <w:rFonts w:asciiTheme="majorHAnsi" w:hAnsiTheme="majorHAnsi" w:cstheme="majorHAnsi"/>
          <w:bCs/>
          <w:sz w:val="20"/>
        </w:rPr>
      </w:pPr>
    </w:p>
    <w:p w14:paraId="7B037132" w14:textId="16CB8A43" w:rsidR="003D63FC" w:rsidRPr="00D42D99" w:rsidRDefault="00D42D99" w:rsidP="00D42D99">
      <w:pPr>
        <w:pStyle w:val="Heading2"/>
        <w:rPr>
          <w:b w:val="0"/>
          <w:bCs/>
        </w:rPr>
      </w:pPr>
      <w:bookmarkStart w:id="145" w:name="_Toc78205836"/>
      <w:r w:rsidRPr="00D42D99">
        <w:rPr>
          <w:b w:val="0"/>
          <w:bCs/>
        </w:rPr>
        <w:t xml:space="preserve">Appendix 6: </w:t>
      </w:r>
      <w:r w:rsidR="003D63FC" w:rsidRPr="00D42D99">
        <w:rPr>
          <w:b w:val="0"/>
          <w:bCs/>
        </w:rPr>
        <w:t>C</w:t>
      </w:r>
      <w:r w:rsidRPr="00D42D99">
        <w:rPr>
          <w:b w:val="0"/>
          <w:bCs/>
        </w:rPr>
        <w:t>urriculum Vitae</w:t>
      </w:r>
      <w:bookmarkEnd w:id="145"/>
    </w:p>
    <w:p w14:paraId="61B514E4" w14:textId="77777777" w:rsidR="003D63FC" w:rsidRPr="003D63FC" w:rsidRDefault="003D63FC" w:rsidP="003D63FC">
      <w:pPr>
        <w:spacing w:line="480" w:lineRule="auto"/>
        <w:rPr>
          <w:rFonts w:asciiTheme="majorHAnsi" w:hAnsiTheme="majorHAnsi" w:cstheme="majorHAnsi"/>
          <w:b/>
          <w:sz w:val="24"/>
          <w:szCs w:val="24"/>
          <w:u w:val="single"/>
        </w:rPr>
      </w:pPr>
    </w:p>
    <w:p w14:paraId="7AEF4897" w14:textId="77777777" w:rsidR="003D63FC" w:rsidRPr="003D63FC" w:rsidRDefault="003D63FC" w:rsidP="003D63FC">
      <w:pPr>
        <w:spacing w:line="480" w:lineRule="auto"/>
        <w:rPr>
          <w:rFonts w:asciiTheme="majorHAnsi" w:hAnsiTheme="majorHAnsi" w:cstheme="majorHAnsi"/>
          <w:b/>
          <w:sz w:val="24"/>
          <w:szCs w:val="24"/>
          <w:u w:val="single"/>
        </w:rPr>
      </w:pPr>
      <w:r w:rsidRPr="003D63FC">
        <w:rPr>
          <w:rFonts w:asciiTheme="majorHAnsi" w:hAnsiTheme="majorHAnsi" w:cstheme="majorHAnsi"/>
          <w:b/>
          <w:sz w:val="24"/>
          <w:szCs w:val="24"/>
          <w:u w:val="single"/>
        </w:rPr>
        <w:t>BASIC INFORMATIONSS</w:t>
      </w:r>
    </w:p>
    <w:p w14:paraId="48C0B9EC" w14:textId="77777777"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Name:</w:t>
      </w:r>
      <w:r w:rsidRPr="003D63FC">
        <w:rPr>
          <w:rFonts w:asciiTheme="majorHAnsi" w:hAnsiTheme="majorHAnsi" w:cstheme="majorHAnsi"/>
          <w:sz w:val="24"/>
          <w:szCs w:val="24"/>
        </w:rPr>
        <w:tab/>
      </w:r>
      <w:r w:rsidRPr="003D63FC">
        <w:rPr>
          <w:rFonts w:asciiTheme="majorHAnsi" w:hAnsiTheme="majorHAnsi" w:cstheme="majorHAnsi"/>
          <w:sz w:val="24"/>
          <w:szCs w:val="24"/>
        </w:rPr>
        <w:tab/>
        <w:t>Benjamin Kiprop</w:t>
      </w:r>
    </w:p>
    <w:p w14:paraId="24A97052" w14:textId="77777777"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Gender:</w:t>
      </w:r>
      <w:r w:rsidRPr="003D63FC">
        <w:rPr>
          <w:rFonts w:asciiTheme="majorHAnsi" w:hAnsiTheme="majorHAnsi" w:cstheme="majorHAnsi"/>
          <w:sz w:val="24"/>
          <w:szCs w:val="24"/>
        </w:rPr>
        <w:tab/>
        <w:t>Male</w:t>
      </w:r>
    </w:p>
    <w:p w14:paraId="1346CE9C" w14:textId="77777777"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Date of birth:</w:t>
      </w:r>
      <w:r w:rsidRPr="003D63FC">
        <w:rPr>
          <w:rFonts w:asciiTheme="majorHAnsi" w:hAnsiTheme="majorHAnsi" w:cstheme="majorHAnsi"/>
          <w:sz w:val="24"/>
          <w:szCs w:val="24"/>
        </w:rPr>
        <w:tab/>
        <w:t>4</w:t>
      </w:r>
      <w:r w:rsidRPr="003D63FC">
        <w:rPr>
          <w:rFonts w:asciiTheme="majorHAnsi" w:hAnsiTheme="majorHAnsi" w:cstheme="majorHAnsi"/>
          <w:sz w:val="24"/>
          <w:szCs w:val="24"/>
          <w:vertAlign w:val="superscript"/>
        </w:rPr>
        <w:t>th</w:t>
      </w:r>
      <w:r w:rsidRPr="003D63FC">
        <w:rPr>
          <w:rFonts w:asciiTheme="majorHAnsi" w:hAnsiTheme="majorHAnsi" w:cstheme="majorHAnsi"/>
          <w:sz w:val="24"/>
          <w:szCs w:val="24"/>
        </w:rPr>
        <w:t xml:space="preserve"> January 1987</w:t>
      </w:r>
    </w:p>
    <w:p w14:paraId="1E7101D4" w14:textId="77777777"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Marital status:</w:t>
      </w:r>
      <w:r w:rsidRPr="003D63FC">
        <w:rPr>
          <w:rFonts w:asciiTheme="majorHAnsi" w:hAnsiTheme="majorHAnsi" w:cstheme="majorHAnsi"/>
          <w:sz w:val="24"/>
          <w:szCs w:val="24"/>
        </w:rPr>
        <w:tab/>
        <w:t>Married</w:t>
      </w:r>
    </w:p>
    <w:p w14:paraId="705FDC9B" w14:textId="77777777"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Citizenship:</w:t>
      </w:r>
      <w:r w:rsidRPr="003D63FC">
        <w:rPr>
          <w:rFonts w:asciiTheme="majorHAnsi" w:hAnsiTheme="majorHAnsi" w:cstheme="majorHAnsi"/>
          <w:sz w:val="24"/>
          <w:szCs w:val="24"/>
        </w:rPr>
        <w:tab/>
        <w:t>Kenyan</w:t>
      </w:r>
    </w:p>
    <w:p w14:paraId="289F2829" w14:textId="77777777"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Email:</w:t>
      </w:r>
      <w:r w:rsidRPr="003D63FC">
        <w:rPr>
          <w:rFonts w:asciiTheme="majorHAnsi" w:hAnsiTheme="majorHAnsi" w:cstheme="majorHAnsi"/>
          <w:sz w:val="24"/>
          <w:szCs w:val="24"/>
        </w:rPr>
        <w:tab/>
      </w:r>
      <w:r w:rsidRPr="003D63FC">
        <w:rPr>
          <w:rFonts w:asciiTheme="majorHAnsi" w:hAnsiTheme="majorHAnsi" w:cstheme="majorHAnsi"/>
          <w:sz w:val="24"/>
          <w:szCs w:val="24"/>
        </w:rPr>
        <w:tab/>
      </w:r>
      <w:hyperlink r:id="rId16" w:history="1">
        <w:r w:rsidRPr="003D63FC">
          <w:rPr>
            <w:rStyle w:val="Hyperlink"/>
            <w:rFonts w:asciiTheme="majorHAnsi" w:hAnsiTheme="majorHAnsi" w:cstheme="majorHAnsi"/>
            <w:sz w:val="24"/>
            <w:szCs w:val="24"/>
          </w:rPr>
          <w:t>bklagatt2015@gmail.com</w:t>
        </w:r>
      </w:hyperlink>
    </w:p>
    <w:p w14:paraId="7CD47E7D" w14:textId="77777777"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Phone:</w:t>
      </w:r>
      <w:r w:rsidRPr="003D63FC">
        <w:rPr>
          <w:rFonts w:asciiTheme="majorHAnsi" w:hAnsiTheme="majorHAnsi" w:cstheme="majorHAnsi"/>
          <w:sz w:val="24"/>
          <w:szCs w:val="24"/>
        </w:rPr>
        <w:tab/>
      </w:r>
      <w:r w:rsidRPr="003D63FC">
        <w:rPr>
          <w:rFonts w:asciiTheme="majorHAnsi" w:hAnsiTheme="majorHAnsi" w:cstheme="majorHAnsi"/>
          <w:sz w:val="24"/>
          <w:szCs w:val="24"/>
        </w:rPr>
        <w:tab/>
        <w:t>+254712509649</w:t>
      </w:r>
    </w:p>
    <w:p w14:paraId="7F057A31" w14:textId="116F9896"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Address:</w:t>
      </w:r>
      <w:r w:rsidRPr="003D63FC">
        <w:rPr>
          <w:rFonts w:asciiTheme="majorHAnsi" w:hAnsiTheme="majorHAnsi" w:cstheme="majorHAnsi"/>
          <w:sz w:val="24"/>
          <w:szCs w:val="24"/>
        </w:rPr>
        <w:tab/>
        <w:t>P.o. Box 2</w:t>
      </w:r>
      <w:r>
        <w:rPr>
          <w:rFonts w:asciiTheme="majorHAnsi" w:hAnsiTheme="majorHAnsi" w:cstheme="majorHAnsi"/>
          <w:sz w:val="24"/>
          <w:szCs w:val="24"/>
        </w:rPr>
        <w:t>500</w:t>
      </w:r>
      <w:r w:rsidRPr="003D63FC">
        <w:rPr>
          <w:rFonts w:asciiTheme="majorHAnsi" w:hAnsiTheme="majorHAnsi" w:cstheme="majorHAnsi"/>
          <w:sz w:val="24"/>
          <w:szCs w:val="24"/>
        </w:rPr>
        <w:t>-30</w:t>
      </w:r>
      <w:r>
        <w:rPr>
          <w:rFonts w:asciiTheme="majorHAnsi" w:hAnsiTheme="majorHAnsi" w:cstheme="majorHAnsi"/>
          <w:sz w:val="24"/>
          <w:szCs w:val="24"/>
        </w:rPr>
        <w:t>100</w:t>
      </w:r>
      <w:r w:rsidRPr="003D63FC">
        <w:rPr>
          <w:rFonts w:asciiTheme="majorHAnsi" w:hAnsiTheme="majorHAnsi" w:cstheme="majorHAnsi"/>
          <w:sz w:val="24"/>
          <w:szCs w:val="24"/>
        </w:rPr>
        <w:t>,</w:t>
      </w:r>
      <w:r>
        <w:rPr>
          <w:rFonts w:asciiTheme="majorHAnsi" w:hAnsiTheme="majorHAnsi" w:cstheme="majorHAnsi"/>
          <w:sz w:val="24"/>
          <w:szCs w:val="24"/>
        </w:rPr>
        <w:t>Eldoret</w:t>
      </w:r>
    </w:p>
    <w:p w14:paraId="102DA283" w14:textId="77777777" w:rsidR="003D63FC" w:rsidRPr="003D63FC" w:rsidRDefault="003D63FC" w:rsidP="003D63FC">
      <w:pPr>
        <w:spacing w:line="480" w:lineRule="auto"/>
        <w:rPr>
          <w:rFonts w:asciiTheme="majorHAnsi" w:hAnsiTheme="majorHAnsi" w:cstheme="majorHAnsi"/>
          <w:sz w:val="24"/>
          <w:szCs w:val="24"/>
        </w:rPr>
      </w:pPr>
    </w:p>
    <w:p w14:paraId="41C0470B" w14:textId="77777777" w:rsidR="003D63FC" w:rsidRPr="003D63FC" w:rsidRDefault="003D63FC" w:rsidP="003D63FC">
      <w:pPr>
        <w:spacing w:line="480" w:lineRule="auto"/>
        <w:rPr>
          <w:rFonts w:asciiTheme="majorHAnsi" w:hAnsiTheme="majorHAnsi" w:cstheme="majorHAnsi"/>
          <w:b/>
          <w:sz w:val="24"/>
          <w:szCs w:val="24"/>
        </w:rPr>
      </w:pPr>
    </w:p>
    <w:p w14:paraId="08724778" w14:textId="77777777" w:rsidR="003D63FC" w:rsidRPr="003D63FC" w:rsidRDefault="003D63FC" w:rsidP="003D63FC">
      <w:pPr>
        <w:spacing w:line="480" w:lineRule="auto"/>
        <w:rPr>
          <w:rFonts w:asciiTheme="majorHAnsi" w:hAnsiTheme="majorHAnsi" w:cstheme="majorHAnsi"/>
          <w:b/>
          <w:sz w:val="24"/>
          <w:szCs w:val="24"/>
          <w:u w:val="single"/>
        </w:rPr>
      </w:pPr>
      <w:r w:rsidRPr="003D63FC">
        <w:rPr>
          <w:rFonts w:asciiTheme="majorHAnsi" w:hAnsiTheme="majorHAnsi" w:cstheme="majorHAnsi"/>
          <w:b/>
          <w:sz w:val="24"/>
          <w:szCs w:val="24"/>
          <w:u w:val="single"/>
        </w:rPr>
        <w:t>ACADEMIC QUALIFICATIONS</w:t>
      </w:r>
    </w:p>
    <w:tbl>
      <w:tblPr>
        <w:tblStyle w:val="TableGrid"/>
        <w:tblW w:w="10038" w:type="dxa"/>
        <w:tblLook w:val="04A0" w:firstRow="1" w:lastRow="0" w:firstColumn="1" w:lastColumn="0" w:noHBand="0" w:noVBand="1"/>
      </w:tblPr>
      <w:tblGrid>
        <w:gridCol w:w="1204"/>
        <w:gridCol w:w="1817"/>
        <w:gridCol w:w="4646"/>
        <w:gridCol w:w="2371"/>
      </w:tblGrid>
      <w:tr w:rsidR="003D63FC" w:rsidRPr="003D63FC" w14:paraId="179D8248" w14:textId="77777777" w:rsidTr="00D42D99">
        <w:trPr>
          <w:trHeight w:val="1104"/>
        </w:trPr>
        <w:tc>
          <w:tcPr>
            <w:tcW w:w="1206" w:type="dxa"/>
          </w:tcPr>
          <w:p w14:paraId="232C6B3C" w14:textId="77777777" w:rsidR="003D63FC" w:rsidRPr="003D63FC" w:rsidRDefault="003D63FC" w:rsidP="003D63FC">
            <w:pPr>
              <w:spacing w:line="480" w:lineRule="auto"/>
              <w:rPr>
                <w:rFonts w:asciiTheme="majorHAnsi" w:hAnsiTheme="majorHAnsi" w:cstheme="majorHAnsi"/>
                <w:b/>
                <w:sz w:val="24"/>
                <w:szCs w:val="24"/>
              </w:rPr>
            </w:pPr>
            <w:r w:rsidRPr="003D63FC">
              <w:rPr>
                <w:rFonts w:asciiTheme="majorHAnsi" w:hAnsiTheme="majorHAnsi" w:cstheme="majorHAnsi"/>
                <w:b/>
                <w:sz w:val="24"/>
                <w:szCs w:val="24"/>
              </w:rPr>
              <w:t>YEAR</w:t>
            </w:r>
          </w:p>
        </w:tc>
        <w:tc>
          <w:tcPr>
            <w:tcW w:w="1783" w:type="dxa"/>
          </w:tcPr>
          <w:p w14:paraId="7A1AAFD0" w14:textId="77777777" w:rsidR="003D63FC" w:rsidRPr="003D63FC" w:rsidRDefault="003D63FC" w:rsidP="003D63FC">
            <w:pPr>
              <w:spacing w:line="480" w:lineRule="auto"/>
              <w:rPr>
                <w:rFonts w:asciiTheme="majorHAnsi" w:hAnsiTheme="majorHAnsi" w:cstheme="majorHAnsi"/>
                <w:b/>
                <w:sz w:val="24"/>
                <w:szCs w:val="24"/>
              </w:rPr>
            </w:pPr>
            <w:r w:rsidRPr="003D63FC">
              <w:rPr>
                <w:rFonts w:asciiTheme="majorHAnsi" w:hAnsiTheme="majorHAnsi" w:cstheme="majorHAnsi"/>
                <w:b/>
                <w:sz w:val="24"/>
                <w:szCs w:val="24"/>
              </w:rPr>
              <w:t>INSTITUTION</w:t>
            </w:r>
          </w:p>
        </w:tc>
        <w:tc>
          <w:tcPr>
            <w:tcW w:w="4671" w:type="dxa"/>
          </w:tcPr>
          <w:p w14:paraId="6CD7C8A7" w14:textId="77777777" w:rsidR="003D63FC" w:rsidRPr="003D63FC" w:rsidRDefault="003D63FC" w:rsidP="003D63FC">
            <w:pPr>
              <w:spacing w:line="480" w:lineRule="auto"/>
              <w:rPr>
                <w:rFonts w:asciiTheme="majorHAnsi" w:hAnsiTheme="majorHAnsi" w:cstheme="majorHAnsi"/>
                <w:b/>
                <w:sz w:val="24"/>
                <w:szCs w:val="24"/>
              </w:rPr>
            </w:pPr>
            <w:r w:rsidRPr="003D63FC">
              <w:rPr>
                <w:rFonts w:asciiTheme="majorHAnsi" w:hAnsiTheme="majorHAnsi" w:cstheme="majorHAnsi"/>
                <w:b/>
                <w:sz w:val="24"/>
                <w:szCs w:val="24"/>
              </w:rPr>
              <w:t>AWARDS</w:t>
            </w:r>
          </w:p>
        </w:tc>
        <w:tc>
          <w:tcPr>
            <w:tcW w:w="2378" w:type="dxa"/>
          </w:tcPr>
          <w:p w14:paraId="2D39A5E1" w14:textId="77777777" w:rsidR="003D63FC" w:rsidRPr="003D63FC" w:rsidRDefault="003D63FC" w:rsidP="003D63FC">
            <w:pPr>
              <w:spacing w:line="480" w:lineRule="auto"/>
              <w:rPr>
                <w:rFonts w:asciiTheme="majorHAnsi" w:hAnsiTheme="majorHAnsi" w:cstheme="majorHAnsi"/>
                <w:b/>
                <w:sz w:val="24"/>
                <w:szCs w:val="24"/>
              </w:rPr>
            </w:pPr>
            <w:r w:rsidRPr="003D63FC">
              <w:rPr>
                <w:rFonts w:asciiTheme="majorHAnsi" w:hAnsiTheme="majorHAnsi" w:cstheme="majorHAnsi"/>
                <w:b/>
                <w:sz w:val="24"/>
                <w:szCs w:val="24"/>
              </w:rPr>
              <w:t>GRADES ATTAINED</w:t>
            </w:r>
          </w:p>
        </w:tc>
      </w:tr>
      <w:tr w:rsidR="003D63FC" w:rsidRPr="003D63FC" w14:paraId="19117C66" w14:textId="77777777" w:rsidTr="00D42D99">
        <w:trPr>
          <w:trHeight w:val="1104"/>
        </w:trPr>
        <w:tc>
          <w:tcPr>
            <w:tcW w:w="1206" w:type="dxa"/>
          </w:tcPr>
          <w:p w14:paraId="109BB9F5" w14:textId="77777777"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2009-2013</w:t>
            </w:r>
          </w:p>
        </w:tc>
        <w:tc>
          <w:tcPr>
            <w:tcW w:w="1783" w:type="dxa"/>
          </w:tcPr>
          <w:p w14:paraId="4139AF84" w14:textId="77777777"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Moi university</w:t>
            </w:r>
          </w:p>
        </w:tc>
        <w:tc>
          <w:tcPr>
            <w:tcW w:w="4671" w:type="dxa"/>
          </w:tcPr>
          <w:p w14:paraId="5D0F27AE" w14:textId="01A301C7"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Bachelor of Business Management</w:t>
            </w:r>
            <w:r w:rsidR="00D42D99">
              <w:rPr>
                <w:rFonts w:asciiTheme="majorHAnsi" w:hAnsiTheme="majorHAnsi" w:cstheme="majorHAnsi"/>
                <w:sz w:val="24"/>
                <w:szCs w:val="24"/>
              </w:rPr>
              <w:t xml:space="preserve"> </w:t>
            </w:r>
            <w:r w:rsidRPr="003D63FC">
              <w:rPr>
                <w:rFonts w:asciiTheme="majorHAnsi" w:hAnsiTheme="majorHAnsi" w:cstheme="majorHAnsi"/>
                <w:sz w:val="24"/>
                <w:szCs w:val="24"/>
              </w:rPr>
              <w:t>(Accounting)</w:t>
            </w:r>
          </w:p>
        </w:tc>
        <w:tc>
          <w:tcPr>
            <w:tcW w:w="2378" w:type="dxa"/>
          </w:tcPr>
          <w:p w14:paraId="2972180D" w14:textId="77777777"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Second class honours upper division</w:t>
            </w:r>
          </w:p>
        </w:tc>
      </w:tr>
      <w:tr w:rsidR="003D63FC" w:rsidRPr="003D63FC" w14:paraId="4642F184" w14:textId="77777777" w:rsidTr="00D42D99">
        <w:trPr>
          <w:trHeight w:val="1104"/>
        </w:trPr>
        <w:tc>
          <w:tcPr>
            <w:tcW w:w="1206" w:type="dxa"/>
          </w:tcPr>
          <w:p w14:paraId="4EDE0815" w14:textId="77777777"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2004-2007</w:t>
            </w:r>
          </w:p>
        </w:tc>
        <w:tc>
          <w:tcPr>
            <w:tcW w:w="1783" w:type="dxa"/>
          </w:tcPr>
          <w:p w14:paraId="36E8DBDB" w14:textId="77777777"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Segero High School</w:t>
            </w:r>
          </w:p>
        </w:tc>
        <w:tc>
          <w:tcPr>
            <w:tcW w:w="4671" w:type="dxa"/>
          </w:tcPr>
          <w:p w14:paraId="1E472C50" w14:textId="77777777"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Kenya Certificate of Secondary Education</w:t>
            </w:r>
          </w:p>
        </w:tc>
        <w:tc>
          <w:tcPr>
            <w:tcW w:w="2378" w:type="dxa"/>
          </w:tcPr>
          <w:p w14:paraId="2B7BC50B" w14:textId="77777777"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 xml:space="preserve">       B+</w:t>
            </w:r>
          </w:p>
        </w:tc>
      </w:tr>
      <w:tr w:rsidR="003D63FC" w:rsidRPr="003D63FC" w14:paraId="3A4A743B" w14:textId="77777777" w:rsidTr="00D42D99">
        <w:trPr>
          <w:trHeight w:val="1119"/>
        </w:trPr>
        <w:tc>
          <w:tcPr>
            <w:tcW w:w="1206" w:type="dxa"/>
          </w:tcPr>
          <w:p w14:paraId="1138297A" w14:textId="77777777"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1993-2000</w:t>
            </w:r>
          </w:p>
        </w:tc>
        <w:tc>
          <w:tcPr>
            <w:tcW w:w="1783" w:type="dxa"/>
          </w:tcPr>
          <w:p w14:paraId="329BDC9A" w14:textId="77777777"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Sigot primary school</w:t>
            </w:r>
          </w:p>
        </w:tc>
        <w:tc>
          <w:tcPr>
            <w:tcW w:w="4671" w:type="dxa"/>
          </w:tcPr>
          <w:p w14:paraId="206ACB07" w14:textId="77777777"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Kenya Certificate of Primary Education</w:t>
            </w:r>
          </w:p>
        </w:tc>
        <w:tc>
          <w:tcPr>
            <w:tcW w:w="2378" w:type="dxa"/>
          </w:tcPr>
          <w:p w14:paraId="3BFB7F2B" w14:textId="77777777"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500/700 marks</w:t>
            </w:r>
          </w:p>
        </w:tc>
      </w:tr>
      <w:tr w:rsidR="003D63FC" w:rsidRPr="003D63FC" w14:paraId="4E5BDFEA" w14:textId="77777777" w:rsidTr="00D42D99">
        <w:trPr>
          <w:trHeight w:val="544"/>
        </w:trPr>
        <w:tc>
          <w:tcPr>
            <w:tcW w:w="1206" w:type="dxa"/>
          </w:tcPr>
          <w:p w14:paraId="5559CC94" w14:textId="77777777" w:rsidR="003D63FC" w:rsidRPr="003D63FC" w:rsidRDefault="003D63FC" w:rsidP="003D63FC">
            <w:pPr>
              <w:spacing w:line="480" w:lineRule="auto"/>
              <w:rPr>
                <w:rFonts w:asciiTheme="majorHAnsi" w:hAnsiTheme="majorHAnsi" w:cstheme="majorHAnsi"/>
                <w:sz w:val="24"/>
                <w:szCs w:val="24"/>
              </w:rPr>
            </w:pPr>
          </w:p>
        </w:tc>
        <w:tc>
          <w:tcPr>
            <w:tcW w:w="1783" w:type="dxa"/>
          </w:tcPr>
          <w:p w14:paraId="710A3F1A" w14:textId="77777777" w:rsidR="003D63FC" w:rsidRPr="003D63FC" w:rsidRDefault="003D63FC" w:rsidP="003D63FC">
            <w:pPr>
              <w:spacing w:line="480" w:lineRule="auto"/>
              <w:rPr>
                <w:rFonts w:asciiTheme="majorHAnsi" w:hAnsiTheme="majorHAnsi" w:cstheme="majorHAnsi"/>
                <w:sz w:val="24"/>
                <w:szCs w:val="24"/>
              </w:rPr>
            </w:pPr>
          </w:p>
        </w:tc>
        <w:tc>
          <w:tcPr>
            <w:tcW w:w="4671" w:type="dxa"/>
          </w:tcPr>
          <w:p w14:paraId="3123B385" w14:textId="77777777" w:rsidR="003D63FC" w:rsidRPr="003D63FC" w:rsidRDefault="003D63FC" w:rsidP="003D63FC">
            <w:pPr>
              <w:spacing w:line="480" w:lineRule="auto"/>
              <w:rPr>
                <w:rFonts w:asciiTheme="majorHAnsi" w:hAnsiTheme="majorHAnsi" w:cstheme="majorHAnsi"/>
                <w:sz w:val="24"/>
                <w:szCs w:val="24"/>
              </w:rPr>
            </w:pPr>
          </w:p>
        </w:tc>
        <w:tc>
          <w:tcPr>
            <w:tcW w:w="2378" w:type="dxa"/>
          </w:tcPr>
          <w:p w14:paraId="41AABE86" w14:textId="77777777" w:rsidR="003D63FC" w:rsidRPr="003D63FC" w:rsidRDefault="003D63FC" w:rsidP="003D63FC">
            <w:pPr>
              <w:spacing w:line="480" w:lineRule="auto"/>
              <w:rPr>
                <w:rFonts w:asciiTheme="majorHAnsi" w:hAnsiTheme="majorHAnsi" w:cstheme="majorHAnsi"/>
                <w:sz w:val="24"/>
                <w:szCs w:val="24"/>
              </w:rPr>
            </w:pPr>
          </w:p>
        </w:tc>
      </w:tr>
    </w:tbl>
    <w:p w14:paraId="35A9E78E" w14:textId="77777777" w:rsidR="003D63FC" w:rsidRPr="003D63FC" w:rsidRDefault="003D63FC" w:rsidP="003D63FC">
      <w:pPr>
        <w:spacing w:line="480" w:lineRule="auto"/>
        <w:rPr>
          <w:rFonts w:asciiTheme="majorHAnsi" w:hAnsiTheme="majorHAnsi" w:cstheme="majorHAnsi"/>
          <w:sz w:val="24"/>
          <w:szCs w:val="24"/>
        </w:rPr>
      </w:pPr>
    </w:p>
    <w:p w14:paraId="5224FA5E" w14:textId="77777777" w:rsidR="003D63FC" w:rsidRPr="003D63FC" w:rsidRDefault="003D63FC" w:rsidP="003D63FC">
      <w:pPr>
        <w:spacing w:line="480" w:lineRule="auto"/>
        <w:rPr>
          <w:rFonts w:asciiTheme="majorHAnsi" w:hAnsiTheme="majorHAnsi" w:cstheme="majorHAnsi"/>
          <w:sz w:val="24"/>
          <w:szCs w:val="24"/>
        </w:rPr>
      </w:pPr>
    </w:p>
    <w:p w14:paraId="6FA5C26F" w14:textId="77777777" w:rsidR="003D63FC" w:rsidRPr="003D63FC" w:rsidRDefault="003D63FC" w:rsidP="003D63FC">
      <w:pPr>
        <w:spacing w:line="480" w:lineRule="auto"/>
        <w:rPr>
          <w:rFonts w:asciiTheme="majorHAnsi" w:hAnsiTheme="majorHAnsi" w:cstheme="majorHAnsi"/>
          <w:sz w:val="24"/>
          <w:szCs w:val="24"/>
        </w:rPr>
      </w:pPr>
    </w:p>
    <w:p w14:paraId="452117CE" w14:textId="77777777" w:rsidR="003D63FC" w:rsidRPr="003D63FC" w:rsidRDefault="003D63FC" w:rsidP="003D63FC">
      <w:pPr>
        <w:spacing w:line="480" w:lineRule="auto"/>
        <w:rPr>
          <w:rFonts w:asciiTheme="majorHAnsi" w:hAnsiTheme="majorHAnsi" w:cstheme="majorHAnsi"/>
          <w:sz w:val="24"/>
          <w:szCs w:val="24"/>
        </w:rPr>
      </w:pPr>
    </w:p>
    <w:p w14:paraId="219B20DD" w14:textId="77777777" w:rsidR="003D63FC" w:rsidRPr="003D63FC" w:rsidRDefault="003D63FC" w:rsidP="003D63FC">
      <w:pPr>
        <w:spacing w:line="480" w:lineRule="auto"/>
        <w:rPr>
          <w:rFonts w:asciiTheme="majorHAnsi" w:hAnsiTheme="majorHAnsi" w:cstheme="majorHAnsi"/>
          <w:sz w:val="24"/>
          <w:szCs w:val="24"/>
          <w:u w:val="single"/>
        </w:rPr>
      </w:pPr>
      <w:r w:rsidRPr="003D63FC">
        <w:rPr>
          <w:rFonts w:asciiTheme="majorHAnsi" w:hAnsiTheme="majorHAnsi" w:cstheme="majorHAnsi"/>
          <w:sz w:val="24"/>
          <w:szCs w:val="24"/>
          <w:u w:val="single"/>
        </w:rPr>
        <w:t>PROFESSIONAL QUALIFICATIONS</w:t>
      </w:r>
    </w:p>
    <w:tbl>
      <w:tblPr>
        <w:tblStyle w:val="TableGrid"/>
        <w:tblW w:w="10052" w:type="dxa"/>
        <w:tblLook w:val="04A0" w:firstRow="1" w:lastRow="0" w:firstColumn="1" w:lastColumn="0" w:noHBand="0" w:noVBand="1"/>
      </w:tblPr>
      <w:tblGrid>
        <w:gridCol w:w="1351"/>
        <w:gridCol w:w="1817"/>
        <w:gridCol w:w="3773"/>
        <w:gridCol w:w="3111"/>
      </w:tblGrid>
      <w:tr w:rsidR="003D63FC" w:rsidRPr="003D63FC" w14:paraId="6F4437B2" w14:textId="77777777" w:rsidTr="00D42D99">
        <w:trPr>
          <w:trHeight w:val="540"/>
        </w:trPr>
        <w:tc>
          <w:tcPr>
            <w:tcW w:w="1361" w:type="dxa"/>
          </w:tcPr>
          <w:p w14:paraId="57488EC2" w14:textId="77777777" w:rsidR="003D63FC" w:rsidRPr="003D63FC" w:rsidRDefault="003D63FC" w:rsidP="003D63FC">
            <w:pPr>
              <w:spacing w:line="480" w:lineRule="auto"/>
              <w:rPr>
                <w:rFonts w:asciiTheme="majorHAnsi" w:hAnsiTheme="majorHAnsi" w:cstheme="majorHAnsi"/>
                <w:b/>
                <w:sz w:val="24"/>
                <w:szCs w:val="24"/>
              </w:rPr>
            </w:pPr>
            <w:r w:rsidRPr="003D63FC">
              <w:rPr>
                <w:rFonts w:asciiTheme="majorHAnsi" w:hAnsiTheme="majorHAnsi" w:cstheme="majorHAnsi"/>
                <w:b/>
                <w:sz w:val="24"/>
                <w:szCs w:val="24"/>
              </w:rPr>
              <w:t>YEAR</w:t>
            </w:r>
          </w:p>
        </w:tc>
        <w:tc>
          <w:tcPr>
            <w:tcW w:w="1717" w:type="dxa"/>
          </w:tcPr>
          <w:p w14:paraId="15998577" w14:textId="77777777" w:rsidR="003D63FC" w:rsidRPr="003D63FC" w:rsidRDefault="003D63FC" w:rsidP="003D63FC">
            <w:pPr>
              <w:spacing w:line="480" w:lineRule="auto"/>
              <w:rPr>
                <w:rFonts w:asciiTheme="majorHAnsi" w:hAnsiTheme="majorHAnsi" w:cstheme="majorHAnsi"/>
                <w:b/>
                <w:sz w:val="24"/>
                <w:szCs w:val="24"/>
              </w:rPr>
            </w:pPr>
            <w:r w:rsidRPr="003D63FC">
              <w:rPr>
                <w:rFonts w:asciiTheme="majorHAnsi" w:hAnsiTheme="majorHAnsi" w:cstheme="majorHAnsi"/>
                <w:b/>
                <w:sz w:val="24"/>
                <w:szCs w:val="24"/>
              </w:rPr>
              <w:t>INSTITUTION</w:t>
            </w:r>
          </w:p>
        </w:tc>
        <w:tc>
          <w:tcPr>
            <w:tcW w:w="3827" w:type="dxa"/>
          </w:tcPr>
          <w:p w14:paraId="3DA1E9AB" w14:textId="77777777" w:rsidR="003D63FC" w:rsidRPr="003D63FC" w:rsidRDefault="003D63FC" w:rsidP="003D63FC">
            <w:pPr>
              <w:spacing w:line="480" w:lineRule="auto"/>
              <w:rPr>
                <w:rFonts w:asciiTheme="majorHAnsi" w:hAnsiTheme="majorHAnsi" w:cstheme="majorHAnsi"/>
                <w:b/>
                <w:sz w:val="24"/>
                <w:szCs w:val="24"/>
              </w:rPr>
            </w:pPr>
          </w:p>
        </w:tc>
        <w:tc>
          <w:tcPr>
            <w:tcW w:w="3147" w:type="dxa"/>
          </w:tcPr>
          <w:p w14:paraId="078E0AE2" w14:textId="77777777" w:rsidR="003D63FC" w:rsidRPr="003D63FC" w:rsidRDefault="003D63FC" w:rsidP="003D63FC">
            <w:pPr>
              <w:spacing w:line="480" w:lineRule="auto"/>
              <w:rPr>
                <w:rFonts w:asciiTheme="majorHAnsi" w:hAnsiTheme="majorHAnsi" w:cstheme="majorHAnsi"/>
                <w:b/>
                <w:sz w:val="24"/>
                <w:szCs w:val="24"/>
              </w:rPr>
            </w:pPr>
            <w:r w:rsidRPr="003D63FC">
              <w:rPr>
                <w:rFonts w:asciiTheme="majorHAnsi" w:hAnsiTheme="majorHAnsi" w:cstheme="majorHAnsi"/>
                <w:b/>
                <w:sz w:val="24"/>
                <w:szCs w:val="24"/>
              </w:rPr>
              <w:t>GRADES ATTAINED</w:t>
            </w:r>
          </w:p>
        </w:tc>
      </w:tr>
      <w:tr w:rsidR="003D63FC" w:rsidRPr="003D63FC" w14:paraId="293D1527" w14:textId="77777777" w:rsidTr="00D42D99">
        <w:trPr>
          <w:trHeight w:val="555"/>
        </w:trPr>
        <w:tc>
          <w:tcPr>
            <w:tcW w:w="1361" w:type="dxa"/>
          </w:tcPr>
          <w:p w14:paraId="27199F54" w14:textId="77777777"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2009-2015</w:t>
            </w:r>
          </w:p>
        </w:tc>
        <w:tc>
          <w:tcPr>
            <w:tcW w:w="1717" w:type="dxa"/>
          </w:tcPr>
          <w:p w14:paraId="1D021024" w14:textId="77777777"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Moi university</w:t>
            </w:r>
          </w:p>
        </w:tc>
        <w:tc>
          <w:tcPr>
            <w:tcW w:w="3827" w:type="dxa"/>
          </w:tcPr>
          <w:p w14:paraId="7331F883" w14:textId="64FB4276"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Certified Public Accountant</w:t>
            </w:r>
            <w:r w:rsidR="00D42D99">
              <w:rPr>
                <w:rFonts w:asciiTheme="majorHAnsi" w:hAnsiTheme="majorHAnsi" w:cstheme="majorHAnsi"/>
                <w:sz w:val="24"/>
                <w:szCs w:val="24"/>
              </w:rPr>
              <w:t xml:space="preserve"> </w:t>
            </w:r>
            <w:r w:rsidRPr="003D63FC">
              <w:rPr>
                <w:rFonts w:asciiTheme="majorHAnsi" w:hAnsiTheme="majorHAnsi" w:cstheme="majorHAnsi"/>
                <w:sz w:val="24"/>
                <w:szCs w:val="24"/>
              </w:rPr>
              <w:t>(CPA)</w:t>
            </w:r>
          </w:p>
        </w:tc>
        <w:tc>
          <w:tcPr>
            <w:tcW w:w="3147" w:type="dxa"/>
          </w:tcPr>
          <w:p w14:paraId="5F17A5B6" w14:textId="08028D81" w:rsidR="003D63FC" w:rsidRPr="003D63FC" w:rsidRDefault="00D42D99" w:rsidP="003D63FC">
            <w:pPr>
              <w:spacing w:line="480" w:lineRule="auto"/>
              <w:rPr>
                <w:rFonts w:asciiTheme="majorHAnsi" w:hAnsiTheme="majorHAnsi" w:cstheme="majorHAnsi"/>
                <w:sz w:val="24"/>
                <w:szCs w:val="24"/>
              </w:rPr>
            </w:pPr>
            <w:r>
              <w:rPr>
                <w:rFonts w:asciiTheme="majorHAnsi" w:hAnsiTheme="majorHAnsi" w:cstheme="majorHAnsi"/>
                <w:sz w:val="24"/>
                <w:szCs w:val="24"/>
              </w:rPr>
              <w:t>CPAK</w:t>
            </w:r>
          </w:p>
        </w:tc>
      </w:tr>
      <w:tr w:rsidR="003D63FC" w:rsidRPr="003D63FC" w14:paraId="753D3694" w14:textId="77777777" w:rsidTr="00D42D99">
        <w:trPr>
          <w:trHeight w:val="540"/>
        </w:trPr>
        <w:tc>
          <w:tcPr>
            <w:tcW w:w="1361" w:type="dxa"/>
          </w:tcPr>
          <w:p w14:paraId="2761516F" w14:textId="77777777" w:rsidR="003D63FC" w:rsidRPr="003D63FC" w:rsidRDefault="003D63FC" w:rsidP="003D63FC">
            <w:pPr>
              <w:spacing w:line="480" w:lineRule="auto"/>
              <w:rPr>
                <w:rFonts w:asciiTheme="majorHAnsi" w:hAnsiTheme="majorHAnsi" w:cstheme="majorHAnsi"/>
                <w:sz w:val="24"/>
                <w:szCs w:val="24"/>
              </w:rPr>
            </w:pPr>
          </w:p>
        </w:tc>
        <w:tc>
          <w:tcPr>
            <w:tcW w:w="1717" w:type="dxa"/>
          </w:tcPr>
          <w:p w14:paraId="5B7DE81D" w14:textId="77777777" w:rsidR="003D63FC" w:rsidRPr="003D63FC" w:rsidRDefault="003D63FC" w:rsidP="003D63FC">
            <w:pPr>
              <w:spacing w:line="480" w:lineRule="auto"/>
              <w:rPr>
                <w:rFonts w:asciiTheme="majorHAnsi" w:hAnsiTheme="majorHAnsi" w:cstheme="majorHAnsi"/>
                <w:sz w:val="24"/>
                <w:szCs w:val="24"/>
              </w:rPr>
            </w:pPr>
          </w:p>
        </w:tc>
        <w:tc>
          <w:tcPr>
            <w:tcW w:w="3827" w:type="dxa"/>
          </w:tcPr>
          <w:p w14:paraId="083E83BE" w14:textId="77777777" w:rsidR="003D63FC" w:rsidRPr="003D63FC" w:rsidRDefault="003D63FC" w:rsidP="003D63FC">
            <w:pPr>
              <w:spacing w:line="480" w:lineRule="auto"/>
              <w:rPr>
                <w:rFonts w:asciiTheme="majorHAnsi" w:hAnsiTheme="majorHAnsi" w:cstheme="majorHAnsi"/>
                <w:sz w:val="24"/>
                <w:szCs w:val="24"/>
              </w:rPr>
            </w:pPr>
          </w:p>
        </w:tc>
        <w:tc>
          <w:tcPr>
            <w:tcW w:w="3147" w:type="dxa"/>
          </w:tcPr>
          <w:p w14:paraId="6150D661" w14:textId="77777777" w:rsidR="003D63FC" w:rsidRPr="003D63FC" w:rsidRDefault="003D63FC" w:rsidP="003D63FC">
            <w:pPr>
              <w:spacing w:line="480" w:lineRule="auto"/>
              <w:rPr>
                <w:rFonts w:asciiTheme="majorHAnsi" w:hAnsiTheme="majorHAnsi" w:cstheme="majorHAnsi"/>
                <w:sz w:val="24"/>
                <w:szCs w:val="24"/>
              </w:rPr>
            </w:pPr>
          </w:p>
        </w:tc>
      </w:tr>
      <w:tr w:rsidR="003D63FC" w:rsidRPr="003D63FC" w14:paraId="08C796E0" w14:textId="77777777" w:rsidTr="00D42D99">
        <w:trPr>
          <w:trHeight w:val="555"/>
        </w:trPr>
        <w:tc>
          <w:tcPr>
            <w:tcW w:w="1361" w:type="dxa"/>
          </w:tcPr>
          <w:p w14:paraId="4863C8D2" w14:textId="77777777" w:rsidR="003D63FC" w:rsidRPr="003D63FC" w:rsidRDefault="003D63FC" w:rsidP="003D63FC">
            <w:pPr>
              <w:spacing w:line="480" w:lineRule="auto"/>
              <w:rPr>
                <w:rFonts w:asciiTheme="majorHAnsi" w:hAnsiTheme="majorHAnsi" w:cstheme="majorHAnsi"/>
                <w:sz w:val="24"/>
                <w:szCs w:val="24"/>
              </w:rPr>
            </w:pPr>
          </w:p>
        </w:tc>
        <w:tc>
          <w:tcPr>
            <w:tcW w:w="1717" w:type="dxa"/>
          </w:tcPr>
          <w:p w14:paraId="371C0046" w14:textId="77777777" w:rsidR="003D63FC" w:rsidRPr="003D63FC" w:rsidRDefault="003D63FC" w:rsidP="003D63FC">
            <w:pPr>
              <w:spacing w:line="480" w:lineRule="auto"/>
              <w:rPr>
                <w:rFonts w:asciiTheme="majorHAnsi" w:hAnsiTheme="majorHAnsi" w:cstheme="majorHAnsi"/>
                <w:sz w:val="24"/>
                <w:szCs w:val="24"/>
              </w:rPr>
            </w:pPr>
          </w:p>
        </w:tc>
        <w:tc>
          <w:tcPr>
            <w:tcW w:w="3827" w:type="dxa"/>
          </w:tcPr>
          <w:p w14:paraId="48434B0E" w14:textId="77777777" w:rsidR="003D63FC" w:rsidRPr="003D63FC" w:rsidRDefault="003D63FC" w:rsidP="003D63FC">
            <w:pPr>
              <w:spacing w:line="480" w:lineRule="auto"/>
              <w:rPr>
                <w:rFonts w:asciiTheme="majorHAnsi" w:hAnsiTheme="majorHAnsi" w:cstheme="majorHAnsi"/>
                <w:sz w:val="24"/>
                <w:szCs w:val="24"/>
              </w:rPr>
            </w:pPr>
          </w:p>
        </w:tc>
        <w:tc>
          <w:tcPr>
            <w:tcW w:w="3147" w:type="dxa"/>
          </w:tcPr>
          <w:p w14:paraId="58A338D1" w14:textId="77777777" w:rsidR="003D63FC" w:rsidRPr="003D63FC" w:rsidRDefault="003D63FC" w:rsidP="003D63FC">
            <w:pPr>
              <w:spacing w:line="480" w:lineRule="auto"/>
              <w:rPr>
                <w:rFonts w:asciiTheme="majorHAnsi" w:hAnsiTheme="majorHAnsi" w:cstheme="majorHAnsi"/>
                <w:sz w:val="24"/>
                <w:szCs w:val="24"/>
              </w:rPr>
            </w:pPr>
          </w:p>
        </w:tc>
      </w:tr>
    </w:tbl>
    <w:p w14:paraId="6BF3C6E5" w14:textId="77777777" w:rsidR="003D63FC" w:rsidRPr="003D63FC" w:rsidRDefault="003D63FC" w:rsidP="003D63FC">
      <w:pPr>
        <w:spacing w:line="480" w:lineRule="auto"/>
        <w:rPr>
          <w:rFonts w:asciiTheme="majorHAnsi" w:hAnsiTheme="majorHAnsi" w:cstheme="majorHAnsi"/>
          <w:sz w:val="24"/>
          <w:szCs w:val="24"/>
        </w:rPr>
      </w:pPr>
    </w:p>
    <w:p w14:paraId="02222FE3" w14:textId="77777777" w:rsidR="003D63FC" w:rsidRPr="003D63FC" w:rsidRDefault="003D63FC" w:rsidP="003D63FC">
      <w:pPr>
        <w:spacing w:line="480" w:lineRule="auto"/>
        <w:rPr>
          <w:rFonts w:asciiTheme="majorHAnsi" w:hAnsiTheme="majorHAnsi" w:cstheme="majorHAnsi"/>
          <w:sz w:val="24"/>
          <w:szCs w:val="24"/>
          <w:u w:val="single"/>
        </w:rPr>
      </w:pPr>
      <w:r w:rsidRPr="003D63FC">
        <w:rPr>
          <w:rFonts w:asciiTheme="majorHAnsi" w:hAnsiTheme="majorHAnsi" w:cstheme="majorHAnsi"/>
          <w:sz w:val="24"/>
          <w:szCs w:val="24"/>
          <w:u w:val="single"/>
        </w:rPr>
        <w:t>WORK EXPERIENCE</w:t>
      </w:r>
    </w:p>
    <w:tbl>
      <w:tblPr>
        <w:tblStyle w:val="TableGrid"/>
        <w:tblW w:w="0" w:type="auto"/>
        <w:tblLook w:val="04A0" w:firstRow="1" w:lastRow="0" w:firstColumn="1" w:lastColumn="0" w:noHBand="0" w:noVBand="1"/>
      </w:tblPr>
      <w:tblGrid>
        <w:gridCol w:w="1287"/>
        <w:gridCol w:w="4463"/>
        <w:gridCol w:w="2880"/>
      </w:tblGrid>
      <w:tr w:rsidR="003D63FC" w:rsidRPr="003D63FC" w14:paraId="6452E5F0" w14:textId="77777777" w:rsidTr="00A52602">
        <w:trPr>
          <w:trHeight w:val="395"/>
        </w:trPr>
        <w:tc>
          <w:tcPr>
            <w:tcW w:w="1368" w:type="dxa"/>
          </w:tcPr>
          <w:p w14:paraId="7493D221" w14:textId="77777777" w:rsidR="003D63FC" w:rsidRPr="003D63FC" w:rsidRDefault="003D63FC" w:rsidP="003D63FC">
            <w:pPr>
              <w:spacing w:line="480" w:lineRule="auto"/>
              <w:rPr>
                <w:rFonts w:asciiTheme="majorHAnsi" w:hAnsiTheme="majorHAnsi" w:cstheme="majorHAnsi"/>
                <w:b/>
                <w:sz w:val="24"/>
                <w:szCs w:val="24"/>
              </w:rPr>
            </w:pPr>
            <w:r w:rsidRPr="003D63FC">
              <w:rPr>
                <w:rFonts w:asciiTheme="majorHAnsi" w:hAnsiTheme="majorHAnsi" w:cstheme="majorHAnsi"/>
                <w:b/>
                <w:sz w:val="24"/>
                <w:szCs w:val="24"/>
              </w:rPr>
              <w:t>YEAR</w:t>
            </w:r>
          </w:p>
        </w:tc>
        <w:tc>
          <w:tcPr>
            <w:tcW w:w="5016" w:type="dxa"/>
          </w:tcPr>
          <w:p w14:paraId="65F144CF" w14:textId="77777777" w:rsidR="003D63FC" w:rsidRPr="003D63FC" w:rsidRDefault="003D63FC" w:rsidP="003D63FC">
            <w:pPr>
              <w:spacing w:line="480" w:lineRule="auto"/>
              <w:rPr>
                <w:rFonts w:asciiTheme="majorHAnsi" w:hAnsiTheme="majorHAnsi" w:cstheme="majorHAnsi"/>
                <w:b/>
                <w:sz w:val="24"/>
                <w:szCs w:val="24"/>
              </w:rPr>
            </w:pPr>
            <w:r w:rsidRPr="003D63FC">
              <w:rPr>
                <w:rFonts w:asciiTheme="majorHAnsi" w:hAnsiTheme="majorHAnsi" w:cstheme="majorHAnsi"/>
                <w:b/>
                <w:sz w:val="24"/>
                <w:szCs w:val="24"/>
              </w:rPr>
              <w:t>INSTITUTION</w:t>
            </w:r>
          </w:p>
        </w:tc>
        <w:tc>
          <w:tcPr>
            <w:tcW w:w="3192" w:type="dxa"/>
          </w:tcPr>
          <w:p w14:paraId="73E99DAD" w14:textId="77777777" w:rsidR="003D63FC" w:rsidRPr="003D63FC" w:rsidRDefault="003D63FC" w:rsidP="003D63FC">
            <w:pPr>
              <w:spacing w:line="480" w:lineRule="auto"/>
              <w:rPr>
                <w:rFonts w:asciiTheme="majorHAnsi" w:hAnsiTheme="majorHAnsi" w:cstheme="majorHAnsi"/>
                <w:b/>
                <w:sz w:val="24"/>
                <w:szCs w:val="24"/>
              </w:rPr>
            </w:pPr>
            <w:r w:rsidRPr="003D63FC">
              <w:rPr>
                <w:rFonts w:asciiTheme="majorHAnsi" w:hAnsiTheme="majorHAnsi" w:cstheme="majorHAnsi"/>
                <w:b/>
                <w:sz w:val="24"/>
                <w:szCs w:val="24"/>
              </w:rPr>
              <w:t>POSITION</w:t>
            </w:r>
          </w:p>
        </w:tc>
      </w:tr>
      <w:tr w:rsidR="003D63FC" w:rsidRPr="003D63FC" w14:paraId="581989FA" w14:textId="77777777" w:rsidTr="00A52602">
        <w:trPr>
          <w:trHeight w:val="557"/>
        </w:trPr>
        <w:tc>
          <w:tcPr>
            <w:tcW w:w="1368" w:type="dxa"/>
          </w:tcPr>
          <w:p w14:paraId="5B4C1E33" w14:textId="0A8B4644"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20</w:t>
            </w:r>
            <w:r w:rsidR="00D42D99">
              <w:rPr>
                <w:rFonts w:asciiTheme="majorHAnsi" w:hAnsiTheme="majorHAnsi" w:cstheme="majorHAnsi"/>
                <w:sz w:val="24"/>
                <w:szCs w:val="24"/>
              </w:rPr>
              <w:t>20</w:t>
            </w:r>
            <w:r w:rsidRPr="003D63FC">
              <w:rPr>
                <w:rFonts w:asciiTheme="majorHAnsi" w:hAnsiTheme="majorHAnsi" w:cstheme="majorHAnsi"/>
                <w:sz w:val="24"/>
                <w:szCs w:val="24"/>
              </w:rPr>
              <w:t>-Date</w:t>
            </w:r>
          </w:p>
        </w:tc>
        <w:tc>
          <w:tcPr>
            <w:tcW w:w="5016" w:type="dxa"/>
          </w:tcPr>
          <w:p w14:paraId="122F6797" w14:textId="2199745E" w:rsidR="003D63FC" w:rsidRPr="003D63FC" w:rsidRDefault="00D42D99" w:rsidP="003D63FC">
            <w:pPr>
              <w:spacing w:line="480" w:lineRule="auto"/>
              <w:rPr>
                <w:rFonts w:asciiTheme="majorHAnsi" w:hAnsiTheme="majorHAnsi" w:cstheme="majorHAnsi"/>
                <w:sz w:val="24"/>
                <w:szCs w:val="24"/>
              </w:rPr>
            </w:pPr>
            <w:r>
              <w:rPr>
                <w:rFonts w:asciiTheme="majorHAnsi" w:hAnsiTheme="majorHAnsi" w:cstheme="majorHAnsi"/>
                <w:sz w:val="24"/>
                <w:szCs w:val="24"/>
              </w:rPr>
              <w:t>University of Eastern Africa, Baraton</w:t>
            </w:r>
          </w:p>
        </w:tc>
        <w:tc>
          <w:tcPr>
            <w:tcW w:w="3192" w:type="dxa"/>
          </w:tcPr>
          <w:p w14:paraId="3FA5D642" w14:textId="0C7696DA" w:rsidR="003D63FC" w:rsidRPr="003D63FC" w:rsidRDefault="00D42D99" w:rsidP="003D63FC">
            <w:pPr>
              <w:spacing w:line="480" w:lineRule="auto"/>
              <w:rPr>
                <w:rFonts w:asciiTheme="majorHAnsi" w:hAnsiTheme="majorHAnsi" w:cstheme="majorHAnsi"/>
                <w:sz w:val="24"/>
                <w:szCs w:val="24"/>
              </w:rPr>
            </w:pPr>
            <w:r>
              <w:rPr>
                <w:rFonts w:asciiTheme="majorHAnsi" w:hAnsiTheme="majorHAnsi" w:cstheme="majorHAnsi"/>
                <w:sz w:val="24"/>
                <w:szCs w:val="24"/>
              </w:rPr>
              <w:t>Accountant</w:t>
            </w:r>
          </w:p>
        </w:tc>
      </w:tr>
      <w:tr w:rsidR="003D63FC" w:rsidRPr="003D63FC" w14:paraId="2D527C12" w14:textId="77777777" w:rsidTr="00A52602">
        <w:trPr>
          <w:trHeight w:val="530"/>
        </w:trPr>
        <w:tc>
          <w:tcPr>
            <w:tcW w:w="1368" w:type="dxa"/>
          </w:tcPr>
          <w:p w14:paraId="66CF1A27" w14:textId="486A08B1"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201</w:t>
            </w:r>
            <w:r w:rsidR="00D42D99">
              <w:rPr>
                <w:rFonts w:asciiTheme="majorHAnsi" w:hAnsiTheme="majorHAnsi" w:cstheme="majorHAnsi"/>
                <w:sz w:val="24"/>
                <w:szCs w:val="24"/>
              </w:rPr>
              <w:t>5</w:t>
            </w:r>
            <w:r w:rsidRPr="003D63FC">
              <w:rPr>
                <w:rFonts w:asciiTheme="majorHAnsi" w:hAnsiTheme="majorHAnsi" w:cstheme="majorHAnsi"/>
                <w:sz w:val="24"/>
                <w:szCs w:val="24"/>
              </w:rPr>
              <w:t>-201</w:t>
            </w:r>
            <w:r w:rsidR="00D42D99">
              <w:rPr>
                <w:rFonts w:asciiTheme="majorHAnsi" w:hAnsiTheme="majorHAnsi" w:cstheme="majorHAnsi"/>
                <w:sz w:val="24"/>
                <w:szCs w:val="24"/>
              </w:rPr>
              <w:t>9</w:t>
            </w:r>
          </w:p>
        </w:tc>
        <w:tc>
          <w:tcPr>
            <w:tcW w:w="5016" w:type="dxa"/>
          </w:tcPr>
          <w:p w14:paraId="322B3E4F" w14:textId="2C278AAD" w:rsidR="003D63FC" w:rsidRPr="003D63FC" w:rsidRDefault="003D63FC" w:rsidP="003D63FC">
            <w:pPr>
              <w:spacing w:line="480" w:lineRule="auto"/>
              <w:rPr>
                <w:rFonts w:asciiTheme="majorHAnsi" w:hAnsiTheme="majorHAnsi" w:cstheme="majorHAnsi"/>
                <w:sz w:val="24"/>
                <w:szCs w:val="24"/>
              </w:rPr>
            </w:pPr>
            <w:r w:rsidRPr="003D63FC">
              <w:rPr>
                <w:rFonts w:asciiTheme="majorHAnsi" w:hAnsiTheme="majorHAnsi" w:cstheme="majorHAnsi"/>
                <w:sz w:val="24"/>
                <w:szCs w:val="24"/>
              </w:rPr>
              <w:t xml:space="preserve">Segro </w:t>
            </w:r>
            <w:r w:rsidR="00D42D99">
              <w:rPr>
                <w:rFonts w:asciiTheme="majorHAnsi" w:hAnsiTheme="majorHAnsi" w:cstheme="majorHAnsi"/>
                <w:sz w:val="24"/>
                <w:szCs w:val="24"/>
              </w:rPr>
              <w:t xml:space="preserve">Baraton Adventist </w:t>
            </w:r>
            <w:r w:rsidRPr="003D63FC">
              <w:rPr>
                <w:rFonts w:asciiTheme="majorHAnsi" w:hAnsiTheme="majorHAnsi" w:cstheme="majorHAnsi"/>
                <w:sz w:val="24"/>
                <w:szCs w:val="24"/>
              </w:rPr>
              <w:t>School-Eldoret</w:t>
            </w:r>
          </w:p>
        </w:tc>
        <w:tc>
          <w:tcPr>
            <w:tcW w:w="3192" w:type="dxa"/>
          </w:tcPr>
          <w:p w14:paraId="40022501" w14:textId="30E9DF87" w:rsidR="003D63FC" w:rsidRPr="003D63FC" w:rsidRDefault="00D42D99" w:rsidP="003D63FC">
            <w:pPr>
              <w:spacing w:line="480" w:lineRule="auto"/>
              <w:rPr>
                <w:rFonts w:asciiTheme="majorHAnsi" w:hAnsiTheme="majorHAnsi" w:cstheme="majorHAnsi"/>
                <w:sz w:val="24"/>
                <w:szCs w:val="24"/>
              </w:rPr>
            </w:pPr>
            <w:r>
              <w:rPr>
                <w:rFonts w:asciiTheme="majorHAnsi" w:hAnsiTheme="majorHAnsi" w:cstheme="majorHAnsi"/>
                <w:sz w:val="24"/>
                <w:szCs w:val="24"/>
              </w:rPr>
              <w:t>Business manager</w:t>
            </w:r>
          </w:p>
        </w:tc>
      </w:tr>
      <w:tr w:rsidR="00D42D99" w:rsidRPr="003D63FC" w14:paraId="028BA8E9" w14:textId="77777777" w:rsidTr="00A52602">
        <w:trPr>
          <w:trHeight w:val="530"/>
        </w:trPr>
        <w:tc>
          <w:tcPr>
            <w:tcW w:w="1368" w:type="dxa"/>
          </w:tcPr>
          <w:p w14:paraId="400CCADE" w14:textId="4EC562AA" w:rsidR="00D42D99" w:rsidRPr="003D63FC" w:rsidRDefault="00D42D99" w:rsidP="003D63FC">
            <w:pPr>
              <w:spacing w:line="480" w:lineRule="auto"/>
              <w:rPr>
                <w:rFonts w:asciiTheme="majorHAnsi" w:hAnsiTheme="majorHAnsi" w:cstheme="majorHAnsi"/>
                <w:sz w:val="24"/>
                <w:szCs w:val="24"/>
              </w:rPr>
            </w:pPr>
            <w:r>
              <w:rPr>
                <w:rFonts w:asciiTheme="majorHAnsi" w:hAnsiTheme="majorHAnsi" w:cstheme="majorHAnsi"/>
                <w:sz w:val="24"/>
                <w:szCs w:val="24"/>
              </w:rPr>
              <w:t>2014-2015</w:t>
            </w:r>
          </w:p>
        </w:tc>
        <w:tc>
          <w:tcPr>
            <w:tcW w:w="5016" w:type="dxa"/>
          </w:tcPr>
          <w:p w14:paraId="45CF7BC4" w14:textId="25557F69" w:rsidR="00D42D99" w:rsidRPr="003D63FC" w:rsidRDefault="00D42D99" w:rsidP="003D63FC">
            <w:pPr>
              <w:spacing w:line="480" w:lineRule="auto"/>
              <w:rPr>
                <w:rFonts w:asciiTheme="majorHAnsi" w:hAnsiTheme="majorHAnsi" w:cstheme="majorHAnsi"/>
                <w:sz w:val="24"/>
                <w:szCs w:val="24"/>
              </w:rPr>
            </w:pPr>
            <w:r>
              <w:rPr>
                <w:rFonts w:asciiTheme="majorHAnsi" w:hAnsiTheme="majorHAnsi" w:cstheme="majorHAnsi"/>
                <w:sz w:val="24"/>
                <w:szCs w:val="24"/>
              </w:rPr>
              <w:t>Segero High school</w:t>
            </w:r>
          </w:p>
        </w:tc>
        <w:tc>
          <w:tcPr>
            <w:tcW w:w="3192" w:type="dxa"/>
          </w:tcPr>
          <w:p w14:paraId="43CBF53B" w14:textId="19BABE69" w:rsidR="00D42D99" w:rsidRDefault="00D42D99" w:rsidP="003D63FC">
            <w:pPr>
              <w:spacing w:line="480" w:lineRule="auto"/>
              <w:rPr>
                <w:rFonts w:asciiTheme="majorHAnsi" w:hAnsiTheme="majorHAnsi" w:cstheme="majorHAnsi"/>
                <w:sz w:val="24"/>
                <w:szCs w:val="24"/>
              </w:rPr>
            </w:pPr>
            <w:r>
              <w:rPr>
                <w:rFonts w:asciiTheme="majorHAnsi" w:hAnsiTheme="majorHAnsi" w:cstheme="majorHAnsi"/>
                <w:sz w:val="24"/>
                <w:szCs w:val="24"/>
              </w:rPr>
              <w:t>Accountant</w:t>
            </w:r>
          </w:p>
        </w:tc>
      </w:tr>
    </w:tbl>
    <w:p w14:paraId="3D4F7F04" w14:textId="76BD5D99" w:rsidR="003D63FC" w:rsidRPr="003D63FC" w:rsidRDefault="003D63FC" w:rsidP="003D63FC">
      <w:pPr>
        <w:tabs>
          <w:tab w:val="left" w:pos="1710"/>
        </w:tabs>
        <w:spacing w:line="480" w:lineRule="auto"/>
        <w:rPr>
          <w:rFonts w:asciiTheme="majorHAnsi" w:hAnsiTheme="majorHAnsi" w:cstheme="majorHAnsi"/>
          <w:sz w:val="24"/>
          <w:szCs w:val="24"/>
        </w:rPr>
      </w:pPr>
    </w:p>
    <w:p w14:paraId="2DC8A2A8" w14:textId="77777777" w:rsidR="003D63FC" w:rsidRPr="003D63FC" w:rsidRDefault="003D63FC" w:rsidP="003D63FC">
      <w:pPr>
        <w:tabs>
          <w:tab w:val="left" w:pos="1710"/>
        </w:tabs>
        <w:spacing w:line="480" w:lineRule="auto"/>
        <w:rPr>
          <w:rFonts w:asciiTheme="majorHAnsi" w:hAnsiTheme="majorHAnsi" w:cstheme="majorHAnsi"/>
          <w:b/>
          <w:sz w:val="24"/>
          <w:szCs w:val="24"/>
          <w:u w:val="single"/>
        </w:rPr>
      </w:pPr>
      <w:r w:rsidRPr="003D63FC">
        <w:rPr>
          <w:rFonts w:asciiTheme="majorHAnsi" w:hAnsiTheme="majorHAnsi" w:cstheme="majorHAnsi"/>
          <w:sz w:val="24"/>
          <w:szCs w:val="24"/>
        </w:rPr>
        <w:tab/>
      </w:r>
      <w:r w:rsidRPr="003D63FC">
        <w:rPr>
          <w:rFonts w:asciiTheme="majorHAnsi" w:hAnsiTheme="majorHAnsi" w:cstheme="majorHAnsi"/>
          <w:b/>
          <w:sz w:val="24"/>
          <w:szCs w:val="24"/>
          <w:u w:val="single"/>
        </w:rPr>
        <w:t>REFEREES</w:t>
      </w:r>
    </w:p>
    <w:p w14:paraId="0514D795" w14:textId="77777777" w:rsidR="003D63FC" w:rsidRPr="003D63FC" w:rsidRDefault="003D63FC" w:rsidP="003D63FC">
      <w:pPr>
        <w:pStyle w:val="ListParagraph"/>
        <w:numPr>
          <w:ilvl w:val="0"/>
          <w:numId w:val="16"/>
        </w:numPr>
        <w:tabs>
          <w:tab w:val="left" w:pos="1710"/>
        </w:tabs>
        <w:spacing w:after="200" w:line="480" w:lineRule="auto"/>
        <w:rPr>
          <w:rFonts w:asciiTheme="majorHAnsi" w:hAnsiTheme="majorHAnsi" w:cstheme="majorHAnsi"/>
          <w:sz w:val="24"/>
          <w:szCs w:val="24"/>
        </w:rPr>
      </w:pPr>
      <w:r w:rsidRPr="003D63FC">
        <w:rPr>
          <w:rFonts w:asciiTheme="majorHAnsi" w:hAnsiTheme="majorHAnsi" w:cstheme="majorHAnsi"/>
          <w:sz w:val="24"/>
          <w:szCs w:val="24"/>
        </w:rPr>
        <w:t>Edna Korir</w:t>
      </w:r>
    </w:p>
    <w:p w14:paraId="0B9F2CB9" w14:textId="77777777" w:rsidR="003D63FC" w:rsidRPr="003D63FC" w:rsidRDefault="003D63FC" w:rsidP="003D63FC">
      <w:pPr>
        <w:pStyle w:val="ListParagraph"/>
        <w:tabs>
          <w:tab w:val="left" w:pos="1710"/>
        </w:tabs>
        <w:spacing w:line="480" w:lineRule="auto"/>
        <w:rPr>
          <w:rFonts w:asciiTheme="majorHAnsi" w:hAnsiTheme="majorHAnsi" w:cstheme="majorHAnsi"/>
          <w:sz w:val="24"/>
          <w:szCs w:val="24"/>
        </w:rPr>
      </w:pPr>
      <w:r w:rsidRPr="003D63FC">
        <w:rPr>
          <w:rFonts w:asciiTheme="majorHAnsi" w:hAnsiTheme="majorHAnsi" w:cstheme="majorHAnsi"/>
          <w:sz w:val="24"/>
          <w:szCs w:val="24"/>
        </w:rPr>
        <w:t xml:space="preserve">Lecturer </w:t>
      </w:r>
    </w:p>
    <w:p w14:paraId="74837485" w14:textId="77777777" w:rsidR="003D63FC" w:rsidRPr="003D63FC" w:rsidRDefault="003D63FC" w:rsidP="003D63FC">
      <w:pPr>
        <w:pStyle w:val="ListParagraph"/>
        <w:tabs>
          <w:tab w:val="left" w:pos="1710"/>
        </w:tabs>
        <w:spacing w:line="480" w:lineRule="auto"/>
        <w:rPr>
          <w:rFonts w:asciiTheme="majorHAnsi" w:hAnsiTheme="majorHAnsi" w:cstheme="majorHAnsi"/>
          <w:sz w:val="24"/>
          <w:szCs w:val="24"/>
        </w:rPr>
      </w:pPr>
      <w:r w:rsidRPr="003D63FC">
        <w:rPr>
          <w:rFonts w:asciiTheme="majorHAnsi" w:hAnsiTheme="majorHAnsi" w:cstheme="majorHAnsi"/>
          <w:sz w:val="24"/>
          <w:szCs w:val="24"/>
        </w:rPr>
        <w:t>Moi university</w:t>
      </w:r>
    </w:p>
    <w:p w14:paraId="7219FECF" w14:textId="77777777" w:rsidR="003D63FC" w:rsidRPr="003D63FC" w:rsidRDefault="003D63FC" w:rsidP="003D63FC">
      <w:pPr>
        <w:tabs>
          <w:tab w:val="left" w:pos="1710"/>
        </w:tabs>
        <w:spacing w:line="480" w:lineRule="auto"/>
        <w:rPr>
          <w:rFonts w:asciiTheme="majorHAnsi" w:hAnsiTheme="majorHAnsi" w:cstheme="majorHAnsi"/>
          <w:sz w:val="24"/>
          <w:szCs w:val="24"/>
        </w:rPr>
      </w:pPr>
    </w:p>
    <w:p w14:paraId="6A514C00" w14:textId="5DB770A2" w:rsidR="003D63FC" w:rsidRPr="003D63FC" w:rsidRDefault="00D42D99" w:rsidP="003D63FC">
      <w:pPr>
        <w:pStyle w:val="ListParagraph"/>
        <w:numPr>
          <w:ilvl w:val="0"/>
          <w:numId w:val="16"/>
        </w:numPr>
        <w:tabs>
          <w:tab w:val="left" w:pos="1710"/>
        </w:tabs>
        <w:spacing w:after="200" w:line="480" w:lineRule="auto"/>
        <w:rPr>
          <w:rFonts w:asciiTheme="majorHAnsi" w:hAnsiTheme="majorHAnsi" w:cstheme="majorHAnsi"/>
          <w:sz w:val="24"/>
          <w:szCs w:val="24"/>
        </w:rPr>
      </w:pPr>
      <w:r>
        <w:rPr>
          <w:rFonts w:asciiTheme="majorHAnsi" w:hAnsiTheme="majorHAnsi" w:cstheme="majorHAnsi"/>
          <w:sz w:val="24"/>
          <w:szCs w:val="24"/>
        </w:rPr>
        <w:t>Dr. Nicholas Letting</w:t>
      </w:r>
    </w:p>
    <w:p w14:paraId="4BDD7F21" w14:textId="38D12789" w:rsidR="003D63FC" w:rsidRPr="003D63FC" w:rsidRDefault="00D42D99" w:rsidP="003D63FC">
      <w:pPr>
        <w:pStyle w:val="ListParagraph"/>
        <w:tabs>
          <w:tab w:val="left" w:pos="1710"/>
        </w:tabs>
        <w:spacing w:line="480" w:lineRule="auto"/>
        <w:rPr>
          <w:rFonts w:asciiTheme="majorHAnsi" w:hAnsiTheme="majorHAnsi" w:cstheme="majorHAnsi"/>
          <w:sz w:val="24"/>
          <w:szCs w:val="24"/>
        </w:rPr>
      </w:pPr>
      <w:r>
        <w:rPr>
          <w:rFonts w:asciiTheme="majorHAnsi" w:hAnsiTheme="majorHAnsi" w:cstheme="majorHAnsi"/>
          <w:sz w:val="24"/>
          <w:szCs w:val="24"/>
        </w:rPr>
        <w:t>KASNEB CEO</w:t>
      </w:r>
    </w:p>
    <w:p w14:paraId="6F3A181F" w14:textId="77777777" w:rsidR="003D63FC" w:rsidRPr="003D63FC" w:rsidRDefault="003D63FC" w:rsidP="003D63FC">
      <w:pPr>
        <w:pStyle w:val="ListParagraph"/>
        <w:tabs>
          <w:tab w:val="left" w:pos="1710"/>
        </w:tabs>
        <w:spacing w:line="480" w:lineRule="auto"/>
        <w:rPr>
          <w:rFonts w:asciiTheme="majorHAnsi" w:hAnsiTheme="majorHAnsi" w:cstheme="majorHAnsi"/>
          <w:sz w:val="24"/>
          <w:szCs w:val="24"/>
        </w:rPr>
      </w:pPr>
    </w:p>
    <w:p w14:paraId="22BC59F2" w14:textId="77777777" w:rsidR="003D63FC" w:rsidRPr="003D63FC" w:rsidRDefault="003D63FC" w:rsidP="003D63FC">
      <w:pPr>
        <w:pStyle w:val="ListParagraph"/>
        <w:numPr>
          <w:ilvl w:val="0"/>
          <w:numId w:val="16"/>
        </w:numPr>
        <w:tabs>
          <w:tab w:val="left" w:pos="1710"/>
        </w:tabs>
        <w:spacing w:after="200" w:line="480" w:lineRule="auto"/>
        <w:rPr>
          <w:rFonts w:asciiTheme="majorHAnsi" w:hAnsiTheme="majorHAnsi" w:cstheme="majorHAnsi"/>
          <w:sz w:val="24"/>
          <w:szCs w:val="24"/>
        </w:rPr>
      </w:pPr>
      <w:r w:rsidRPr="003D63FC">
        <w:rPr>
          <w:rFonts w:asciiTheme="majorHAnsi" w:hAnsiTheme="majorHAnsi" w:cstheme="majorHAnsi"/>
          <w:sz w:val="24"/>
          <w:szCs w:val="24"/>
        </w:rPr>
        <w:t>Dr. Joel Chepkwony</w:t>
      </w:r>
    </w:p>
    <w:p w14:paraId="2ED355FB" w14:textId="77777777" w:rsidR="003D63FC" w:rsidRPr="003D63FC" w:rsidRDefault="003D63FC" w:rsidP="003D63FC">
      <w:pPr>
        <w:pStyle w:val="ListParagraph"/>
        <w:tabs>
          <w:tab w:val="left" w:pos="1710"/>
        </w:tabs>
        <w:spacing w:line="480" w:lineRule="auto"/>
        <w:rPr>
          <w:rFonts w:asciiTheme="majorHAnsi" w:hAnsiTheme="majorHAnsi" w:cstheme="majorHAnsi"/>
          <w:sz w:val="24"/>
          <w:szCs w:val="24"/>
        </w:rPr>
      </w:pPr>
      <w:r w:rsidRPr="003D63FC">
        <w:rPr>
          <w:rFonts w:asciiTheme="majorHAnsi" w:hAnsiTheme="majorHAnsi" w:cstheme="majorHAnsi"/>
          <w:sz w:val="24"/>
          <w:szCs w:val="24"/>
        </w:rPr>
        <w:t>Lecturer</w:t>
      </w:r>
    </w:p>
    <w:p w14:paraId="7C965971" w14:textId="77777777" w:rsidR="003D63FC" w:rsidRPr="003D63FC" w:rsidRDefault="003D63FC" w:rsidP="003D63FC">
      <w:pPr>
        <w:pStyle w:val="ListParagraph"/>
        <w:tabs>
          <w:tab w:val="left" w:pos="1710"/>
        </w:tabs>
        <w:spacing w:line="480" w:lineRule="auto"/>
        <w:rPr>
          <w:rFonts w:asciiTheme="majorHAnsi" w:hAnsiTheme="majorHAnsi" w:cstheme="majorHAnsi"/>
          <w:sz w:val="24"/>
          <w:szCs w:val="24"/>
        </w:rPr>
      </w:pPr>
      <w:r w:rsidRPr="003D63FC">
        <w:rPr>
          <w:rFonts w:asciiTheme="majorHAnsi" w:hAnsiTheme="majorHAnsi" w:cstheme="majorHAnsi"/>
          <w:sz w:val="24"/>
          <w:szCs w:val="24"/>
        </w:rPr>
        <w:t>Moi university</w:t>
      </w:r>
    </w:p>
    <w:p w14:paraId="2EF24D65" w14:textId="77777777" w:rsidR="003D63FC" w:rsidRPr="003D63FC" w:rsidRDefault="003D63FC" w:rsidP="003D63FC">
      <w:pPr>
        <w:pStyle w:val="ListParagraph"/>
        <w:tabs>
          <w:tab w:val="left" w:pos="1710"/>
        </w:tabs>
        <w:spacing w:line="480" w:lineRule="auto"/>
        <w:rPr>
          <w:rFonts w:asciiTheme="majorHAnsi" w:hAnsiTheme="majorHAnsi" w:cstheme="majorHAnsi"/>
          <w:sz w:val="24"/>
          <w:szCs w:val="24"/>
        </w:rPr>
      </w:pPr>
    </w:p>
    <w:p w14:paraId="4873CC73" w14:textId="1D773D15" w:rsidR="003D63FC" w:rsidRPr="003D63FC" w:rsidRDefault="003D63FC" w:rsidP="003D63FC">
      <w:pPr>
        <w:pStyle w:val="BodyText"/>
        <w:spacing w:line="480" w:lineRule="auto"/>
        <w:rPr>
          <w:rFonts w:asciiTheme="majorHAnsi" w:hAnsiTheme="majorHAnsi" w:cstheme="majorHAnsi"/>
          <w:sz w:val="24"/>
          <w:szCs w:val="24"/>
        </w:rPr>
      </w:pPr>
    </w:p>
    <w:p w14:paraId="026F184A" w14:textId="77777777" w:rsidR="003D63FC" w:rsidRPr="003D63FC" w:rsidRDefault="003D63FC" w:rsidP="003D63FC">
      <w:pPr>
        <w:pStyle w:val="BodyText"/>
        <w:spacing w:line="480" w:lineRule="auto"/>
        <w:rPr>
          <w:rFonts w:asciiTheme="majorHAnsi" w:hAnsiTheme="majorHAnsi" w:cstheme="majorHAnsi"/>
          <w:sz w:val="24"/>
          <w:szCs w:val="24"/>
        </w:rPr>
      </w:pPr>
    </w:p>
    <w:p w14:paraId="06F1CB26" w14:textId="67C60C35" w:rsidR="00F55DAA" w:rsidRPr="003D63FC" w:rsidRDefault="00F55DAA" w:rsidP="003D63FC">
      <w:pPr>
        <w:pStyle w:val="BodyText"/>
        <w:spacing w:line="480" w:lineRule="auto"/>
        <w:rPr>
          <w:rFonts w:asciiTheme="majorHAnsi" w:hAnsiTheme="majorHAnsi" w:cstheme="majorHAnsi"/>
          <w:sz w:val="24"/>
          <w:szCs w:val="24"/>
        </w:rPr>
      </w:pPr>
    </w:p>
    <w:p w14:paraId="33CF4E22" w14:textId="3EDAF8B6" w:rsidR="00F55DAA" w:rsidRPr="003D63FC" w:rsidRDefault="00F55DAA" w:rsidP="003D63FC">
      <w:pPr>
        <w:pStyle w:val="BodyText"/>
        <w:spacing w:line="480" w:lineRule="auto"/>
        <w:rPr>
          <w:rFonts w:asciiTheme="majorHAnsi" w:hAnsiTheme="majorHAnsi" w:cstheme="majorHAnsi"/>
          <w:sz w:val="24"/>
          <w:szCs w:val="24"/>
        </w:rPr>
      </w:pPr>
    </w:p>
    <w:p w14:paraId="71843089" w14:textId="2DE89742" w:rsidR="00F55DAA" w:rsidRPr="003D63FC" w:rsidRDefault="00F55DAA" w:rsidP="003D63FC">
      <w:pPr>
        <w:pStyle w:val="BodyText"/>
        <w:spacing w:line="480" w:lineRule="auto"/>
        <w:rPr>
          <w:rFonts w:asciiTheme="majorHAnsi" w:hAnsiTheme="majorHAnsi" w:cstheme="majorHAnsi"/>
          <w:sz w:val="24"/>
          <w:szCs w:val="24"/>
        </w:rPr>
      </w:pPr>
    </w:p>
    <w:p w14:paraId="4EFF9106" w14:textId="79D0EA97" w:rsidR="00F55DAA" w:rsidRPr="003D63FC" w:rsidRDefault="00F55DAA" w:rsidP="003D63FC">
      <w:pPr>
        <w:pStyle w:val="BodyText"/>
        <w:spacing w:line="480" w:lineRule="auto"/>
        <w:rPr>
          <w:rFonts w:asciiTheme="majorHAnsi" w:hAnsiTheme="majorHAnsi" w:cstheme="majorHAnsi"/>
          <w:sz w:val="24"/>
          <w:szCs w:val="24"/>
        </w:rPr>
      </w:pPr>
    </w:p>
    <w:p w14:paraId="29BD70CB" w14:textId="375E331C" w:rsidR="00724D10" w:rsidRPr="00AB63A4" w:rsidRDefault="00724D10" w:rsidP="00724D10">
      <w:pPr>
        <w:pStyle w:val="Heading2"/>
        <w:spacing w:line="480" w:lineRule="auto"/>
        <w:rPr>
          <w:rFonts w:asciiTheme="majorHAnsi" w:hAnsiTheme="majorHAnsi" w:cstheme="majorHAnsi"/>
          <w:b w:val="0"/>
          <w:bCs/>
        </w:rPr>
      </w:pPr>
      <w:bookmarkStart w:id="146" w:name="_Toc76494432"/>
      <w:bookmarkStart w:id="147" w:name="_Toc78205837"/>
      <w:r w:rsidRPr="00AB63A4">
        <w:rPr>
          <w:rFonts w:asciiTheme="majorHAnsi" w:hAnsiTheme="majorHAnsi" w:cstheme="majorHAnsi"/>
          <w:b w:val="0"/>
          <w:bCs/>
          <w:noProof/>
        </w:rPr>
        <w:drawing>
          <wp:anchor distT="0" distB="0" distL="114300" distR="114300" simplePos="0" relativeHeight="251664384" behindDoc="0" locked="0" layoutInCell="1" allowOverlap="1" wp14:anchorId="3B55EDD8" wp14:editId="6290806A">
            <wp:simplePos x="0" y="0"/>
            <wp:positionH relativeFrom="margin">
              <wp:posOffset>-828675</wp:posOffset>
            </wp:positionH>
            <wp:positionV relativeFrom="margin">
              <wp:posOffset>342900</wp:posOffset>
            </wp:positionV>
            <wp:extent cx="7106920" cy="7105650"/>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ACOSTI - Ben.PNG"/>
                    <pic:cNvPicPr/>
                  </pic:nvPicPr>
                  <pic:blipFill rotWithShape="1">
                    <a:blip r:embed="rId17">
                      <a:extLst>
                        <a:ext uri="{28A0092B-C50C-407E-A947-70E740481C1C}">
                          <a14:useLocalDpi xmlns:a14="http://schemas.microsoft.com/office/drawing/2010/main" val="0"/>
                        </a:ext>
                      </a:extLst>
                    </a:blip>
                    <a:srcRect l="2984" t="1600" r="1028"/>
                    <a:stretch/>
                  </pic:blipFill>
                  <pic:spPr bwMode="auto">
                    <a:xfrm>
                      <a:off x="0" y="0"/>
                      <a:ext cx="7106920" cy="71056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AB63A4">
        <w:rPr>
          <w:rFonts w:asciiTheme="majorHAnsi" w:hAnsiTheme="majorHAnsi" w:cstheme="majorHAnsi"/>
          <w:b w:val="0"/>
          <w:bCs/>
        </w:rPr>
        <w:t xml:space="preserve">Appendix </w:t>
      </w:r>
      <w:r w:rsidR="00D42D99">
        <w:rPr>
          <w:rFonts w:asciiTheme="majorHAnsi" w:hAnsiTheme="majorHAnsi" w:cstheme="majorHAnsi"/>
          <w:b w:val="0"/>
          <w:bCs/>
        </w:rPr>
        <w:t>7</w:t>
      </w:r>
      <w:r w:rsidRPr="00AB63A4">
        <w:rPr>
          <w:rFonts w:asciiTheme="majorHAnsi" w:hAnsiTheme="majorHAnsi" w:cstheme="majorHAnsi"/>
          <w:b w:val="0"/>
          <w:bCs/>
        </w:rPr>
        <w:t>: Research License</w:t>
      </w:r>
      <w:bookmarkEnd w:id="146"/>
      <w:bookmarkEnd w:id="147"/>
    </w:p>
    <w:p w14:paraId="639CDA4F" w14:textId="77777777" w:rsidR="00724D10" w:rsidRPr="0022305D" w:rsidRDefault="00724D10" w:rsidP="00724D10">
      <w:pPr>
        <w:tabs>
          <w:tab w:val="left" w:pos="4188"/>
        </w:tabs>
        <w:spacing w:line="480" w:lineRule="auto"/>
        <w:rPr>
          <w:rFonts w:asciiTheme="majorHAnsi" w:hAnsiTheme="majorHAnsi" w:cstheme="majorHAnsi"/>
          <w:sz w:val="24"/>
          <w:szCs w:val="24"/>
        </w:rPr>
      </w:pPr>
    </w:p>
    <w:p w14:paraId="136FFC3E" w14:textId="090B529F" w:rsidR="00724D10" w:rsidRPr="00AB63A4" w:rsidRDefault="00921D58" w:rsidP="00921D58">
      <w:pPr>
        <w:pStyle w:val="Heading2"/>
        <w:rPr>
          <w:b w:val="0"/>
          <w:bCs/>
        </w:rPr>
      </w:pPr>
      <w:bookmarkStart w:id="148" w:name="_Toc78205838"/>
      <w:r w:rsidRPr="00AB63A4">
        <w:rPr>
          <w:b w:val="0"/>
          <w:bCs/>
        </w:rPr>
        <w:t xml:space="preserve">Appendix </w:t>
      </w:r>
      <w:r w:rsidR="00D42D99">
        <w:rPr>
          <w:b w:val="0"/>
          <w:bCs/>
        </w:rPr>
        <w:t>8</w:t>
      </w:r>
      <w:r w:rsidRPr="00AB63A4">
        <w:rPr>
          <w:b w:val="0"/>
          <w:bCs/>
        </w:rPr>
        <w:t>: Approval by UEAB</w:t>
      </w:r>
      <w:bookmarkEnd w:id="148"/>
    </w:p>
    <w:p w14:paraId="4C2A2AE0" w14:textId="432733F2" w:rsidR="00E0134E" w:rsidRPr="0022305D" w:rsidRDefault="00921D58" w:rsidP="002F0607">
      <w:pPr>
        <w:pStyle w:val="NoSpacing"/>
        <w:rPr>
          <w:rFonts w:asciiTheme="majorHAnsi" w:hAnsiTheme="majorHAnsi" w:cstheme="majorHAnsi"/>
          <w:iCs/>
          <w:sz w:val="24"/>
          <w:szCs w:val="24"/>
        </w:rPr>
      </w:pPr>
      <w:r w:rsidRPr="00656629">
        <w:rPr>
          <w:noProof/>
        </w:rPr>
        <w:drawing>
          <wp:inline distT="0" distB="0" distL="0" distR="0" wp14:anchorId="379349E5" wp14:editId="0C6E10AD">
            <wp:extent cx="6362700" cy="7352665"/>
            <wp:effectExtent l="0" t="0" r="0" b="63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362700" cy="7352665"/>
                    </a:xfrm>
                    <a:prstGeom prst="rect">
                      <a:avLst/>
                    </a:prstGeom>
                    <a:noFill/>
                    <a:ln>
                      <a:noFill/>
                    </a:ln>
                  </pic:spPr>
                </pic:pic>
              </a:graphicData>
            </a:graphic>
          </wp:inline>
        </w:drawing>
      </w:r>
    </w:p>
    <w:sectPr w:rsidR="00E0134E" w:rsidRPr="0022305D" w:rsidSect="0087334E">
      <w:footerReference w:type="default" r:id="rId19"/>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07509A" w14:textId="77777777" w:rsidR="00A759F2" w:rsidRDefault="00A759F2" w:rsidP="007407A7">
      <w:pPr>
        <w:spacing w:after="0" w:line="240" w:lineRule="auto"/>
      </w:pPr>
      <w:r>
        <w:separator/>
      </w:r>
    </w:p>
  </w:endnote>
  <w:endnote w:type="continuationSeparator" w:id="0">
    <w:p w14:paraId="73FA87C9" w14:textId="77777777" w:rsidR="00A759F2" w:rsidRDefault="00A759F2" w:rsidP="007407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98205999"/>
      <w:docPartObj>
        <w:docPartGallery w:val="Page Numbers (Bottom of Page)"/>
        <w:docPartUnique/>
      </w:docPartObj>
    </w:sdtPr>
    <w:sdtEndPr>
      <w:rPr>
        <w:noProof/>
      </w:rPr>
    </w:sdtEndPr>
    <w:sdtContent>
      <w:p w14:paraId="3E969BDD" w14:textId="1913E02F" w:rsidR="00F66BAF" w:rsidRDefault="00F66BAF">
        <w:pPr>
          <w:pStyle w:val="Footer"/>
          <w:jc w:val="center"/>
        </w:pPr>
        <w:r>
          <w:fldChar w:fldCharType="begin"/>
        </w:r>
        <w:r>
          <w:instrText xml:space="preserve"> PAGE   \* MERGEFORMAT </w:instrText>
        </w:r>
        <w:r>
          <w:fldChar w:fldCharType="separate"/>
        </w:r>
        <w:r w:rsidR="00177853">
          <w:rPr>
            <w:noProof/>
          </w:rPr>
          <w:t>i</w:t>
        </w:r>
        <w:r>
          <w:rPr>
            <w:noProof/>
          </w:rPr>
          <w:fldChar w:fldCharType="end"/>
        </w:r>
      </w:p>
    </w:sdtContent>
  </w:sdt>
  <w:p w14:paraId="32E64D0B" w14:textId="77777777" w:rsidR="00F66BAF" w:rsidRDefault="00F66BAF">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33611371"/>
      <w:docPartObj>
        <w:docPartGallery w:val="Page Numbers (Bottom of Page)"/>
        <w:docPartUnique/>
      </w:docPartObj>
    </w:sdtPr>
    <w:sdtEndPr>
      <w:rPr>
        <w:noProof/>
      </w:rPr>
    </w:sdtEndPr>
    <w:sdtContent>
      <w:p w14:paraId="69EABCEA" w14:textId="685585F2" w:rsidR="00816956" w:rsidRDefault="00816956">
        <w:pPr>
          <w:pStyle w:val="Footer"/>
          <w:jc w:val="center"/>
        </w:pPr>
        <w:r>
          <w:fldChar w:fldCharType="begin"/>
        </w:r>
        <w:r>
          <w:instrText xml:space="preserve"> PAGE   \* MERGEFORMAT </w:instrText>
        </w:r>
        <w:r>
          <w:fldChar w:fldCharType="separate"/>
        </w:r>
        <w:r w:rsidR="00177853">
          <w:rPr>
            <w:noProof/>
          </w:rPr>
          <w:t>9</w:t>
        </w:r>
        <w:r>
          <w:rPr>
            <w:noProof/>
          </w:rPr>
          <w:fldChar w:fldCharType="end"/>
        </w:r>
      </w:p>
    </w:sdtContent>
  </w:sdt>
  <w:p w14:paraId="4805B343" w14:textId="77777777" w:rsidR="00816956" w:rsidRDefault="00816956">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EB7481" w14:textId="77777777" w:rsidR="00A759F2" w:rsidRDefault="00A759F2" w:rsidP="007407A7">
      <w:pPr>
        <w:spacing w:after="0" w:line="240" w:lineRule="auto"/>
      </w:pPr>
      <w:r>
        <w:separator/>
      </w:r>
    </w:p>
  </w:footnote>
  <w:footnote w:type="continuationSeparator" w:id="0">
    <w:p w14:paraId="00B5DA80" w14:textId="77777777" w:rsidR="00A759F2" w:rsidRDefault="00A759F2" w:rsidP="007407A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536F5"/>
    <w:multiLevelType w:val="hybridMultilevel"/>
    <w:tmpl w:val="2522DE96"/>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9245A25"/>
    <w:multiLevelType w:val="hybridMultilevel"/>
    <w:tmpl w:val="EC2E3CE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E66E21"/>
    <w:multiLevelType w:val="hybridMultilevel"/>
    <w:tmpl w:val="5C3E198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FEF203F"/>
    <w:multiLevelType w:val="hybridMultilevel"/>
    <w:tmpl w:val="2CC4BC6C"/>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3C106A1B"/>
    <w:multiLevelType w:val="hybridMultilevel"/>
    <w:tmpl w:val="DBE68F6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C276FEB"/>
    <w:multiLevelType w:val="hybridMultilevel"/>
    <w:tmpl w:val="C9F2CD4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E5B71C2"/>
    <w:multiLevelType w:val="hybridMultilevel"/>
    <w:tmpl w:val="49BAB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D253DCE"/>
    <w:multiLevelType w:val="hybridMultilevel"/>
    <w:tmpl w:val="7EEEECD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1C0669F"/>
    <w:multiLevelType w:val="hybridMultilevel"/>
    <w:tmpl w:val="6B6EE3C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E702D97"/>
    <w:multiLevelType w:val="hybridMultilevel"/>
    <w:tmpl w:val="5BD677A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0043313"/>
    <w:multiLevelType w:val="hybridMultilevel"/>
    <w:tmpl w:val="5F7A4C1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0973EEA"/>
    <w:multiLevelType w:val="hybridMultilevel"/>
    <w:tmpl w:val="8B76B8F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07A4D7C"/>
    <w:multiLevelType w:val="hybridMultilevel"/>
    <w:tmpl w:val="B2A6FE9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A240348"/>
    <w:multiLevelType w:val="hybridMultilevel"/>
    <w:tmpl w:val="50C02A8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7B2A4EE3"/>
    <w:multiLevelType w:val="hybridMultilevel"/>
    <w:tmpl w:val="56CAD79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DF97C00"/>
    <w:multiLevelType w:val="multilevel"/>
    <w:tmpl w:val="CD20C1CA"/>
    <w:lvl w:ilvl="0">
      <w:start w:val="1"/>
      <w:numFmt w:val="decimal"/>
      <w:lvlText w:val="%1."/>
      <w:lvlJc w:val="left"/>
      <w:pPr>
        <w:ind w:left="720" w:hanging="360"/>
      </w:pPr>
      <w:rPr>
        <w:b w:val="0"/>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4"/>
  </w:num>
  <w:num w:numId="2">
    <w:abstractNumId w:val="5"/>
  </w:num>
  <w:num w:numId="3">
    <w:abstractNumId w:val="1"/>
  </w:num>
  <w:num w:numId="4">
    <w:abstractNumId w:val="14"/>
  </w:num>
  <w:num w:numId="5">
    <w:abstractNumId w:val="12"/>
  </w:num>
  <w:num w:numId="6">
    <w:abstractNumId w:val="0"/>
  </w:num>
  <w:num w:numId="7">
    <w:abstractNumId w:val="15"/>
  </w:num>
  <w:num w:numId="8">
    <w:abstractNumId w:val="2"/>
  </w:num>
  <w:num w:numId="9">
    <w:abstractNumId w:val="3"/>
  </w:num>
  <w:num w:numId="10">
    <w:abstractNumId w:val="10"/>
  </w:num>
  <w:num w:numId="11">
    <w:abstractNumId w:val="8"/>
  </w:num>
  <w:num w:numId="12">
    <w:abstractNumId w:val="11"/>
  </w:num>
  <w:num w:numId="13">
    <w:abstractNumId w:val="9"/>
  </w:num>
  <w:num w:numId="14">
    <w:abstractNumId w:val="7"/>
  </w:num>
  <w:num w:numId="15">
    <w:abstractNumId w:val="13"/>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7A52"/>
    <w:rsid w:val="0000061E"/>
    <w:rsid w:val="00001D74"/>
    <w:rsid w:val="000021FD"/>
    <w:rsid w:val="000024BD"/>
    <w:rsid w:val="000030F7"/>
    <w:rsid w:val="00003163"/>
    <w:rsid w:val="000076FD"/>
    <w:rsid w:val="00010AF1"/>
    <w:rsid w:val="00010BD3"/>
    <w:rsid w:val="000118A7"/>
    <w:rsid w:val="00012E7A"/>
    <w:rsid w:val="00013227"/>
    <w:rsid w:val="000139C0"/>
    <w:rsid w:val="000141FF"/>
    <w:rsid w:val="000142FA"/>
    <w:rsid w:val="00017027"/>
    <w:rsid w:val="00020AB0"/>
    <w:rsid w:val="00022AAE"/>
    <w:rsid w:val="0002347B"/>
    <w:rsid w:val="000265BB"/>
    <w:rsid w:val="0002715C"/>
    <w:rsid w:val="0002781F"/>
    <w:rsid w:val="000303EE"/>
    <w:rsid w:val="00031191"/>
    <w:rsid w:val="00032AB2"/>
    <w:rsid w:val="00032B80"/>
    <w:rsid w:val="000332A1"/>
    <w:rsid w:val="00033C70"/>
    <w:rsid w:val="00034687"/>
    <w:rsid w:val="00037DEA"/>
    <w:rsid w:val="0004024E"/>
    <w:rsid w:val="00040DE5"/>
    <w:rsid w:val="00042A5E"/>
    <w:rsid w:val="00042BD3"/>
    <w:rsid w:val="000474B0"/>
    <w:rsid w:val="00047E74"/>
    <w:rsid w:val="00050495"/>
    <w:rsid w:val="000521EA"/>
    <w:rsid w:val="00053E13"/>
    <w:rsid w:val="00056DBD"/>
    <w:rsid w:val="0006150C"/>
    <w:rsid w:val="00061C10"/>
    <w:rsid w:val="0006310A"/>
    <w:rsid w:val="000668DE"/>
    <w:rsid w:val="00067292"/>
    <w:rsid w:val="000706CA"/>
    <w:rsid w:val="00070A82"/>
    <w:rsid w:val="00072038"/>
    <w:rsid w:val="00072A47"/>
    <w:rsid w:val="00072B0F"/>
    <w:rsid w:val="0007631D"/>
    <w:rsid w:val="00077614"/>
    <w:rsid w:val="00080E77"/>
    <w:rsid w:val="00080F24"/>
    <w:rsid w:val="0008577D"/>
    <w:rsid w:val="00085B61"/>
    <w:rsid w:val="00085CF5"/>
    <w:rsid w:val="0008607C"/>
    <w:rsid w:val="0008701B"/>
    <w:rsid w:val="00091115"/>
    <w:rsid w:val="00092986"/>
    <w:rsid w:val="000941CA"/>
    <w:rsid w:val="0009471E"/>
    <w:rsid w:val="000947CB"/>
    <w:rsid w:val="00095229"/>
    <w:rsid w:val="0009592F"/>
    <w:rsid w:val="00096E5F"/>
    <w:rsid w:val="000A1148"/>
    <w:rsid w:val="000A1B3B"/>
    <w:rsid w:val="000A404C"/>
    <w:rsid w:val="000A5DE7"/>
    <w:rsid w:val="000A78D3"/>
    <w:rsid w:val="000B0487"/>
    <w:rsid w:val="000B0597"/>
    <w:rsid w:val="000B0996"/>
    <w:rsid w:val="000B0A34"/>
    <w:rsid w:val="000B326E"/>
    <w:rsid w:val="000B3668"/>
    <w:rsid w:val="000B489B"/>
    <w:rsid w:val="000B5CD5"/>
    <w:rsid w:val="000B6A12"/>
    <w:rsid w:val="000B7271"/>
    <w:rsid w:val="000B782B"/>
    <w:rsid w:val="000C1120"/>
    <w:rsid w:val="000C352E"/>
    <w:rsid w:val="000C4442"/>
    <w:rsid w:val="000D6459"/>
    <w:rsid w:val="000D7491"/>
    <w:rsid w:val="000E00ED"/>
    <w:rsid w:val="000E0881"/>
    <w:rsid w:val="000E2BAE"/>
    <w:rsid w:val="000E576C"/>
    <w:rsid w:val="000E7AF1"/>
    <w:rsid w:val="000F035E"/>
    <w:rsid w:val="000F13C3"/>
    <w:rsid w:val="000F179D"/>
    <w:rsid w:val="000F198C"/>
    <w:rsid w:val="000F3811"/>
    <w:rsid w:val="000F692F"/>
    <w:rsid w:val="00100772"/>
    <w:rsid w:val="00102E59"/>
    <w:rsid w:val="0010332E"/>
    <w:rsid w:val="001045BD"/>
    <w:rsid w:val="0010498D"/>
    <w:rsid w:val="00106640"/>
    <w:rsid w:val="0010682E"/>
    <w:rsid w:val="00106DD4"/>
    <w:rsid w:val="0011036E"/>
    <w:rsid w:val="0011253D"/>
    <w:rsid w:val="001126E0"/>
    <w:rsid w:val="00112C9B"/>
    <w:rsid w:val="00113952"/>
    <w:rsid w:val="00114403"/>
    <w:rsid w:val="00114C01"/>
    <w:rsid w:val="00114D68"/>
    <w:rsid w:val="00116CDD"/>
    <w:rsid w:val="00117DAA"/>
    <w:rsid w:val="00121BF6"/>
    <w:rsid w:val="001223B1"/>
    <w:rsid w:val="001254D1"/>
    <w:rsid w:val="0012648C"/>
    <w:rsid w:val="00127353"/>
    <w:rsid w:val="00131A60"/>
    <w:rsid w:val="001326E3"/>
    <w:rsid w:val="00134415"/>
    <w:rsid w:val="0013460B"/>
    <w:rsid w:val="00135173"/>
    <w:rsid w:val="001357B1"/>
    <w:rsid w:val="0013597C"/>
    <w:rsid w:val="00136155"/>
    <w:rsid w:val="00136CBF"/>
    <w:rsid w:val="00142E3D"/>
    <w:rsid w:val="001438DB"/>
    <w:rsid w:val="001447ED"/>
    <w:rsid w:val="0014489B"/>
    <w:rsid w:val="001463ED"/>
    <w:rsid w:val="0014761B"/>
    <w:rsid w:val="00147939"/>
    <w:rsid w:val="00152F28"/>
    <w:rsid w:val="00154B33"/>
    <w:rsid w:val="0015526C"/>
    <w:rsid w:val="001556DF"/>
    <w:rsid w:val="0015615F"/>
    <w:rsid w:val="001570AE"/>
    <w:rsid w:val="00157E0B"/>
    <w:rsid w:val="00161C70"/>
    <w:rsid w:val="00166BB1"/>
    <w:rsid w:val="0016708C"/>
    <w:rsid w:val="0016740A"/>
    <w:rsid w:val="0017085C"/>
    <w:rsid w:val="00171136"/>
    <w:rsid w:val="00171BD3"/>
    <w:rsid w:val="00172BB5"/>
    <w:rsid w:val="00172C9D"/>
    <w:rsid w:val="00172FA7"/>
    <w:rsid w:val="001758D3"/>
    <w:rsid w:val="00177794"/>
    <w:rsid w:val="00177853"/>
    <w:rsid w:val="00181302"/>
    <w:rsid w:val="00184846"/>
    <w:rsid w:val="00184D41"/>
    <w:rsid w:val="00185873"/>
    <w:rsid w:val="001900F2"/>
    <w:rsid w:val="00191A32"/>
    <w:rsid w:val="00192128"/>
    <w:rsid w:val="001924FE"/>
    <w:rsid w:val="00193DC8"/>
    <w:rsid w:val="00194C75"/>
    <w:rsid w:val="00196FE4"/>
    <w:rsid w:val="00197ACC"/>
    <w:rsid w:val="001A0BD2"/>
    <w:rsid w:val="001A4115"/>
    <w:rsid w:val="001B0E26"/>
    <w:rsid w:val="001B0EC1"/>
    <w:rsid w:val="001B6FF0"/>
    <w:rsid w:val="001B762F"/>
    <w:rsid w:val="001C280D"/>
    <w:rsid w:val="001C2E81"/>
    <w:rsid w:val="001C41D2"/>
    <w:rsid w:val="001C5C8E"/>
    <w:rsid w:val="001C766E"/>
    <w:rsid w:val="001D1E07"/>
    <w:rsid w:val="001D3806"/>
    <w:rsid w:val="001D5087"/>
    <w:rsid w:val="001D61AE"/>
    <w:rsid w:val="001E37F2"/>
    <w:rsid w:val="001E44AA"/>
    <w:rsid w:val="001E514F"/>
    <w:rsid w:val="001E54B3"/>
    <w:rsid w:val="001E6F26"/>
    <w:rsid w:val="001F00C0"/>
    <w:rsid w:val="001F1931"/>
    <w:rsid w:val="001F6ECF"/>
    <w:rsid w:val="001F72E0"/>
    <w:rsid w:val="001F789A"/>
    <w:rsid w:val="00202426"/>
    <w:rsid w:val="00204ED5"/>
    <w:rsid w:val="00205F3B"/>
    <w:rsid w:val="00205FFA"/>
    <w:rsid w:val="00213CB2"/>
    <w:rsid w:val="00214F46"/>
    <w:rsid w:val="00220318"/>
    <w:rsid w:val="00221CA4"/>
    <w:rsid w:val="002228AD"/>
    <w:rsid w:val="0022305D"/>
    <w:rsid w:val="00223A4A"/>
    <w:rsid w:val="00224803"/>
    <w:rsid w:val="002248CE"/>
    <w:rsid w:val="00225327"/>
    <w:rsid w:val="00225EDB"/>
    <w:rsid w:val="0022632D"/>
    <w:rsid w:val="002269C8"/>
    <w:rsid w:val="0022753A"/>
    <w:rsid w:val="00227B07"/>
    <w:rsid w:val="00227E9A"/>
    <w:rsid w:val="0023028F"/>
    <w:rsid w:val="00231A94"/>
    <w:rsid w:val="00231C1C"/>
    <w:rsid w:val="00232623"/>
    <w:rsid w:val="0023361A"/>
    <w:rsid w:val="002345E4"/>
    <w:rsid w:val="0023489B"/>
    <w:rsid w:val="00235E86"/>
    <w:rsid w:val="00244B99"/>
    <w:rsid w:val="00244E0E"/>
    <w:rsid w:val="00245A80"/>
    <w:rsid w:val="00245E9B"/>
    <w:rsid w:val="00246201"/>
    <w:rsid w:val="00246717"/>
    <w:rsid w:val="00247134"/>
    <w:rsid w:val="002508D7"/>
    <w:rsid w:val="00251989"/>
    <w:rsid w:val="002523DD"/>
    <w:rsid w:val="002526BC"/>
    <w:rsid w:val="00253A42"/>
    <w:rsid w:val="00253E76"/>
    <w:rsid w:val="002569BC"/>
    <w:rsid w:val="00257AC5"/>
    <w:rsid w:val="00260D72"/>
    <w:rsid w:val="00260EBF"/>
    <w:rsid w:val="00262F69"/>
    <w:rsid w:val="00264ED6"/>
    <w:rsid w:val="00266BB8"/>
    <w:rsid w:val="00267C8D"/>
    <w:rsid w:val="00267DD6"/>
    <w:rsid w:val="002706DE"/>
    <w:rsid w:val="00275632"/>
    <w:rsid w:val="00275B96"/>
    <w:rsid w:val="00275E3A"/>
    <w:rsid w:val="002771ED"/>
    <w:rsid w:val="002803D9"/>
    <w:rsid w:val="00283269"/>
    <w:rsid w:val="00285BC9"/>
    <w:rsid w:val="0028609D"/>
    <w:rsid w:val="00286293"/>
    <w:rsid w:val="00287B3D"/>
    <w:rsid w:val="00293C22"/>
    <w:rsid w:val="00294066"/>
    <w:rsid w:val="002965F3"/>
    <w:rsid w:val="002A0A97"/>
    <w:rsid w:val="002A26AD"/>
    <w:rsid w:val="002A38BF"/>
    <w:rsid w:val="002A4CE5"/>
    <w:rsid w:val="002A66AF"/>
    <w:rsid w:val="002B09AB"/>
    <w:rsid w:val="002B2679"/>
    <w:rsid w:val="002C1BEC"/>
    <w:rsid w:val="002C2418"/>
    <w:rsid w:val="002C51C9"/>
    <w:rsid w:val="002D2326"/>
    <w:rsid w:val="002D410F"/>
    <w:rsid w:val="002D500E"/>
    <w:rsid w:val="002D5D09"/>
    <w:rsid w:val="002D647E"/>
    <w:rsid w:val="002D75B4"/>
    <w:rsid w:val="002D7769"/>
    <w:rsid w:val="002D783A"/>
    <w:rsid w:val="002E0D0A"/>
    <w:rsid w:val="002E1EFE"/>
    <w:rsid w:val="002E2FEC"/>
    <w:rsid w:val="002E3AA6"/>
    <w:rsid w:val="002E3D89"/>
    <w:rsid w:val="002E557C"/>
    <w:rsid w:val="002E69E2"/>
    <w:rsid w:val="002E707F"/>
    <w:rsid w:val="002F0607"/>
    <w:rsid w:val="002F0BDA"/>
    <w:rsid w:val="002F1B66"/>
    <w:rsid w:val="002F2162"/>
    <w:rsid w:val="002F3204"/>
    <w:rsid w:val="002F373F"/>
    <w:rsid w:val="002F725E"/>
    <w:rsid w:val="003029CC"/>
    <w:rsid w:val="00303647"/>
    <w:rsid w:val="00303704"/>
    <w:rsid w:val="00304421"/>
    <w:rsid w:val="00304861"/>
    <w:rsid w:val="00313189"/>
    <w:rsid w:val="00313A3F"/>
    <w:rsid w:val="0031479C"/>
    <w:rsid w:val="00314C9B"/>
    <w:rsid w:val="00320417"/>
    <w:rsid w:val="0032313D"/>
    <w:rsid w:val="003244ED"/>
    <w:rsid w:val="0032785F"/>
    <w:rsid w:val="00327F98"/>
    <w:rsid w:val="00330526"/>
    <w:rsid w:val="00332258"/>
    <w:rsid w:val="003335F3"/>
    <w:rsid w:val="00334561"/>
    <w:rsid w:val="00335086"/>
    <w:rsid w:val="00340F17"/>
    <w:rsid w:val="00341EC6"/>
    <w:rsid w:val="003447B2"/>
    <w:rsid w:val="00345349"/>
    <w:rsid w:val="00347367"/>
    <w:rsid w:val="00356C82"/>
    <w:rsid w:val="00356E26"/>
    <w:rsid w:val="003616E3"/>
    <w:rsid w:val="00361F8D"/>
    <w:rsid w:val="003668FF"/>
    <w:rsid w:val="00371AE7"/>
    <w:rsid w:val="00371CB7"/>
    <w:rsid w:val="0037277C"/>
    <w:rsid w:val="00375493"/>
    <w:rsid w:val="00377346"/>
    <w:rsid w:val="00380149"/>
    <w:rsid w:val="00380296"/>
    <w:rsid w:val="00382A76"/>
    <w:rsid w:val="00385C0B"/>
    <w:rsid w:val="0039198F"/>
    <w:rsid w:val="00391BCE"/>
    <w:rsid w:val="00392CA8"/>
    <w:rsid w:val="0039621D"/>
    <w:rsid w:val="00396A57"/>
    <w:rsid w:val="00397CEE"/>
    <w:rsid w:val="003A0A1F"/>
    <w:rsid w:val="003A0F60"/>
    <w:rsid w:val="003A1CA1"/>
    <w:rsid w:val="003A2BF6"/>
    <w:rsid w:val="003A3ECF"/>
    <w:rsid w:val="003A4EC2"/>
    <w:rsid w:val="003A5F62"/>
    <w:rsid w:val="003A6D6D"/>
    <w:rsid w:val="003B29C5"/>
    <w:rsid w:val="003B2D06"/>
    <w:rsid w:val="003B33D9"/>
    <w:rsid w:val="003B38BD"/>
    <w:rsid w:val="003B4865"/>
    <w:rsid w:val="003B50AD"/>
    <w:rsid w:val="003B54D2"/>
    <w:rsid w:val="003B62C3"/>
    <w:rsid w:val="003C0A73"/>
    <w:rsid w:val="003C2584"/>
    <w:rsid w:val="003C329A"/>
    <w:rsid w:val="003C38C2"/>
    <w:rsid w:val="003C499F"/>
    <w:rsid w:val="003C54DB"/>
    <w:rsid w:val="003C680B"/>
    <w:rsid w:val="003D0672"/>
    <w:rsid w:val="003D1485"/>
    <w:rsid w:val="003D2963"/>
    <w:rsid w:val="003D4B2E"/>
    <w:rsid w:val="003D5587"/>
    <w:rsid w:val="003D63FC"/>
    <w:rsid w:val="003D6AE6"/>
    <w:rsid w:val="003F0EBF"/>
    <w:rsid w:val="003F0ECF"/>
    <w:rsid w:val="003F173F"/>
    <w:rsid w:val="003F187B"/>
    <w:rsid w:val="003F2B2F"/>
    <w:rsid w:val="003F37CE"/>
    <w:rsid w:val="003F3CA2"/>
    <w:rsid w:val="003F5B41"/>
    <w:rsid w:val="004001BB"/>
    <w:rsid w:val="00401CFA"/>
    <w:rsid w:val="00404538"/>
    <w:rsid w:val="00406D13"/>
    <w:rsid w:val="00410695"/>
    <w:rsid w:val="00411567"/>
    <w:rsid w:val="00420CF6"/>
    <w:rsid w:val="0042359D"/>
    <w:rsid w:val="00423EEF"/>
    <w:rsid w:val="00427FAC"/>
    <w:rsid w:val="00432311"/>
    <w:rsid w:val="004335F2"/>
    <w:rsid w:val="00435C62"/>
    <w:rsid w:val="004378F8"/>
    <w:rsid w:val="00440C70"/>
    <w:rsid w:val="00441A06"/>
    <w:rsid w:val="0044369E"/>
    <w:rsid w:val="00443B2E"/>
    <w:rsid w:val="00444DD7"/>
    <w:rsid w:val="00446D9C"/>
    <w:rsid w:val="00447850"/>
    <w:rsid w:val="004478B6"/>
    <w:rsid w:val="00447B92"/>
    <w:rsid w:val="00450753"/>
    <w:rsid w:val="0045147C"/>
    <w:rsid w:val="0045279E"/>
    <w:rsid w:val="00455AAB"/>
    <w:rsid w:val="00456DD3"/>
    <w:rsid w:val="00457331"/>
    <w:rsid w:val="00461792"/>
    <w:rsid w:val="00461B9C"/>
    <w:rsid w:val="00465EEF"/>
    <w:rsid w:val="00466D53"/>
    <w:rsid w:val="0047010D"/>
    <w:rsid w:val="00470171"/>
    <w:rsid w:val="00471C7E"/>
    <w:rsid w:val="00471E27"/>
    <w:rsid w:val="00473181"/>
    <w:rsid w:val="00473421"/>
    <w:rsid w:val="00473E29"/>
    <w:rsid w:val="00482003"/>
    <w:rsid w:val="00484281"/>
    <w:rsid w:val="00484A0B"/>
    <w:rsid w:val="00484B61"/>
    <w:rsid w:val="00485F78"/>
    <w:rsid w:val="00486F63"/>
    <w:rsid w:val="00490C08"/>
    <w:rsid w:val="00491E38"/>
    <w:rsid w:val="00494B33"/>
    <w:rsid w:val="0049569B"/>
    <w:rsid w:val="00497068"/>
    <w:rsid w:val="004A4B61"/>
    <w:rsid w:val="004A4F05"/>
    <w:rsid w:val="004A503D"/>
    <w:rsid w:val="004A6D23"/>
    <w:rsid w:val="004A7C85"/>
    <w:rsid w:val="004B014E"/>
    <w:rsid w:val="004B1A2F"/>
    <w:rsid w:val="004B2D52"/>
    <w:rsid w:val="004B3CC3"/>
    <w:rsid w:val="004B5C01"/>
    <w:rsid w:val="004B6124"/>
    <w:rsid w:val="004B6239"/>
    <w:rsid w:val="004B7696"/>
    <w:rsid w:val="004C0536"/>
    <w:rsid w:val="004C1085"/>
    <w:rsid w:val="004C1589"/>
    <w:rsid w:val="004C2950"/>
    <w:rsid w:val="004C37C8"/>
    <w:rsid w:val="004C3833"/>
    <w:rsid w:val="004C4022"/>
    <w:rsid w:val="004C73AE"/>
    <w:rsid w:val="004C7C3F"/>
    <w:rsid w:val="004D000D"/>
    <w:rsid w:val="004D0509"/>
    <w:rsid w:val="004D1273"/>
    <w:rsid w:val="004D1800"/>
    <w:rsid w:val="004D335F"/>
    <w:rsid w:val="004D347F"/>
    <w:rsid w:val="004D3499"/>
    <w:rsid w:val="004D4532"/>
    <w:rsid w:val="004D5F86"/>
    <w:rsid w:val="004D673D"/>
    <w:rsid w:val="004D7137"/>
    <w:rsid w:val="004D77BA"/>
    <w:rsid w:val="004E0773"/>
    <w:rsid w:val="004E0EC3"/>
    <w:rsid w:val="004E1F93"/>
    <w:rsid w:val="004E258C"/>
    <w:rsid w:val="004E262A"/>
    <w:rsid w:val="004E3373"/>
    <w:rsid w:val="004E4CA3"/>
    <w:rsid w:val="004E5649"/>
    <w:rsid w:val="004F0E5A"/>
    <w:rsid w:val="004F3627"/>
    <w:rsid w:val="004F37DC"/>
    <w:rsid w:val="004F5034"/>
    <w:rsid w:val="004F591E"/>
    <w:rsid w:val="004F74FE"/>
    <w:rsid w:val="0050225A"/>
    <w:rsid w:val="00502979"/>
    <w:rsid w:val="00502ED5"/>
    <w:rsid w:val="0050385F"/>
    <w:rsid w:val="005069C5"/>
    <w:rsid w:val="00510A01"/>
    <w:rsid w:val="00511710"/>
    <w:rsid w:val="00512A95"/>
    <w:rsid w:val="00512C19"/>
    <w:rsid w:val="00516230"/>
    <w:rsid w:val="00517CA2"/>
    <w:rsid w:val="00523D0C"/>
    <w:rsid w:val="00523EA0"/>
    <w:rsid w:val="00524AE3"/>
    <w:rsid w:val="00524E89"/>
    <w:rsid w:val="00526A9D"/>
    <w:rsid w:val="0053039D"/>
    <w:rsid w:val="00535133"/>
    <w:rsid w:val="00537457"/>
    <w:rsid w:val="005400F3"/>
    <w:rsid w:val="0054167C"/>
    <w:rsid w:val="00542470"/>
    <w:rsid w:val="00545AA6"/>
    <w:rsid w:val="00547963"/>
    <w:rsid w:val="00550785"/>
    <w:rsid w:val="005512BF"/>
    <w:rsid w:val="00551991"/>
    <w:rsid w:val="00553FCD"/>
    <w:rsid w:val="005542BF"/>
    <w:rsid w:val="005600E5"/>
    <w:rsid w:val="0056066B"/>
    <w:rsid w:val="005609FC"/>
    <w:rsid w:val="00561037"/>
    <w:rsid w:val="00563CA1"/>
    <w:rsid w:val="0056489B"/>
    <w:rsid w:val="00564E1C"/>
    <w:rsid w:val="005663A6"/>
    <w:rsid w:val="00567E22"/>
    <w:rsid w:val="00567F25"/>
    <w:rsid w:val="00574B99"/>
    <w:rsid w:val="00575CB3"/>
    <w:rsid w:val="005778F5"/>
    <w:rsid w:val="00580057"/>
    <w:rsid w:val="005813DE"/>
    <w:rsid w:val="00581E8B"/>
    <w:rsid w:val="0058349C"/>
    <w:rsid w:val="00583CA1"/>
    <w:rsid w:val="005853C3"/>
    <w:rsid w:val="00585B33"/>
    <w:rsid w:val="005914B9"/>
    <w:rsid w:val="00591E0B"/>
    <w:rsid w:val="00592775"/>
    <w:rsid w:val="005929BB"/>
    <w:rsid w:val="00592BC7"/>
    <w:rsid w:val="0059475B"/>
    <w:rsid w:val="005951E5"/>
    <w:rsid w:val="005A1672"/>
    <w:rsid w:val="005A244A"/>
    <w:rsid w:val="005A57D6"/>
    <w:rsid w:val="005A715F"/>
    <w:rsid w:val="005B0791"/>
    <w:rsid w:val="005B1B60"/>
    <w:rsid w:val="005B36D1"/>
    <w:rsid w:val="005B389A"/>
    <w:rsid w:val="005B5226"/>
    <w:rsid w:val="005B65C0"/>
    <w:rsid w:val="005B783B"/>
    <w:rsid w:val="005C222C"/>
    <w:rsid w:val="005C5DCE"/>
    <w:rsid w:val="005C7C33"/>
    <w:rsid w:val="005D3980"/>
    <w:rsid w:val="005D4706"/>
    <w:rsid w:val="005D4B9C"/>
    <w:rsid w:val="005D6840"/>
    <w:rsid w:val="005D6897"/>
    <w:rsid w:val="005D6F68"/>
    <w:rsid w:val="005D7EB8"/>
    <w:rsid w:val="005E1E9B"/>
    <w:rsid w:val="005E4B41"/>
    <w:rsid w:val="005E58CB"/>
    <w:rsid w:val="005E6482"/>
    <w:rsid w:val="005E71A3"/>
    <w:rsid w:val="005F0534"/>
    <w:rsid w:val="005F129A"/>
    <w:rsid w:val="005F3BBE"/>
    <w:rsid w:val="005F3F42"/>
    <w:rsid w:val="00602418"/>
    <w:rsid w:val="006029D1"/>
    <w:rsid w:val="00602AE6"/>
    <w:rsid w:val="00605F73"/>
    <w:rsid w:val="00610921"/>
    <w:rsid w:val="00610B96"/>
    <w:rsid w:val="006132AE"/>
    <w:rsid w:val="00615F1A"/>
    <w:rsid w:val="006212FF"/>
    <w:rsid w:val="006232A1"/>
    <w:rsid w:val="0062500F"/>
    <w:rsid w:val="00627101"/>
    <w:rsid w:val="00630123"/>
    <w:rsid w:val="00631B59"/>
    <w:rsid w:val="00632D73"/>
    <w:rsid w:val="00633145"/>
    <w:rsid w:val="0063345A"/>
    <w:rsid w:val="0063668D"/>
    <w:rsid w:val="00637279"/>
    <w:rsid w:val="006427B4"/>
    <w:rsid w:val="00642DB8"/>
    <w:rsid w:val="0064337F"/>
    <w:rsid w:val="006435B5"/>
    <w:rsid w:val="0064435E"/>
    <w:rsid w:val="00644993"/>
    <w:rsid w:val="00651DEC"/>
    <w:rsid w:val="006529F0"/>
    <w:rsid w:val="006543F1"/>
    <w:rsid w:val="00654449"/>
    <w:rsid w:val="006603A6"/>
    <w:rsid w:val="006642CE"/>
    <w:rsid w:val="0066457F"/>
    <w:rsid w:val="00664B31"/>
    <w:rsid w:val="00665E01"/>
    <w:rsid w:val="00667EF7"/>
    <w:rsid w:val="006708EB"/>
    <w:rsid w:val="00674135"/>
    <w:rsid w:val="0067643A"/>
    <w:rsid w:val="00677639"/>
    <w:rsid w:val="00677E4C"/>
    <w:rsid w:val="006802BC"/>
    <w:rsid w:val="00680843"/>
    <w:rsid w:val="0068201C"/>
    <w:rsid w:val="0068376F"/>
    <w:rsid w:val="00683CE2"/>
    <w:rsid w:val="00684649"/>
    <w:rsid w:val="00685046"/>
    <w:rsid w:val="006861FD"/>
    <w:rsid w:val="00686A22"/>
    <w:rsid w:val="006879A4"/>
    <w:rsid w:val="00691E6C"/>
    <w:rsid w:val="00693D9D"/>
    <w:rsid w:val="006955B1"/>
    <w:rsid w:val="0069581D"/>
    <w:rsid w:val="006A07B6"/>
    <w:rsid w:val="006A0D2F"/>
    <w:rsid w:val="006A0DF3"/>
    <w:rsid w:val="006A1601"/>
    <w:rsid w:val="006A3637"/>
    <w:rsid w:val="006A385B"/>
    <w:rsid w:val="006A501E"/>
    <w:rsid w:val="006B224E"/>
    <w:rsid w:val="006B247E"/>
    <w:rsid w:val="006B25BE"/>
    <w:rsid w:val="006B25ED"/>
    <w:rsid w:val="006B26B8"/>
    <w:rsid w:val="006B4E4E"/>
    <w:rsid w:val="006B6FAB"/>
    <w:rsid w:val="006B744B"/>
    <w:rsid w:val="006C0439"/>
    <w:rsid w:val="006C04FC"/>
    <w:rsid w:val="006C07DB"/>
    <w:rsid w:val="006C437B"/>
    <w:rsid w:val="006C5D4F"/>
    <w:rsid w:val="006C7791"/>
    <w:rsid w:val="006D053E"/>
    <w:rsid w:val="006D09E5"/>
    <w:rsid w:val="006D4202"/>
    <w:rsid w:val="006D49CF"/>
    <w:rsid w:val="006D4E55"/>
    <w:rsid w:val="006D5A12"/>
    <w:rsid w:val="006D6387"/>
    <w:rsid w:val="006E0602"/>
    <w:rsid w:val="006E0B39"/>
    <w:rsid w:val="006E4BB1"/>
    <w:rsid w:val="006E6AAA"/>
    <w:rsid w:val="006E6EE1"/>
    <w:rsid w:val="006F4137"/>
    <w:rsid w:val="006F55E0"/>
    <w:rsid w:val="00701253"/>
    <w:rsid w:val="00705C00"/>
    <w:rsid w:val="00711C4F"/>
    <w:rsid w:val="00711EFA"/>
    <w:rsid w:val="007128C3"/>
    <w:rsid w:val="00712EE6"/>
    <w:rsid w:val="00717094"/>
    <w:rsid w:val="00721AAA"/>
    <w:rsid w:val="00723858"/>
    <w:rsid w:val="00723DB3"/>
    <w:rsid w:val="00724D10"/>
    <w:rsid w:val="007268D5"/>
    <w:rsid w:val="00726DC4"/>
    <w:rsid w:val="0072716B"/>
    <w:rsid w:val="00727EA8"/>
    <w:rsid w:val="0073204C"/>
    <w:rsid w:val="007349AF"/>
    <w:rsid w:val="00737F66"/>
    <w:rsid w:val="007407A7"/>
    <w:rsid w:val="007431D1"/>
    <w:rsid w:val="00743A44"/>
    <w:rsid w:val="00745B71"/>
    <w:rsid w:val="00746CC5"/>
    <w:rsid w:val="00747A51"/>
    <w:rsid w:val="0075186E"/>
    <w:rsid w:val="007521EA"/>
    <w:rsid w:val="00753900"/>
    <w:rsid w:val="00760031"/>
    <w:rsid w:val="00760652"/>
    <w:rsid w:val="00760972"/>
    <w:rsid w:val="00760B3E"/>
    <w:rsid w:val="0076462A"/>
    <w:rsid w:val="00765CD2"/>
    <w:rsid w:val="00770BF0"/>
    <w:rsid w:val="0077384F"/>
    <w:rsid w:val="00773F80"/>
    <w:rsid w:val="0077543D"/>
    <w:rsid w:val="007759E0"/>
    <w:rsid w:val="00775A6D"/>
    <w:rsid w:val="00776F4F"/>
    <w:rsid w:val="0077788D"/>
    <w:rsid w:val="00780484"/>
    <w:rsid w:val="00780519"/>
    <w:rsid w:val="00781405"/>
    <w:rsid w:val="00782332"/>
    <w:rsid w:val="0078286C"/>
    <w:rsid w:val="00783A6E"/>
    <w:rsid w:val="00786515"/>
    <w:rsid w:val="00786DE5"/>
    <w:rsid w:val="00787607"/>
    <w:rsid w:val="007903C2"/>
    <w:rsid w:val="00790CF1"/>
    <w:rsid w:val="0079334E"/>
    <w:rsid w:val="0079759F"/>
    <w:rsid w:val="007A0C96"/>
    <w:rsid w:val="007A0CCF"/>
    <w:rsid w:val="007A0D65"/>
    <w:rsid w:val="007A1878"/>
    <w:rsid w:val="007A19C9"/>
    <w:rsid w:val="007A21E6"/>
    <w:rsid w:val="007A2677"/>
    <w:rsid w:val="007A5A65"/>
    <w:rsid w:val="007A5AE0"/>
    <w:rsid w:val="007A6CF4"/>
    <w:rsid w:val="007A76DE"/>
    <w:rsid w:val="007B2007"/>
    <w:rsid w:val="007B2192"/>
    <w:rsid w:val="007B381C"/>
    <w:rsid w:val="007B40DE"/>
    <w:rsid w:val="007B45F2"/>
    <w:rsid w:val="007B4906"/>
    <w:rsid w:val="007B570B"/>
    <w:rsid w:val="007B65F0"/>
    <w:rsid w:val="007B6CAD"/>
    <w:rsid w:val="007B7D61"/>
    <w:rsid w:val="007C2854"/>
    <w:rsid w:val="007C48BB"/>
    <w:rsid w:val="007C5EC3"/>
    <w:rsid w:val="007C62DD"/>
    <w:rsid w:val="007D083E"/>
    <w:rsid w:val="007D104E"/>
    <w:rsid w:val="007D1EE9"/>
    <w:rsid w:val="007D32C7"/>
    <w:rsid w:val="007D459F"/>
    <w:rsid w:val="007D4706"/>
    <w:rsid w:val="007D5218"/>
    <w:rsid w:val="007D6145"/>
    <w:rsid w:val="007D6327"/>
    <w:rsid w:val="007D7C75"/>
    <w:rsid w:val="007E1669"/>
    <w:rsid w:val="007E2707"/>
    <w:rsid w:val="007E4723"/>
    <w:rsid w:val="007E601E"/>
    <w:rsid w:val="007E695D"/>
    <w:rsid w:val="007F444A"/>
    <w:rsid w:val="007F5D7F"/>
    <w:rsid w:val="0080030E"/>
    <w:rsid w:val="00801EDE"/>
    <w:rsid w:val="00803250"/>
    <w:rsid w:val="008041CE"/>
    <w:rsid w:val="00804351"/>
    <w:rsid w:val="008067D6"/>
    <w:rsid w:val="00806E3B"/>
    <w:rsid w:val="0080725A"/>
    <w:rsid w:val="00816956"/>
    <w:rsid w:val="008205FB"/>
    <w:rsid w:val="008206DF"/>
    <w:rsid w:val="00821889"/>
    <w:rsid w:val="0082234A"/>
    <w:rsid w:val="00822B00"/>
    <w:rsid w:val="00823AD1"/>
    <w:rsid w:val="0082444C"/>
    <w:rsid w:val="00824A7E"/>
    <w:rsid w:val="00825CD1"/>
    <w:rsid w:val="00826FB7"/>
    <w:rsid w:val="00831B9D"/>
    <w:rsid w:val="0083209F"/>
    <w:rsid w:val="00834440"/>
    <w:rsid w:val="008348DE"/>
    <w:rsid w:val="008362CA"/>
    <w:rsid w:val="008376B5"/>
    <w:rsid w:val="00840C28"/>
    <w:rsid w:val="00843527"/>
    <w:rsid w:val="00845747"/>
    <w:rsid w:val="0085227B"/>
    <w:rsid w:val="00853006"/>
    <w:rsid w:val="00855770"/>
    <w:rsid w:val="00855981"/>
    <w:rsid w:val="00856B12"/>
    <w:rsid w:val="008607AD"/>
    <w:rsid w:val="00860AC4"/>
    <w:rsid w:val="008611C8"/>
    <w:rsid w:val="00862423"/>
    <w:rsid w:val="008625DA"/>
    <w:rsid w:val="00862717"/>
    <w:rsid w:val="00862F16"/>
    <w:rsid w:val="00863124"/>
    <w:rsid w:val="00864099"/>
    <w:rsid w:val="00864A20"/>
    <w:rsid w:val="008651AE"/>
    <w:rsid w:val="008658AB"/>
    <w:rsid w:val="00866EBF"/>
    <w:rsid w:val="008712B4"/>
    <w:rsid w:val="0087293E"/>
    <w:rsid w:val="0087334E"/>
    <w:rsid w:val="00875DB6"/>
    <w:rsid w:val="00880369"/>
    <w:rsid w:val="00881038"/>
    <w:rsid w:val="00881397"/>
    <w:rsid w:val="00881640"/>
    <w:rsid w:val="008825A3"/>
    <w:rsid w:val="0088449D"/>
    <w:rsid w:val="00885D6C"/>
    <w:rsid w:val="0088629F"/>
    <w:rsid w:val="008863E5"/>
    <w:rsid w:val="008864F8"/>
    <w:rsid w:val="008874F6"/>
    <w:rsid w:val="00896F7B"/>
    <w:rsid w:val="008A08D7"/>
    <w:rsid w:val="008A12D5"/>
    <w:rsid w:val="008A258A"/>
    <w:rsid w:val="008A306C"/>
    <w:rsid w:val="008A33F1"/>
    <w:rsid w:val="008A4299"/>
    <w:rsid w:val="008B10C2"/>
    <w:rsid w:val="008B32CE"/>
    <w:rsid w:val="008B3620"/>
    <w:rsid w:val="008B46F7"/>
    <w:rsid w:val="008B784D"/>
    <w:rsid w:val="008C0AF4"/>
    <w:rsid w:val="008C2107"/>
    <w:rsid w:val="008C31B6"/>
    <w:rsid w:val="008C4514"/>
    <w:rsid w:val="008C6F69"/>
    <w:rsid w:val="008D2B5E"/>
    <w:rsid w:val="008D456C"/>
    <w:rsid w:val="008E3232"/>
    <w:rsid w:val="008E4D03"/>
    <w:rsid w:val="008E6F93"/>
    <w:rsid w:val="008E77CD"/>
    <w:rsid w:val="008E78C3"/>
    <w:rsid w:val="008F248E"/>
    <w:rsid w:val="008F2614"/>
    <w:rsid w:val="008F46F9"/>
    <w:rsid w:val="008F5957"/>
    <w:rsid w:val="008F6517"/>
    <w:rsid w:val="008F6A67"/>
    <w:rsid w:val="008F7BFB"/>
    <w:rsid w:val="009011C6"/>
    <w:rsid w:val="00902C43"/>
    <w:rsid w:val="0090364E"/>
    <w:rsid w:val="0090474B"/>
    <w:rsid w:val="00906D9F"/>
    <w:rsid w:val="00907D4C"/>
    <w:rsid w:val="00910E3E"/>
    <w:rsid w:val="00913F2A"/>
    <w:rsid w:val="0091429C"/>
    <w:rsid w:val="00916C1F"/>
    <w:rsid w:val="0091732E"/>
    <w:rsid w:val="00917767"/>
    <w:rsid w:val="00921748"/>
    <w:rsid w:val="00921D58"/>
    <w:rsid w:val="00923E07"/>
    <w:rsid w:val="00927CAD"/>
    <w:rsid w:val="009300F5"/>
    <w:rsid w:val="00932128"/>
    <w:rsid w:val="0093230E"/>
    <w:rsid w:val="0093265D"/>
    <w:rsid w:val="00932F22"/>
    <w:rsid w:val="00936DA1"/>
    <w:rsid w:val="00937A9F"/>
    <w:rsid w:val="009411FF"/>
    <w:rsid w:val="00943A37"/>
    <w:rsid w:val="009442B9"/>
    <w:rsid w:val="00945A6A"/>
    <w:rsid w:val="00946DFA"/>
    <w:rsid w:val="00947258"/>
    <w:rsid w:val="009500D6"/>
    <w:rsid w:val="0095366B"/>
    <w:rsid w:val="00954B3E"/>
    <w:rsid w:val="00954E1C"/>
    <w:rsid w:val="00956165"/>
    <w:rsid w:val="0095757F"/>
    <w:rsid w:val="00957FCA"/>
    <w:rsid w:val="009608D5"/>
    <w:rsid w:val="00960D94"/>
    <w:rsid w:val="0096108D"/>
    <w:rsid w:val="009612D1"/>
    <w:rsid w:val="009618F0"/>
    <w:rsid w:val="00961CA0"/>
    <w:rsid w:val="00962583"/>
    <w:rsid w:val="00966248"/>
    <w:rsid w:val="00967895"/>
    <w:rsid w:val="00967E51"/>
    <w:rsid w:val="00971266"/>
    <w:rsid w:val="009716A1"/>
    <w:rsid w:val="009720A4"/>
    <w:rsid w:val="00975DB0"/>
    <w:rsid w:val="009763FC"/>
    <w:rsid w:val="009813B7"/>
    <w:rsid w:val="00983660"/>
    <w:rsid w:val="00986B5E"/>
    <w:rsid w:val="00992071"/>
    <w:rsid w:val="0099340C"/>
    <w:rsid w:val="00994C2F"/>
    <w:rsid w:val="00994CDD"/>
    <w:rsid w:val="009950A9"/>
    <w:rsid w:val="009959A9"/>
    <w:rsid w:val="00996894"/>
    <w:rsid w:val="009A0B54"/>
    <w:rsid w:val="009A17B3"/>
    <w:rsid w:val="009A2D5D"/>
    <w:rsid w:val="009A7143"/>
    <w:rsid w:val="009B0F8B"/>
    <w:rsid w:val="009B3B84"/>
    <w:rsid w:val="009B4489"/>
    <w:rsid w:val="009B60BA"/>
    <w:rsid w:val="009B6E14"/>
    <w:rsid w:val="009C0154"/>
    <w:rsid w:val="009C063B"/>
    <w:rsid w:val="009C232D"/>
    <w:rsid w:val="009C6748"/>
    <w:rsid w:val="009C782F"/>
    <w:rsid w:val="009D0B30"/>
    <w:rsid w:val="009D2F9E"/>
    <w:rsid w:val="009D3F5C"/>
    <w:rsid w:val="009D5454"/>
    <w:rsid w:val="009D791C"/>
    <w:rsid w:val="009D7EBC"/>
    <w:rsid w:val="009E279A"/>
    <w:rsid w:val="009E6707"/>
    <w:rsid w:val="009F2DC2"/>
    <w:rsid w:val="009F3C06"/>
    <w:rsid w:val="009F4BCD"/>
    <w:rsid w:val="009F5982"/>
    <w:rsid w:val="009F794B"/>
    <w:rsid w:val="00A009C8"/>
    <w:rsid w:val="00A018C7"/>
    <w:rsid w:val="00A01A29"/>
    <w:rsid w:val="00A02341"/>
    <w:rsid w:val="00A0321B"/>
    <w:rsid w:val="00A03266"/>
    <w:rsid w:val="00A0347A"/>
    <w:rsid w:val="00A04CE5"/>
    <w:rsid w:val="00A051EF"/>
    <w:rsid w:val="00A05EA4"/>
    <w:rsid w:val="00A078EA"/>
    <w:rsid w:val="00A11A42"/>
    <w:rsid w:val="00A12470"/>
    <w:rsid w:val="00A126CC"/>
    <w:rsid w:val="00A16187"/>
    <w:rsid w:val="00A2091A"/>
    <w:rsid w:val="00A212EF"/>
    <w:rsid w:val="00A23510"/>
    <w:rsid w:val="00A236A6"/>
    <w:rsid w:val="00A24C7E"/>
    <w:rsid w:val="00A2579C"/>
    <w:rsid w:val="00A25ABA"/>
    <w:rsid w:val="00A27309"/>
    <w:rsid w:val="00A303B6"/>
    <w:rsid w:val="00A3179D"/>
    <w:rsid w:val="00A318CB"/>
    <w:rsid w:val="00A31A07"/>
    <w:rsid w:val="00A32F97"/>
    <w:rsid w:val="00A33338"/>
    <w:rsid w:val="00A36956"/>
    <w:rsid w:val="00A371B7"/>
    <w:rsid w:val="00A40D27"/>
    <w:rsid w:val="00A41B6E"/>
    <w:rsid w:val="00A41B76"/>
    <w:rsid w:val="00A42DDC"/>
    <w:rsid w:val="00A4342F"/>
    <w:rsid w:val="00A44C6A"/>
    <w:rsid w:val="00A45A20"/>
    <w:rsid w:val="00A465A7"/>
    <w:rsid w:val="00A52602"/>
    <w:rsid w:val="00A54103"/>
    <w:rsid w:val="00A549FD"/>
    <w:rsid w:val="00A55F55"/>
    <w:rsid w:val="00A564B9"/>
    <w:rsid w:val="00A566D4"/>
    <w:rsid w:val="00A5675B"/>
    <w:rsid w:val="00A57D7A"/>
    <w:rsid w:val="00A604C9"/>
    <w:rsid w:val="00A610D4"/>
    <w:rsid w:val="00A624BA"/>
    <w:rsid w:val="00A65F62"/>
    <w:rsid w:val="00A6617C"/>
    <w:rsid w:val="00A72A41"/>
    <w:rsid w:val="00A72AF3"/>
    <w:rsid w:val="00A730BE"/>
    <w:rsid w:val="00A73353"/>
    <w:rsid w:val="00A75625"/>
    <w:rsid w:val="00A759F2"/>
    <w:rsid w:val="00A766D6"/>
    <w:rsid w:val="00A7696F"/>
    <w:rsid w:val="00A82154"/>
    <w:rsid w:val="00A83D44"/>
    <w:rsid w:val="00A87182"/>
    <w:rsid w:val="00A93BA5"/>
    <w:rsid w:val="00A96563"/>
    <w:rsid w:val="00A966C2"/>
    <w:rsid w:val="00AA165D"/>
    <w:rsid w:val="00AA64AB"/>
    <w:rsid w:val="00AB0984"/>
    <w:rsid w:val="00AB09B3"/>
    <w:rsid w:val="00AB1A58"/>
    <w:rsid w:val="00AB2833"/>
    <w:rsid w:val="00AB34B4"/>
    <w:rsid w:val="00AB43DA"/>
    <w:rsid w:val="00AB63A4"/>
    <w:rsid w:val="00AB6CE7"/>
    <w:rsid w:val="00AB7115"/>
    <w:rsid w:val="00AC014A"/>
    <w:rsid w:val="00AC0969"/>
    <w:rsid w:val="00AC103B"/>
    <w:rsid w:val="00AC3E03"/>
    <w:rsid w:val="00AD1885"/>
    <w:rsid w:val="00AD3E37"/>
    <w:rsid w:val="00AD5F9E"/>
    <w:rsid w:val="00AD6539"/>
    <w:rsid w:val="00AD6A71"/>
    <w:rsid w:val="00AD7F1D"/>
    <w:rsid w:val="00AE3197"/>
    <w:rsid w:val="00AE6641"/>
    <w:rsid w:val="00AF0980"/>
    <w:rsid w:val="00AF1534"/>
    <w:rsid w:val="00AF4465"/>
    <w:rsid w:val="00AF58AD"/>
    <w:rsid w:val="00AF5BCD"/>
    <w:rsid w:val="00AF6AFB"/>
    <w:rsid w:val="00AF6DB2"/>
    <w:rsid w:val="00B03076"/>
    <w:rsid w:val="00B11A7E"/>
    <w:rsid w:val="00B125F0"/>
    <w:rsid w:val="00B133C6"/>
    <w:rsid w:val="00B13BEC"/>
    <w:rsid w:val="00B15711"/>
    <w:rsid w:val="00B15ED7"/>
    <w:rsid w:val="00B173B9"/>
    <w:rsid w:val="00B173C0"/>
    <w:rsid w:val="00B2295C"/>
    <w:rsid w:val="00B24653"/>
    <w:rsid w:val="00B26727"/>
    <w:rsid w:val="00B26EF6"/>
    <w:rsid w:val="00B275C1"/>
    <w:rsid w:val="00B31947"/>
    <w:rsid w:val="00B32DBF"/>
    <w:rsid w:val="00B333DA"/>
    <w:rsid w:val="00B354DC"/>
    <w:rsid w:val="00B35FF7"/>
    <w:rsid w:val="00B375C0"/>
    <w:rsid w:val="00B403C3"/>
    <w:rsid w:val="00B41E5C"/>
    <w:rsid w:val="00B4215A"/>
    <w:rsid w:val="00B42B2F"/>
    <w:rsid w:val="00B42D02"/>
    <w:rsid w:val="00B43552"/>
    <w:rsid w:val="00B43E8A"/>
    <w:rsid w:val="00B44883"/>
    <w:rsid w:val="00B478BB"/>
    <w:rsid w:val="00B50605"/>
    <w:rsid w:val="00B511DF"/>
    <w:rsid w:val="00B5134D"/>
    <w:rsid w:val="00B53015"/>
    <w:rsid w:val="00B53F64"/>
    <w:rsid w:val="00B56CD0"/>
    <w:rsid w:val="00B572BF"/>
    <w:rsid w:val="00B6164A"/>
    <w:rsid w:val="00B62DE3"/>
    <w:rsid w:val="00B64A79"/>
    <w:rsid w:val="00B64EB2"/>
    <w:rsid w:val="00B675D8"/>
    <w:rsid w:val="00B676F7"/>
    <w:rsid w:val="00B702ED"/>
    <w:rsid w:val="00B74F58"/>
    <w:rsid w:val="00B763F0"/>
    <w:rsid w:val="00B777D7"/>
    <w:rsid w:val="00B8351E"/>
    <w:rsid w:val="00B84751"/>
    <w:rsid w:val="00B869BB"/>
    <w:rsid w:val="00B90A73"/>
    <w:rsid w:val="00B912AC"/>
    <w:rsid w:val="00B91798"/>
    <w:rsid w:val="00B92610"/>
    <w:rsid w:val="00B93837"/>
    <w:rsid w:val="00B93FA5"/>
    <w:rsid w:val="00B95F1B"/>
    <w:rsid w:val="00B9725A"/>
    <w:rsid w:val="00BA1697"/>
    <w:rsid w:val="00BA3645"/>
    <w:rsid w:val="00BA3D34"/>
    <w:rsid w:val="00BA49BC"/>
    <w:rsid w:val="00BA5729"/>
    <w:rsid w:val="00BA65AC"/>
    <w:rsid w:val="00BA7F80"/>
    <w:rsid w:val="00BB05ED"/>
    <w:rsid w:val="00BB11A2"/>
    <w:rsid w:val="00BB1E81"/>
    <w:rsid w:val="00BB3AF7"/>
    <w:rsid w:val="00BB3D57"/>
    <w:rsid w:val="00BB4FB5"/>
    <w:rsid w:val="00BB5AF8"/>
    <w:rsid w:val="00BB6C72"/>
    <w:rsid w:val="00BB7B37"/>
    <w:rsid w:val="00BC00A3"/>
    <w:rsid w:val="00BC0890"/>
    <w:rsid w:val="00BC2958"/>
    <w:rsid w:val="00BC2BDB"/>
    <w:rsid w:val="00BC6826"/>
    <w:rsid w:val="00BD12A1"/>
    <w:rsid w:val="00BD1E66"/>
    <w:rsid w:val="00BD25AC"/>
    <w:rsid w:val="00BD261F"/>
    <w:rsid w:val="00BD2C7E"/>
    <w:rsid w:val="00BD3950"/>
    <w:rsid w:val="00BD4674"/>
    <w:rsid w:val="00BD53FE"/>
    <w:rsid w:val="00BD58DF"/>
    <w:rsid w:val="00BD776C"/>
    <w:rsid w:val="00BD7A52"/>
    <w:rsid w:val="00BD7B03"/>
    <w:rsid w:val="00BE06BC"/>
    <w:rsid w:val="00BE23D3"/>
    <w:rsid w:val="00BE2DCA"/>
    <w:rsid w:val="00BE37E9"/>
    <w:rsid w:val="00BE37F3"/>
    <w:rsid w:val="00BE49A3"/>
    <w:rsid w:val="00BE5258"/>
    <w:rsid w:val="00BE58E4"/>
    <w:rsid w:val="00BF1A6B"/>
    <w:rsid w:val="00BF2785"/>
    <w:rsid w:val="00BF2C8B"/>
    <w:rsid w:val="00BF4B1F"/>
    <w:rsid w:val="00BF6FB6"/>
    <w:rsid w:val="00BF75FB"/>
    <w:rsid w:val="00BF77A5"/>
    <w:rsid w:val="00C00E8B"/>
    <w:rsid w:val="00C03EEF"/>
    <w:rsid w:val="00C047C4"/>
    <w:rsid w:val="00C06992"/>
    <w:rsid w:val="00C1023E"/>
    <w:rsid w:val="00C10408"/>
    <w:rsid w:val="00C1058E"/>
    <w:rsid w:val="00C105BE"/>
    <w:rsid w:val="00C125E1"/>
    <w:rsid w:val="00C13695"/>
    <w:rsid w:val="00C15B4E"/>
    <w:rsid w:val="00C16B18"/>
    <w:rsid w:val="00C211FE"/>
    <w:rsid w:val="00C21202"/>
    <w:rsid w:val="00C23D56"/>
    <w:rsid w:val="00C265FF"/>
    <w:rsid w:val="00C32C31"/>
    <w:rsid w:val="00C332CA"/>
    <w:rsid w:val="00C350EB"/>
    <w:rsid w:val="00C35A1B"/>
    <w:rsid w:val="00C37390"/>
    <w:rsid w:val="00C3760F"/>
    <w:rsid w:val="00C37718"/>
    <w:rsid w:val="00C40CF2"/>
    <w:rsid w:val="00C41189"/>
    <w:rsid w:val="00C4287F"/>
    <w:rsid w:val="00C42EDF"/>
    <w:rsid w:val="00C43065"/>
    <w:rsid w:val="00C44159"/>
    <w:rsid w:val="00C45173"/>
    <w:rsid w:val="00C457D0"/>
    <w:rsid w:val="00C45B2F"/>
    <w:rsid w:val="00C461B6"/>
    <w:rsid w:val="00C4645F"/>
    <w:rsid w:val="00C5007B"/>
    <w:rsid w:val="00C5098E"/>
    <w:rsid w:val="00C51A43"/>
    <w:rsid w:val="00C53D40"/>
    <w:rsid w:val="00C54109"/>
    <w:rsid w:val="00C54782"/>
    <w:rsid w:val="00C553FC"/>
    <w:rsid w:val="00C55753"/>
    <w:rsid w:val="00C5691D"/>
    <w:rsid w:val="00C56C98"/>
    <w:rsid w:val="00C57EC2"/>
    <w:rsid w:val="00C62B3A"/>
    <w:rsid w:val="00C663AB"/>
    <w:rsid w:val="00C6777C"/>
    <w:rsid w:val="00C71629"/>
    <w:rsid w:val="00C749DE"/>
    <w:rsid w:val="00C775B6"/>
    <w:rsid w:val="00C81032"/>
    <w:rsid w:val="00C819B8"/>
    <w:rsid w:val="00C85C16"/>
    <w:rsid w:val="00C87CD7"/>
    <w:rsid w:val="00C910B5"/>
    <w:rsid w:val="00C93261"/>
    <w:rsid w:val="00C93868"/>
    <w:rsid w:val="00CA122C"/>
    <w:rsid w:val="00CA3430"/>
    <w:rsid w:val="00CA39A2"/>
    <w:rsid w:val="00CA448F"/>
    <w:rsid w:val="00CA7A8E"/>
    <w:rsid w:val="00CB024B"/>
    <w:rsid w:val="00CB25D6"/>
    <w:rsid w:val="00CB2BA7"/>
    <w:rsid w:val="00CB2CDC"/>
    <w:rsid w:val="00CB32C4"/>
    <w:rsid w:val="00CB36CC"/>
    <w:rsid w:val="00CB495F"/>
    <w:rsid w:val="00CB4B95"/>
    <w:rsid w:val="00CB4E40"/>
    <w:rsid w:val="00CC0D2B"/>
    <w:rsid w:val="00CC1BAD"/>
    <w:rsid w:val="00CC2272"/>
    <w:rsid w:val="00CC2391"/>
    <w:rsid w:val="00CC2C2F"/>
    <w:rsid w:val="00CC3204"/>
    <w:rsid w:val="00CD4517"/>
    <w:rsid w:val="00CE2B61"/>
    <w:rsid w:val="00CE631A"/>
    <w:rsid w:val="00CF034C"/>
    <w:rsid w:val="00CF0C38"/>
    <w:rsid w:val="00CF1164"/>
    <w:rsid w:val="00CF3554"/>
    <w:rsid w:val="00CF4324"/>
    <w:rsid w:val="00CF642F"/>
    <w:rsid w:val="00CF70E4"/>
    <w:rsid w:val="00D010D0"/>
    <w:rsid w:val="00D01381"/>
    <w:rsid w:val="00D023D3"/>
    <w:rsid w:val="00D04027"/>
    <w:rsid w:val="00D041B7"/>
    <w:rsid w:val="00D04E28"/>
    <w:rsid w:val="00D06D50"/>
    <w:rsid w:val="00D0748B"/>
    <w:rsid w:val="00D0762D"/>
    <w:rsid w:val="00D10C6F"/>
    <w:rsid w:val="00D171A9"/>
    <w:rsid w:val="00D1727A"/>
    <w:rsid w:val="00D22138"/>
    <w:rsid w:val="00D223E2"/>
    <w:rsid w:val="00D22924"/>
    <w:rsid w:val="00D24827"/>
    <w:rsid w:val="00D251CA"/>
    <w:rsid w:val="00D2624B"/>
    <w:rsid w:val="00D268AE"/>
    <w:rsid w:val="00D26DCF"/>
    <w:rsid w:val="00D272C9"/>
    <w:rsid w:val="00D278F1"/>
    <w:rsid w:val="00D27CE9"/>
    <w:rsid w:val="00D31293"/>
    <w:rsid w:val="00D3350B"/>
    <w:rsid w:val="00D348AF"/>
    <w:rsid w:val="00D3608B"/>
    <w:rsid w:val="00D36584"/>
    <w:rsid w:val="00D36DE9"/>
    <w:rsid w:val="00D37DF6"/>
    <w:rsid w:val="00D40F09"/>
    <w:rsid w:val="00D4148B"/>
    <w:rsid w:val="00D42484"/>
    <w:rsid w:val="00D42D99"/>
    <w:rsid w:val="00D43D79"/>
    <w:rsid w:val="00D45091"/>
    <w:rsid w:val="00D456BE"/>
    <w:rsid w:val="00D50F83"/>
    <w:rsid w:val="00D52AE2"/>
    <w:rsid w:val="00D53AA2"/>
    <w:rsid w:val="00D57A96"/>
    <w:rsid w:val="00D61343"/>
    <w:rsid w:val="00D6205A"/>
    <w:rsid w:val="00D6289D"/>
    <w:rsid w:val="00D62D00"/>
    <w:rsid w:val="00D656A9"/>
    <w:rsid w:val="00D661B0"/>
    <w:rsid w:val="00D67504"/>
    <w:rsid w:val="00D73036"/>
    <w:rsid w:val="00D73228"/>
    <w:rsid w:val="00D74118"/>
    <w:rsid w:val="00D77DF6"/>
    <w:rsid w:val="00D8332C"/>
    <w:rsid w:val="00D84696"/>
    <w:rsid w:val="00D8469D"/>
    <w:rsid w:val="00D85387"/>
    <w:rsid w:val="00D873C7"/>
    <w:rsid w:val="00D87AF5"/>
    <w:rsid w:val="00D91CAA"/>
    <w:rsid w:val="00D92583"/>
    <w:rsid w:val="00D9372D"/>
    <w:rsid w:val="00DA0D2E"/>
    <w:rsid w:val="00DA1B93"/>
    <w:rsid w:val="00DA38D2"/>
    <w:rsid w:val="00DA44B9"/>
    <w:rsid w:val="00DA470A"/>
    <w:rsid w:val="00DA56FF"/>
    <w:rsid w:val="00DA6B45"/>
    <w:rsid w:val="00DB073C"/>
    <w:rsid w:val="00DB257C"/>
    <w:rsid w:val="00DB3886"/>
    <w:rsid w:val="00DB6B7A"/>
    <w:rsid w:val="00DB76BE"/>
    <w:rsid w:val="00DB7BEC"/>
    <w:rsid w:val="00DC131D"/>
    <w:rsid w:val="00DC2B2E"/>
    <w:rsid w:val="00DC3DF4"/>
    <w:rsid w:val="00DC464F"/>
    <w:rsid w:val="00DC5082"/>
    <w:rsid w:val="00DC693C"/>
    <w:rsid w:val="00DC69F3"/>
    <w:rsid w:val="00DD1A9D"/>
    <w:rsid w:val="00DD2AF3"/>
    <w:rsid w:val="00DD2B92"/>
    <w:rsid w:val="00DD34D5"/>
    <w:rsid w:val="00DD3577"/>
    <w:rsid w:val="00DD4335"/>
    <w:rsid w:val="00DD467B"/>
    <w:rsid w:val="00DD774C"/>
    <w:rsid w:val="00DE2846"/>
    <w:rsid w:val="00DE49BF"/>
    <w:rsid w:val="00DE5E3D"/>
    <w:rsid w:val="00DE6267"/>
    <w:rsid w:val="00DE6FD5"/>
    <w:rsid w:val="00DF026C"/>
    <w:rsid w:val="00DF0C54"/>
    <w:rsid w:val="00DF0FED"/>
    <w:rsid w:val="00DF11E2"/>
    <w:rsid w:val="00DF1467"/>
    <w:rsid w:val="00DF32BC"/>
    <w:rsid w:val="00DF3560"/>
    <w:rsid w:val="00DF38E9"/>
    <w:rsid w:val="00DF4095"/>
    <w:rsid w:val="00E00498"/>
    <w:rsid w:val="00E00959"/>
    <w:rsid w:val="00E0134E"/>
    <w:rsid w:val="00E01D0D"/>
    <w:rsid w:val="00E03159"/>
    <w:rsid w:val="00E04F40"/>
    <w:rsid w:val="00E06793"/>
    <w:rsid w:val="00E07AF4"/>
    <w:rsid w:val="00E10314"/>
    <w:rsid w:val="00E1272C"/>
    <w:rsid w:val="00E14D6B"/>
    <w:rsid w:val="00E15382"/>
    <w:rsid w:val="00E15B01"/>
    <w:rsid w:val="00E212C0"/>
    <w:rsid w:val="00E242DF"/>
    <w:rsid w:val="00E25647"/>
    <w:rsid w:val="00E27FC3"/>
    <w:rsid w:val="00E30FB4"/>
    <w:rsid w:val="00E32735"/>
    <w:rsid w:val="00E32BAC"/>
    <w:rsid w:val="00E33291"/>
    <w:rsid w:val="00E35C3F"/>
    <w:rsid w:val="00E3769B"/>
    <w:rsid w:val="00E41709"/>
    <w:rsid w:val="00E42E9D"/>
    <w:rsid w:val="00E44F05"/>
    <w:rsid w:val="00E454F7"/>
    <w:rsid w:val="00E468C3"/>
    <w:rsid w:val="00E46C59"/>
    <w:rsid w:val="00E54B61"/>
    <w:rsid w:val="00E56132"/>
    <w:rsid w:val="00E60050"/>
    <w:rsid w:val="00E61274"/>
    <w:rsid w:val="00E62899"/>
    <w:rsid w:val="00E67C08"/>
    <w:rsid w:val="00E73113"/>
    <w:rsid w:val="00E75F5C"/>
    <w:rsid w:val="00E77643"/>
    <w:rsid w:val="00E8014C"/>
    <w:rsid w:val="00E81CA3"/>
    <w:rsid w:val="00E863DB"/>
    <w:rsid w:val="00E86A36"/>
    <w:rsid w:val="00E87269"/>
    <w:rsid w:val="00E900DD"/>
    <w:rsid w:val="00E94454"/>
    <w:rsid w:val="00E95588"/>
    <w:rsid w:val="00E976AD"/>
    <w:rsid w:val="00EA22C0"/>
    <w:rsid w:val="00EA2986"/>
    <w:rsid w:val="00EA412E"/>
    <w:rsid w:val="00EA5CDF"/>
    <w:rsid w:val="00EA6014"/>
    <w:rsid w:val="00EA64F2"/>
    <w:rsid w:val="00EB0DD2"/>
    <w:rsid w:val="00EB14DA"/>
    <w:rsid w:val="00EB2429"/>
    <w:rsid w:val="00EB31D1"/>
    <w:rsid w:val="00EC1405"/>
    <w:rsid w:val="00EC2ED9"/>
    <w:rsid w:val="00EC37D8"/>
    <w:rsid w:val="00EC386D"/>
    <w:rsid w:val="00EC51E4"/>
    <w:rsid w:val="00EC53C3"/>
    <w:rsid w:val="00EC55A4"/>
    <w:rsid w:val="00EC57B3"/>
    <w:rsid w:val="00EC6775"/>
    <w:rsid w:val="00EC77F5"/>
    <w:rsid w:val="00ED3DDE"/>
    <w:rsid w:val="00ED40FF"/>
    <w:rsid w:val="00ED4741"/>
    <w:rsid w:val="00ED6052"/>
    <w:rsid w:val="00ED63A9"/>
    <w:rsid w:val="00ED73CD"/>
    <w:rsid w:val="00EE0A6D"/>
    <w:rsid w:val="00EE0C5F"/>
    <w:rsid w:val="00EE1C47"/>
    <w:rsid w:val="00EE218C"/>
    <w:rsid w:val="00EE2DEC"/>
    <w:rsid w:val="00EE339A"/>
    <w:rsid w:val="00EE33A5"/>
    <w:rsid w:val="00EE66E8"/>
    <w:rsid w:val="00EE7015"/>
    <w:rsid w:val="00EE710A"/>
    <w:rsid w:val="00EF10D6"/>
    <w:rsid w:val="00EF279C"/>
    <w:rsid w:val="00EF4CA3"/>
    <w:rsid w:val="00EF64B0"/>
    <w:rsid w:val="00EF659E"/>
    <w:rsid w:val="00EF7B8F"/>
    <w:rsid w:val="00F00721"/>
    <w:rsid w:val="00F00EA9"/>
    <w:rsid w:val="00F011BF"/>
    <w:rsid w:val="00F01F7E"/>
    <w:rsid w:val="00F020FF"/>
    <w:rsid w:val="00F02E3C"/>
    <w:rsid w:val="00F032D2"/>
    <w:rsid w:val="00F03529"/>
    <w:rsid w:val="00F059DD"/>
    <w:rsid w:val="00F07DF3"/>
    <w:rsid w:val="00F11C90"/>
    <w:rsid w:val="00F12810"/>
    <w:rsid w:val="00F14805"/>
    <w:rsid w:val="00F14F5C"/>
    <w:rsid w:val="00F17CDF"/>
    <w:rsid w:val="00F17CE7"/>
    <w:rsid w:val="00F210FC"/>
    <w:rsid w:val="00F244C5"/>
    <w:rsid w:val="00F24D6C"/>
    <w:rsid w:val="00F26950"/>
    <w:rsid w:val="00F272B8"/>
    <w:rsid w:val="00F276A4"/>
    <w:rsid w:val="00F30023"/>
    <w:rsid w:val="00F30045"/>
    <w:rsid w:val="00F30184"/>
    <w:rsid w:val="00F34088"/>
    <w:rsid w:val="00F34BB1"/>
    <w:rsid w:val="00F36397"/>
    <w:rsid w:val="00F36C9D"/>
    <w:rsid w:val="00F37F6A"/>
    <w:rsid w:val="00F40105"/>
    <w:rsid w:val="00F406FF"/>
    <w:rsid w:val="00F409A5"/>
    <w:rsid w:val="00F40E2A"/>
    <w:rsid w:val="00F41D57"/>
    <w:rsid w:val="00F43118"/>
    <w:rsid w:val="00F444D6"/>
    <w:rsid w:val="00F445D2"/>
    <w:rsid w:val="00F44874"/>
    <w:rsid w:val="00F44BDC"/>
    <w:rsid w:val="00F473A2"/>
    <w:rsid w:val="00F47FAB"/>
    <w:rsid w:val="00F527AF"/>
    <w:rsid w:val="00F538CD"/>
    <w:rsid w:val="00F54494"/>
    <w:rsid w:val="00F55DAA"/>
    <w:rsid w:val="00F56BE4"/>
    <w:rsid w:val="00F6208D"/>
    <w:rsid w:val="00F6268C"/>
    <w:rsid w:val="00F63B5E"/>
    <w:rsid w:val="00F63EA9"/>
    <w:rsid w:val="00F647CF"/>
    <w:rsid w:val="00F64AE9"/>
    <w:rsid w:val="00F65186"/>
    <w:rsid w:val="00F66BAF"/>
    <w:rsid w:val="00F72251"/>
    <w:rsid w:val="00F731BB"/>
    <w:rsid w:val="00F73A1D"/>
    <w:rsid w:val="00F75DE0"/>
    <w:rsid w:val="00F77168"/>
    <w:rsid w:val="00F8055A"/>
    <w:rsid w:val="00F816ED"/>
    <w:rsid w:val="00F82127"/>
    <w:rsid w:val="00F85ED0"/>
    <w:rsid w:val="00F9043C"/>
    <w:rsid w:val="00F910C0"/>
    <w:rsid w:val="00F954A8"/>
    <w:rsid w:val="00F95EC2"/>
    <w:rsid w:val="00F977B1"/>
    <w:rsid w:val="00F97E88"/>
    <w:rsid w:val="00F97F38"/>
    <w:rsid w:val="00FA0074"/>
    <w:rsid w:val="00FA49FB"/>
    <w:rsid w:val="00FA6A39"/>
    <w:rsid w:val="00FB0D04"/>
    <w:rsid w:val="00FB1ED7"/>
    <w:rsid w:val="00FB2FC2"/>
    <w:rsid w:val="00FB4F13"/>
    <w:rsid w:val="00FB4FCB"/>
    <w:rsid w:val="00FB62A1"/>
    <w:rsid w:val="00FB723E"/>
    <w:rsid w:val="00FB7EFA"/>
    <w:rsid w:val="00FC0C3C"/>
    <w:rsid w:val="00FC3D5B"/>
    <w:rsid w:val="00FC42E5"/>
    <w:rsid w:val="00FC69EC"/>
    <w:rsid w:val="00FD1629"/>
    <w:rsid w:val="00FD32EE"/>
    <w:rsid w:val="00FD50FA"/>
    <w:rsid w:val="00FD5CB8"/>
    <w:rsid w:val="00FD62D3"/>
    <w:rsid w:val="00FD6F7D"/>
    <w:rsid w:val="00FD7136"/>
    <w:rsid w:val="00FD7BCC"/>
    <w:rsid w:val="00FE0223"/>
    <w:rsid w:val="00FE0775"/>
    <w:rsid w:val="00FE1950"/>
    <w:rsid w:val="00FE6973"/>
    <w:rsid w:val="00FF0088"/>
    <w:rsid w:val="00FF2A39"/>
    <w:rsid w:val="00FF46A7"/>
    <w:rsid w:val="00FF5FC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4A7DA6"/>
  <w15:docId w15:val="{AA11D90C-96CD-45B4-993F-C2519F6D1D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5F55"/>
  </w:style>
  <w:style w:type="paragraph" w:styleId="Heading1">
    <w:name w:val="heading 1"/>
    <w:basedOn w:val="Normal"/>
    <w:next w:val="Normal"/>
    <w:link w:val="Heading1Char"/>
    <w:uiPriority w:val="9"/>
    <w:qFormat/>
    <w:rsid w:val="00223A4A"/>
    <w:pPr>
      <w:keepNext/>
      <w:keepLines/>
      <w:spacing w:before="360" w:after="40" w:line="240" w:lineRule="auto"/>
      <w:jc w:val="center"/>
      <w:outlineLvl w:val="0"/>
    </w:pPr>
    <w:rPr>
      <w:rFonts w:ascii="Times New Roman" w:eastAsiaTheme="majorEastAsia" w:hAnsi="Times New Roman" w:cstheme="majorBidi"/>
      <w:b/>
      <w:sz w:val="28"/>
      <w:szCs w:val="40"/>
      <w:u w:val="single"/>
    </w:rPr>
  </w:style>
  <w:style w:type="paragraph" w:styleId="Heading2">
    <w:name w:val="heading 2"/>
    <w:basedOn w:val="Normal"/>
    <w:next w:val="Normal"/>
    <w:link w:val="Heading2Char"/>
    <w:uiPriority w:val="9"/>
    <w:unhideWhenUsed/>
    <w:qFormat/>
    <w:rsid w:val="00223A4A"/>
    <w:pPr>
      <w:keepNext/>
      <w:keepLines/>
      <w:spacing w:before="40" w:after="0"/>
      <w:jc w:val="center"/>
      <w:outlineLvl w:val="1"/>
    </w:pPr>
    <w:rPr>
      <w:rFonts w:ascii="Times New Roman" w:eastAsiaTheme="majorEastAsia" w:hAnsi="Times New Roman" w:cstheme="majorBidi"/>
      <w:b/>
      <w:sz w:val="26"/>
      <w:szCs w:val="26"/>
    </w:rPr>
  </w:style>
  <w:style w:type="paragraph" w:styleId="Heading3">
    <w:name w:val="heading 3"/>
    <w:basedOn w:val="Normal"/>
    <w:next w:val="Normal"/>
    <w:link w:val="Heading3Char"/>
    <w:uiPriority w:val="9"/>
    <w:unhideWhenUsed/>
    <w:qFormat/>
    <w:rsid w:val="00BD4674"/>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D3608B"/>
    <w:pPr>
      <w:spacing w:after="0" w:line="240" w:lineRule="auto"/>
    </w:pPr>
    <w:rPr>
      <w:rFonts w:eastAsiaTheme="minorEastAsia"/>
      <w:sz w:val="21"/>
      <w:szCs w:val="21"/>
    </w:rPr>
  </w:style>
  <w:style w:type="paragraph" w:styleId="ListParagraph">
    <w:name w:val="List Paragraph"/>
    <w:basedOn w:val="Normal"/>
    <w:uiPriority w:val="34"/>
    <w:qFormat/>
    <w:rsid w:val="0078286C"/>
    <w:pPr>
      <w:ind w:left="720"/>
      <w:contextualSpacing/>
    </w:pPr>
  </w:style>
  <w:style w:type="character" w:styleId="Hyperlink">
    <w:name w:val="Hyperlink"/>
    <w:basedOn w:val="DefaultParagraphFont"/>
    <w:uiPriority w:val="99"/>
    <w:unhideWhenUsed/>
    <w:rsid w:val="00BB11A2"/>
    <w:rPr>
      <w:color w:val="0000FF"/>
      <w:u w:val="single"/>
    </w:rPr>
  </w:style>
  <w:style w:type="character" w:customStyle="1" w:styleId="Heading1Char">
    <w:name w:val="Heading 1 Char"/>
    <w:basedOn w:val="DefaultParagraphFont"/>
    <w:link w:val="Heading1"/>
    <w:uiPriority w:val="9"/>
    <w:rsid w:val="00223A4A"/>
    <w:rPr>
      <w:rFonts w:ascii="Times New Roman" w:eastAsiaTheme="majorEastAsia" w:hAnsi="Times New Roman" w:cstheme="majorBidi"/>
      <w:b/>
      <w:sz w:val="28"/>
      <w:szCs w:val="40"/>
      <w:u w:val="single"/>
    </w:rPr>
  </w:style>
  <w:style w:type="paragraph" w:customStyle="1" w:styleId="Default">
    <w:name w:val="Default"/>
    <w:link w:val="DefaultChar"/>
    <w:rsid w:val="00225327"/>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Header">
    <w:name w:val="header"/>
    <w:basedOn w:val="Normal"/>
    <w:link w:val="HeaderChar"/>
    <w:uiPriority w:val="99"/>
    <w:unhideWhenUsed/>
    <w:rsid w:val="007407A7"/>
    <w:pPr>
      <w:tabs>
        <w:tab w:val="center" w:pos="4680"/>
        <w:tab w:val="right" w:pos="9360"/>
      </w:tabs>
      <w:spacing w:after="0" w:line="240" w:lineRule="auto"/>
    </w:pPr>
  </w:style>
  <w:style w:type="character" w:customStyle="1" w:styleId="HeaderChar">
    <w:name w:val="Header Char"/>
    <w:basedOn w:val="DefaultParagraphFont"/>
    <w:link w:val="Header"/>
    <w:uiPriority w:val="99"/>
    <w:rsid w:val="007407A7"/>
  </w:style>
  <w:style w:type="paragraph" w:styleId="Footer">
    <w:name w:val="footer"/>
    <w:basedOn w:val="Normal"/>
    <w:link w:val="FooterChar"/>
    <w:uiPriority w:val="99"/>
    <w:unhideWhenUsed/>
    <w:rsid w:val="007407A7"/>
    <w:pPr>
      <w:tabs>
        <w:tab w:val="center" w:pos="4680"/>
        <w:tab w:val="right" w:pos="9360"/>
      </w:tabs>
      <w:spacing w:after="0" w:line="240" w:lineRule="auto"/>
    </w:pPr>
  </w:style>
  <w:style w:type="character" w:customStyle="1" w:styleId="FooterChar">
    <w:name w:val="Footer Char"/>
    <w:basedOn w:val="DefaultParagraphFont"/>
    <w:link w:val="Footer"/>
    <w:uiPriority w:val="99"/>
    <w:rsid w:val="007407A7"/>
  </w:style>
  <w:style w:type="character" w:customStyle="1" w:styleId="NoSpacingChar">
    <w:name w:val="No Spacing Char"/>
    <w:basedOn w:val="DefaultParagraphFont"/>
    <w:link w:val="NoSpacing"/>
    <w:uiPriority w:val="1"/>
    <w:rsid w:val="004D335F"/>
    <w:rPr>
      <w:rFonts w:eastAsiaTheme="minorEastAsia"/>
      <w:sz w:val="21"/>
      <w:szCs w:val="21"/>
    </w:rPr>
  </w:style>
  <w:style w:type="paragraph" w:styleId="NormalWeb">
    <w:name w:val="Normal (Web)"/>
    <w:basedOn w:val="Normal"/>
    <w:uiPriority w:val="99"/>
    <w:unhideWhenUsed/>
    <w:rsid w:val="00923E07"/>
    <w:pPr>
      <w:spacing w:before="100" w:beforeAutospacing="1" w:after="100" w:afterAutospacing="1" w:line="240" w:lineRule="auto"/>
    </w:pPr>
    <w:rPr>
      <w:rFonts w:ascii="Times New Roman" w:eastAsia="Times New Roman" w:hAnsi="Times New Roman" w:cs="Times New Roman"/>
      <w:sz w:val="24"/>
      <w:szCs w:val="24"/>
    </w:rPr>
  </w:style>
  <w:style w:type="paragraph" w:styleId="Bibliography">
    <w:name w:val="Bibliography"/>
    <w:basedOn w:val="Normal"/>
    <w:next w:val="Normal"/>
    <w:uiPriority w:val="37"/>
    <w:unhideWhenUsed/>
    <w:rsid w:val="00862423"/>
    <w:pPr>
      <w:spacing w:after="200" w:line="288" w:lineRule="auto"/>
    </w:pPr>
    <w:rPr>
      <w:rFonts w:eastAsiaTheme="minorEastAsia"/>
      <w:sz w:val="21"/>
      <w:szCs w:val="21"/>
    </w:rPr>
  </w:style>
  <w:style w:type="character" w:customStyle="1" w:styleId="Heading2Char">
    <w:name w:val="Heading 2 Char"/>
    <w:basedOn w:val="DefaultParagraphFont"/>
    <w:link w:val="Heading2"/>
    <w:uiPriority w:val="9"/>
    <w:rsid w:val="00223A4A"/>
    <w:rPr>
      <w:rFonts w:ascii="Times New Roman" w:eastAsiaTheme="majorEastAsia" w:hAnsi="Times New Roman" w:cstheme="majorBidi"/>
      <w:b/>
      <w:sz w:val="26"/>
      <w:szCs w:val="26"/>
    </w:rPr>
  </w:style>
  <w:style w:type="paragraph" w:styleId="DocumentMap">
    <w:name w:val="Document Map"/>
    <w:basedOn w:val="Normal"/>
    <w:link w:val="DocumentMapChar"/>
    <w:uiPriority w:val="99"/>
    <w:semiHidden/>
    <w:unhideWhenUsed/>
    <w:rsid w:val="00166BB1"/>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166BB1"/>
    <w:rPr>
      <w:rFonts w:ascii="Tahoma" w:hAnsi="Tahoma" w:cs="Tahoma"/>
      <w:sz w:val="16"/>
      <w:szCs w:val="16"/>
    </w:rPr>
  </w:style>
  <w:style w:type="character" w:styleId="PlaceholderText">
    <w:name w:val="Placeholder Text"/>
    <w:basedOn w:val="DefaultParagraphFont"/>
    <w:uiPriority w:val="99"/>
    <w:semiHidden/>
    <w:rsid w:val="00E42E9D"/>
    <w:rPr>
      <w:color w:val="808080"/>
    </w:rPr>
  </w:style>
  <w:style w:type="paragraph" w:styleId="BalloonText">
    <w:name w:val="Balloon Text"/>
    <w:basedOn w:val="Normal"/>
    <w:link w:val="BalloonTextChar"/>
    <w:uiPriority w:val="99"/>
    <w:semiHidden/>
    <w:unhideWhenUsed/>
    <w:rsid w:val="00E42E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42E9D"/>
    <w:rPr>
      <w:rFonts w:ascii="Tahoma" w:hAnsi="Tahoma" w:cs="Tahoma"/>
      <w:sz w:val="16"/>
      <w:szCs w:val="16"/>
    </w:rPr>
  </w:style>
  <w:style w:type="paragraph" w:styleId="TOCHeading">
    <w:name w:val="TOC Heading"/>
    <w:basedOn w:val="Heading1"/>
    <w:next w:val="Normal"/>
    <w:uiPriority w:val="39"/>
    <w:unhideWhenUsed/>
    <w:qFormat/>
    <w:rsid w:val="00EC51E4"/>
    <w:pPr>
      <w:spacing w:before="240" w:after="0" w:line="259" w:lineRule="auto"/>
      <w:outlineLvl w:val="9"/>
    </w:pPr>
    <w:rPr>
      <w:color w:val="365F91" w:themeColor="accent1" w:themeShade="BF"/>
      <w:sz w:val="32"/>
      <w:szCs w:val="32"/>
    </w:rPr>
  </w:style>
  <w:style w:type="paragraph" w:styleId="TOC1">
    <w:name w:val="toc 1"/>
    <w:basedOn w:val="Normal"/>
    <w:next w:val="Normal"/>
    <w:autoRedefine/>
    <w:uiPriority w:val="39"/>
    <w:unhideWhenUsed/>
    <w:rsid w:val="00432311"/>
    <w:pPr>
      <w:tabs>
        <w:tab w:val="right" w:leader="dot" w:pos="9350"/>
      </w:tabs>
      <w:spacing w:after="100" w:line="480" w:lineRule="auto"/>
    </w:pPr>
    <w:rPr>
      <w:rFonts w:ascii="Times New Roman" w:hAnsi="Times New Roman" w:cs="Times New Roman"/>
      <w:noProof/>
    </w:rPr>
  </w:style>
  <w:style w:type="character" w:styleId="CommentReference">
    <w:name w:val="annotation reference"/>
    <w:basedOn w:val="DefaultParagraphFont"/>
    <w:uiPriority w:val="99"/>
    <w:semiHidden/>
    <w:unhideWhenUsed/>
    <w:rsid w:val="00221CA4"/>
    <w:rPr>
      <w:sz w:val="16"/>
      <w:szCs w:val="16"/>
    </w:rPr>
  </w:style>
  <w:style w:type="paragraph" w:styleId="CommentText">
    <w:name w:val="annotation text"/>
    <w:basedOn w:val="Normal"/>
    <w:link w:val="CommentTextChar"/>
    <w:uiPriority w:val="99"/>
    <w:unhideWhenUsed/>
    <w:rsid w:val="00221CA4"/>
    <w:pPr>
      <w:spacing w:line="240" w:lineRule="auto"/>
    </w:pPr>
    <w:rPr>
      <w:sz w:val="20"/>
      <w:szCs w:val="20"/>
    </w:rPr>
  </w:style>
  <w:style w:type="character" w:customStyle="1" w:styleId="CommentTextChar">
    <w:name w:val="Comment Text Char"/>
    <w:basedOn w:val="DefaultParagraphFont"/>
    <w:link w:val="CommentText"/>
    <w:uiPriority w:val="99"/>
    <w:rsid w:val="00221CA4"/>
    <w:rPr>
      <w:sz w:val="20"/>
      <w:szCs w:val="20"/>
    </w:rPr>
  </w:style>
  <w:style w:type="paragraph" w:styleId="CommentSubject">
    <w:name w:val="annotation subject"/>
    <w:basedOn w:val="CommentText"/>
    <w:next w:val="CommentText"/>
    <w:link w:val="CommentSubjectChar"/>
    <w:uiPriority w:val="99"/>
    <w:semiHidden/>
    <w:unhideWhenUsed/>
    <w:rsid w:val="00221CA4"/>
    <w:rPr>
      <w:b/>
      <w:bCs/>
    </w:rPr>
  </w:style>
  <w:style w:type="character" w:customStyle="1" w:styleId="CommentSubjectChar">
    <w:name w:val="Comment Subject Char"/>
    <w:basedOn w:val="CommentTextChar"/>
    <w:link w:val="CommentSubject"/>
    <w:uiPriority w:val="99"/>
    <w:semiHidden/>
    <w:rsid w:val="00221CA4"/>
    <w:rPr>
      <w:b/>
      <w:bCs/>
      <w:sz w:val="20"/>
      <w:szCs w:val="20"/>
    </w:rPr>
  </w:style>
  <w:style w:type="table" w:styleId="TableGrid">
    <w:name w:val="Table Grid"/>
    <w:basedOn w:val="TableNormal"/>
    <w:uiPriority w:val="59"/>
    <w:rsid w:val="004436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ghlight">
    <w:name w:val="highlight"/>
    <w:basedOn w:val="DefaultParagraphFont"/>
    <w:rsid w:val="00001D74"/>
  </w:style>
  <w:style w:type="paragraph" w:styleId="TOC2">
    <w:name w:val="toc 2"/>
    <w:basedOn w:val="Normal"/>
    <w:next w:val="Normal"/>
    <w:autoRedefine/>
    <w:uiPriority w:val="39"/>
    <w:unhideWhenUsed/>
    <w:rsid w:val="00223A4A"/>
    <w:pPr>
      <w:spacing w:after="100"/>
      <w:ind w:left="220"/>
    </w:pPr>
  </w:style>
  <w:style w:type="character" w:customStyle="1" w:styleId="Heading3Char">
    <w:name w:val="Heading 3 Char"/>
    <w:basedOn w:val="DefaultParagraphFont"/>
    <w:link w:val="Heading3"/>
    <w:uiPriority w:val="9"/>
    <w:rsid w:val="00BD4674"/>
    <w:rPr>
      <w:rFonts w:asciiTheme="majorHAnsi" w:eastAsiaTheme="majorEastAsia" w:hAnsiTheme="majorHAnsi" w:cstheme="majorBidi"/>
      <w:color w:val="243F60" w:themeColor="accent1" w:themeShade="7F"/>
      <w:sz w:val="24"/>
      <w:szCs w:val="24"/>
    </w:rPr>
  </w:style>
  <w:style w:type="character" w:customStyle="1" w:styleId="DefaultChar">
    <w:name w:val="Default Char"/>
    <w:link w:val="Default"/>
    <w:locked/>
    <w:rsid w:val="00816956"/>
    <w:rPr>
      <w:rFonts w:ascii="Times New Roman" w:eastAsiaTheme="minorEastAsia" w:hAnsi="Times New Roman" w:cs="Times New Roman"/>
      <w:color w:val="000000"/>
      <w:sz w:val="24"/>
      <w:szCs w:val="24"/>
    </w:rPr>
  </w:style>
  <w:style w:type="paragraph" w:styleId="TableofFigures">
    <w:name w:val="table of figures"/>
    <w:basedOn w:val="Normal"/>
    <w:next w:val="Normal"/>
    <w:uiPriority w:val="99"/>
    <w:unhideWhenUsed/>
    <w:rsid w:val="00F66BAF"/>
    <w:pPr>
      <w:spacing w:after="0"/>
    </w:pPr>
  </w:style>
  <w:style w:type="paragraph" w:styleId="Caption">
    <w:name w:val="caption"/>
    <w:basedOn w:val="Normal"/>
    <w:next w:val="Normal"/>
    <w:uiPriority w:val="35"/>
    <w:unhideWhenUsed/>
    <w:qFormat/>
    <w:rsid w:val="00A54103"/>
    <w:pPr>
      <w:spacing w:after="200" w:line="240" w:lineRule="auto"/>
    </w:pPr>
    <w:rPr>
      <w:i/>
      <w:iCs/>
      <w:color w:val="1F497D" w:themeColor="text2"/>
      <w:sz w:val="18"/>
      <w:szCs w:val="18"/>
    </w:rPr>
  </w:style>
  <w:style w:type="paragraph" w:styleId="BodyText">
    <w:name w:val="Body Text"/>
    <w:basedOn w:val="Normal"/>
    <w:link w:val="BodyTextChar"/>
    <w:uiPriority w:val="1"/>
    <w:qFormat/>
    <w:rsid w:val="00724D10"/>
    <w:pPr>
      <w:widowControl w:val="0"/>
      <w:autoSpaceDE w:val="0"/>
      <w:autoSpaceDN w:val="0"/>
      <w:spacing w:after="0" w:line="240" w:lineRule="auto"/>
    </w:pPr>
    <w:rPr>
      <w:rFonts w:ascii="Times New Roman" w:eastAsia="Times New Roman" w:hAnsi="Times New Roman" w:cs="Times New Roman"/>
      <w:sz w:val="18"/>
      <w:szCs w:val="18"/>
    </w:rPr>
  </w:style>
  <w:style w:type="character" w:customStyle="1" w:styleId="BodyTextChar">
    <w:name w:val="Body Text Char"/>
    <w:basedOn w:val="DefaultParagraphFont"/>
    <w:link w:val="BodyText"/>
    <w:uiPriority w:val="1"/>
    <w:rsid w:val="00724D10"/>
    <w:rPr>
      <w:rFonts w:ascii="Times New Roman" w:eastAsia="Times New Roman" w:hAnsi="Times New Roman" w:cs="Times New Roman"/>
      <w:sz w:val="18"/>
      <w:szCs w:val="18"/>
    </w:rPr>
  </w:style>
  <w:style w:type="character" w:customStyle="1" w:styleId="markedcontent">
    <w:name w:val="markedcontent"/>
    <w:basedOn w:val="DefaultParagraphFont"/>
    <w:rsid w:val="00F55D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764969">
      <w:bodyDiv w:val="1"/>
      <w:marLeft w:val="0"/>
      <w:marRight w:val="0"/>
      <w:marTop w:val="0"/>
      <w:marBottom w:val="0"/>
      <w:divBdr>
        <w:top w:val="none" w:sz="0" w:space="0" w:color="auto"/>
        <w:left w:val="none" w:sz="0" w:space="0" w:color="auto"/>
        <w:bottom w:val="none" w:sz="0" w:space="0" w:color="auto"/>
        <w:right w:val="none" w:sz="0" w:space="0" w:color="auto"/>
      </w:divBdr>
    </w:div>
    <w:div w:id="89156558">
      <w:bodyDiv w:val="1"/>
      <w:marLeft w:val="0"/>
      <w:marRight w:val="0"/>
      <w:marTop w:val="0"/>
      <w:marBottom w:val="0"/>
      <w:divBdr>
        <w:top w:val="none" w:sz="0" w:space="0" w:color="auto"/>
        <w:left w:val="none" w:sz="0" w:space="0" w:color="auto"/>
        <w:bottom w:val="none" w:sz="0" w:space="0" w:color="auto"/>
        <w:right w:val="none" w:sz="0" w:space="0" w:color="auto"/>
      </w:divBdr>
    </w:div>
    <w:div w:id="136843141">
      <w:bodyDiv w:val="1"/>
      <w:marLeft w:val="0"/>
      <w:marRight w:val="0"/>
      <w:marTop w:val="0"/>
      <w:marBottom w:val="0"/>
      <w:divBdr>
        <w:top w:val="none" w:sz="0" w:space="0" w:color="auto"/>
        <w:left w:val="none" w:sz="0" w:space="0" w:color="auto"/>
        <w:bottom w:val="none" w:sz="0" w:space="0" w:color="auto"/>
        <w:right w:val="none" w:sz="0" w:space="0" w:color="auto"/>
      </w:divBdr>
    </w:div>
    <w:div w:id="285308101">
      <w:bodyDiv w:val="1"/>
      <w:marLeft w:val="0"/>
      <w:marRight w:val="0"/>
      <w:marTop w:val="0"/>
      <w:marBottom w:val="0"/>
      <w:divBdr>
        <w:top w:val="none" w:sz="0" w:space="0" w:color="auto"/>
        <w:left w:val="none" w:sz="0" w:space="0" w:color="auto"/>
        <w:bottom w:val="none" w:sz="0" w:space="0" w:color="auto"/>
        <w:right w:val="none" w:sz="0" w:space="0" w:color="auto"/>
      </w:divBdr>
    </w:div>
    <w:div w:id="316500965">
      <w:bodyDiv w:val="1"/>
      <w:marLeft w:val="0"/>
      <w:marRight w:val="0"/>
      <w:marTop w:val="0"/>
      <w:marBottom w:val="0"/>
      <w:divBdr>
        <w:top w:val="none" w:sz="0" w:space="0" w:color="auto"/>
        <w:left w:val="none" w:sz="0" w:space="0" w:color="auto"/>
        <w:bottom w:val="none" w:sz="0" w:space="0" w:color="auto"/>
        <w:right w:val="none" w:sz="0" w:space="0" w:color="auto"/>
      </w:divBdr>
    </w:div>
    <w:div w:id="881868389">
      <w:bodyDiv w:val="1"/>
      <w:marLeft w:val="0"/>
      <w:marRight w:val="0"/>
      <w:marTop w:val="0"/>
      <w:marBottom w:val="0"/>
      <w:divBdr>
        <w:top w:val="none" w:sz="0" w:space="0" w:color="auto"/>
        <w:left w:val="none" w:sz="0" w:space="0" w:color="auto"/>
        <w:bottom w:val="none" w:sz="0" w:space="0" w:color="auto"/>
        <w:right w:val="none" w:sz="0" w:space="0" w:color="auto"/>
      </w:divBdr>
    </w:div>
    <w:div w:id="926310670">
      <w:bodyDiv w:val="1"/>
      <w:marLeft w:val="0"/>
      <w:marRight w:val="0"/>
      <w:marTop w:val="0"/>
      <w:marBottom w:val="0"/>
      <w:divBdr>
        <w:top w:val="none" w:sz="0" w:space="0" w:color="auto"/>
        <w:left w:val="none" w:sz="0" w:space="0" w:color="auto"/>
        <w:bottom w:val="none" w:sz="0" w:space="0" w:color="auto"/>
        <w:right w:val="none" w:sz="0" w:space="0" w:color="auto"/>
      </w:divBdr>
    </w:div>
    <w:div w:id="935675827">
      <w:bodyDiv w:val="1"/>
      <w:marLeft w:val="0"/>
      <w:marRight w:val="0"/>
      <w:marTop w:val="0"/>
      <w:marBottom w:val="0"/>
      <w:divBdr>
        <w:top w:val="none" w:sz="0" w:space="0" w:color="auto"/>
        <w:left w:val="none" w:sz="0" w:space="0" w:color="auto"/>
        <w:bottom w:val="none" w:sz="0" w:space="0" w:color="auto"/>
        <w:right w:val="none" w:sz="0" w:space="0" w:color="auto"/>
      </w:divBdr>
    </w:div>
    <w:div w:id="989796997">
      <w:bodyDiv w:val="1"/>
      <w:marLeft w:val="0"/>
      <w:marRight w:val="0"/>
      <w:marTop w:val="0"/>
      <w:marBottom w:val="0"/>
      <w:divBdr>
        <w:top w:val="none" w:sz="0" w:space="0" w:color="auto"/>
        <w:left w:val="none" w:sz="0" w:space="0" w:color="auto"/>
        <w:bottom w:val="none" w:sz="0" w:space="0" w:color="auto"/>
        <w:right w:val="none" w:sz="0" w:space="0" w:color="auto"/>
      </w:divBdr>
    </w:div>
    <w:div w:id="998386230">
      <w:bodyDiv w:val="1"/>
      <w:marLeft w:val="0"/>
      <w:marRight w:val="0"/>
      <w:marTop w:val="0"/>
      <w:marBottom w:val="0"/>
      <w:divBdr>
        <w:top w:val="none" w:sz="0" w:space="0" w:color="auto"/>
        <w:left w:val="none" w:sz="0" w:space="0" w:color="auto"/>
        <w:bottom w:val="none" w:sz="0" w:space="0" w:color="auto"/>
        <w:right w:val="none" w:sz="0" w:space="0" w:color="auto"/>
      </w:divBdr>
    </w:div>
    <w:div w:id="1120952513">
      <w:bodyDiv w:val="1"/>
      <w:marLeft w:val="0"/>
      <w:marRight w:val="0"/>
      <w:marTop w:val="0"/>
      <w:marBottom w:val="0"/>
      <w:divBdr>
        <w:top w:val="none" w:sz="0" w:space="0" w:color="auto"/>
        <w:left w:val="none" w:sz="0" w:space="0" w:color="auto"/>
        <w:bottom w:val="none" w:sz="0" w:space="0" w:color="auto"/>
        <w:right w:val="none" w:sz="0" w:space="0" w:color="auto"/>
      </w:divBdr>
    </w:div>
    <w:div w:id="1179541511">
      <w:bodyDiv w:val="1"/>
      <w:marLeft w:val="0"/>
      <w:marRight w:val="0"/>
      <w:marTop w:val="0"/>
      <w:marBottom w:val="0"/>
      <w:divBdr>
        <w:top w:val="none" w:sz="0" w:space="0" w:color="auto"/>
        <w:left w:val="none" w:sz="0" w:space="0" w:color="auto"/>
        <w:bottom w:val="none" w:sz="0" w:space="0" w:color="auto"/>
        <w:right w:val="none" w:sz="0" w:space="0" w:color="auto"/>
      </w:divBdr>
    </w:div>
    <w:div w:id="1196231857">
      <w:bodyDiv w:val="1"/>
      <w:marLeft w:val="0"/>
      <w:marRight w:val="0"/>
      <w:marTop w:val="0"/>
      <w:marBottom w:val="0"/>
      <w:divBdr>
        <w:top w:val="none" w:sz="0" w:space="0" w:color="auto"/>
        <w:left w:val="none" w:sz="0" w:space="0" w:color="auto"/>
        <w:bottom w:val="none" w:sz="0" w:space="0" w:color="auto"/>
        <w:right w:val="none" w:sz="0" w:space="0" w:color="auto"/>
      </w:divBdr>
    </w:div>
    <w:div w:id="1247962153">
      <w:bodyDiv w:val="1"/>
      <w:marLeft w:val="0"/>
      <w:marRight w:val="0"/>
      <w:marTop w:val="0"/>
      <w:marBottom w:val="0"/>
      <w:divBdr>
        <w:top w:val="none" w:sz="0" w:space="0" w:color="auto"/>
        <w:left w:val="none" w:sz="0" w:space="0" w:color="auto"/>
        <w:bottom w:val="none" w:sz="0" w:space="0" w:color="auto"/>
        <w:right w:val="none" w:sz="0" w:space="0" w:color="auto"/>
      </w:divBdr>
    </w:div>
    <w:div w:id="1377195496">
      <w:bodyDiv w:val="1"/>
      <w:marLeft w:val="0"/>
      <w:marRight w:val="0"/>
      <w:marTop w:val="0"/>
      <w:marBottom w:val="0"/>
      <w:divBdr>
        <w:top w:val="none" w:sz="0" w:space="0" w:color="auto"/>
        <w:left w:val="none" w:sz="0" w:space="0" w:color="auto"/>
        <w:bottom w:val="none" w:sz="0" w:space="0" w:color="auto"/>
        <w:right w:val="none" w:sz="0" w:space="0" w:color="auto"/>
      </w:divBdr>
    </w:div>
    <w:div w:id="1407386408">
      <w:bodyDiv w:val="1"/>
      <w:marLeft w:val="0"/>
      <w:marRight w:val="0"/>
      <w:marTop w:val="0"/>
      <w:marBottom w:val="0"/>
      <w:divBdr>
        <w:top w:val="none" w:sz="0" w:space="0" w:color="auto"/>
        <w:left w:val="none" w:sz="0" w:space="0" w:color="auto"/>
        <w:bottom w:val="none" w:sz="0" w:space="0" w:color="auto"/>
        <w:right w:val="none" w:sz="0" w:space="0" w:color="auto"/>
      </w:divBdr>
    </w:div>
    <w:div w:id="1498233422">
      <w:bodyDiv w:val="1"/>
      <w:marLeft w:val="0"/>
      <w:marRight w:val="0"/>
      <w:marTop w:val="0"/>
      <w:marBottom w:val="0"/>
      <w:divBdr>
        <w:top w:val="none" w:sz="0" w:space="0" w:color="auto"/>
        <w:left w:val="none" w:sz="0" w:space="0" w:color="auto"/>
        <w:bottom w:val="none" w:sz="0" w:space="0" w:color="auto"/>
        <w:right w:val="none" w:sz="0" w:space="0" w:color="auto"/>
      </w:divBdr>
    </w:div>
    <w:div w:id="1522738552">
      <w:bodyDiv w:val="1"/>
      <w:marLeft w:val="0"/>
      <w:marRight w:val="0"/>
      <w:marTop w:val="0"/>
      <w:marBottom w:val="0"/>
      <w:divBdr>
        <w:top w:val="none" w:sz="0" w:space="0" w:color="auto"/>
        <w:left w:val="none" w:sz="0" w:space="0" w:color="auto"/>
        <w:bottom w:val="none" w:sz="0" w:space="0" w:color="auto"/>
        <w:right w:val="none" w:sz="0" w:space="0" w:color="auto"/>
      </w:divBdr>
    </w:div>
    <w:div w:id="1525440514">
      <w:bodyDiv w:val="1"/>
      <w:marLeft w:val="0"/>
      <w:marRight w:val="0"/>
      <w:marTop w:val="0"/>
      <w:marBottom w:val="0"/>
      <w:divBdr>
        <w:top w:val="none" w:sz="0" w:space="0" w:color="auto"/>
        <w:left w:val="none" w:sz="0" w:space="0" w:color="auto"/>
        <w:bottom w:val="none" w:sz="0" w:space="0" w:color="auto"/>
        <w:right w:val="none" w:sz="0" w:space="0" w:color="auto"/>
      </w:divBdr>
      <w:divsChild>
        <w:div w:id="86314535">
          <w:marLeft w:val="0"/>
          <w:marRight w:val="0"/>
          <w:marTop w:val="0"/>
          <w:marBottom w:val="0"/>
          <w:divBdr>
            <w:top w:val="none" w:sz="0" w:space="0" w:color="auto"/>
            <w:left w:val="none" w:sz="0" w:space="0" w:color="auto"/>
            <w:bottom w:val="none" w:sz="0" w:space="0" w:color="auto"/>
            <w:right w:val="none" w:sz="0" w:space="0" w:color="auto"/>
          </w:divBdr>
        </w:div>
        <w:div w:id="654919113">
          <w:marLeft w:val="0"/>
          <w:marRight w:val="0"/>
          <w:marTop w:val="0"/>
          <w:marBottom w:val="0"/>
          <w:divBdr>
            <w:top w:val="none" w:sz="0" w:space="0" w:color="auto"/>
            <w:left w:val="none" w:sz="0" w:space="0" w:color="auto"/>
            <w:bottom w:val="none" w:sz="0" w:space="0" w:color="auto"/>
            <w:right w:val="none" w:sz="0" w:space="0" w:color="auto"/>
          </w:divBdr>
        </w:div>
        <w:div w:id="1464813557">
          <w:marLeft w:val="0"/>
          <w:marRight w:val="0"/>
          <w:marTop w:val="0"/>
          <w:marBottom w:val="0"/>
          <w:divBdr>
            <w:top w:val="none" w:sz="0" w:space="0" w:color="auto"/>
            <w:left w:val="none" w:sz="0" w:space="0" w:color="auto"/>
            <w:bottom w:val="none" w:sz="0" w:space="0" w:color="auto"/>
            <w:right w:val="none" w:sz="0" w:space="0" w:color="auto"/>
          </w:divBdr>
        </w:div>
        <w:div w:id="1477726636">
          <w:marLeft w:val="0"/>
          <w:marRight w:val="0"/>
          <w:marTop w:val="0"/>
          <w:marBottom w:val="0"/>
          <w:divBdr>
            <w:top w:val="none" w:sz="0" w:space="0" w:color="auto"/>
            <w:left w:val="none" w:sz="0" w:space="0" w:color="auto"/>
            <w:bottom w:val="none" w:sz="0" w:space="0" w:color="auto"/>
            <w:right w:val="none" w:sz="0" w:space="0" w:color="auto"/>
          </w:divBdr>
        </w:div>
        <w:div w:id="1552116126">
          <w:marLeft w:val="0"/>
          <w:marRight w:val="0"/>
          <w:marTop w:val="0"/>
          <w:marBottom w:val="0"/>
          <w:divBdr>
            <w:top w:val="none" w:sz="0" w:space="0" w:color="auto"/>
            <w:left w:val="none" w:sz="0" w:space="0" w:color="auto"/>
            <w:bottom w:val="none" w:sz="0" w:space="0" w:color="auto"/>
            <w:right w:val="none" w:sz="0" w:space="0" w:color="auto"/>
          </w:divBdr>
        </w:div>
        <w:div w:id="2032299748">
          <w:marLeft w:val="0"/>
          <w:marRight w:val="0"/>
          <w:marTop w:val="0"/>
          <w:marBottom w:val="0"/>
          <w:divBdr>
            <w:top w:val="none" w:sz="0" w:space="0" w:color="auto"/>
            <w:left w:val="none" w:sz="0" w:space="0" w:color="auto"/>
            <w:bottom w:val="none" w:sz="0" w:space="0" w:color="auto"/>
            <w:right w:val="none" w:sz="0" w:space="0" w:color="auto"/>
          </w:divBdr>
        </w:div>
      </w:divsChild>
    </w:div>
    <w:div w:id="1535800687">
      <w:bodyDiv w:val="1"/>
      <w:marLeft w:val="0"/>
      <w:marRight w:val="0"/>
      <w:marTop w:val="0"/>
      <w:marBottom w:val="0"/>
      <w:divBdr>
        <w:top w:val="none" w:sz="0" w:space="0" w:color="auto"/>
        <w:left w:val="none" w:sz="0" w:space="0" w:color="auto"/>
        <w:bottom w:val="none" w:sz="0" w:space="0" w:color="auto"/>
        <w:right w:val="none" w:sz="0" w:space="0" w:color="auto"/>
      </w:divBdr>
    </w:div>
    <w:div w:id="1672416140">
      <w:bodyDiv w:val="1"/>
      <w:marLeft w:val="0"/>
      <w:marRight w:val="0"/>
      <w:marTop w:val="0"/>
      <w:marBottom w:val="0"/>
      <w:divBdr>
        <w:top w:val="none" w:sz="0" w:space="0" w:color="auto"/>
        <w:left w:val="none" w:sz="0" w:space="0" w:color="auto"/>
        <w:bottom w:val="none" w:sz="0" w:space="0" w:color="auto"/>
        <w:right w:val="none" w:sz="0" w:space="0" w:color="auto"/>
      </w:divBdr>
    </w:div>
    <w:div w:id="1695107492">
      <w:bodyDiv w:val="1"/>
      <w:marLeft w:val="0"/>
      <w:marRight w:val="0"/>
      <w:marTop w:val="0"/>
      <w:marBottom w:val="0"/>
      <w:divBdr>
        <w:top w:val="none" w:sz="0" w:space="0" w:color="auto"/>
        <w:left w:val="none" w:sz="0" w:space="0" w:color="auto"/>
        <w:bottom w:val="none" w:sz="0" w:space="0" w:color="auto"/>
        <w:right w:val="none" w:sz="0" w:space="0" w:color="auto"/>
      </w:divBdr>
    </w:div>
    <w:div w:id="1704210293">
      <w:bodyDiv w:val="1"/>
      <w:marLeft w:val="0"/>
      <w:marRight w:val="0"/>
      <w:marTop w:val="0"/>
      <w:marBottom w:val="0"/>
      <w:divBdr>
        <w:top w:val="none" w:sz="0" w:space="0" w:color="auto"/>
        <w:left w:val="none" w:sz="0" w:space="0" w:color="auto"/>
        <w:bottom w:val="none" w:sz="0" w:space="0" w:color="auto"/>
        <w:right w:val="none" w:sz="0" w:space="0" w:color="auto"/>
      </w:divBdr>
    </w:div>
    <w:div w:id="1791515242">
      <w:bodyDiv w:val="1"/>
      <w:marLeft w:val="0"/>
      <w:marRight w:val="0"/>
      <w:marTop w:val="0"/>
      <w:marBottom w:val="0"/>
      <w:divBdr>
        <w:top w:val="none" w:sz="0" w:space="0" w:color="auto"/>
        <w:left w:val="none" w:sz="0" w:space="0" w:color="auto"/>
        <w:bottom w:val="none" w:sz="0" w:space="0" w:color="auto"/>
        <w:right w:val="none" w:sz="0" w:space="0" w:color="auto"/>
      </w:divBdr>
    </w:div>
    <w:div w:id="1976253443">
      <w:bodyDiv w:val="1"/>
      <w:marLeft w:val="0"/>
      <w:marRight w:val="0"/>
      <w:marTop w:val="0"/>
      <w:marBottom w:val="0"/>
      <w:divBdr>
        <w:top w:val="none" w:sz="0" w:space="0" w:color="auto"/>
        <w:left w:val="none" w:sz="0" w:space="0" w:color="auto"/>
        <w:bottom w:val="none" w:sz="0" w:space="0" w:color="auto"/>
        <w:right w:val="none" w:sz="0" w:space="0" w:color="auto"/>
      </w:divBdr>
    </w:div>
    <w:div w:id="20535756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E:\MBA%20Proposals\THESIS-2021\Ben%20Final%20Thesis%2010.docx" TargetMode="External"/><Relationship Id="rId13" Type="http://schemas.openxmlformats.org/officeDocument/2006/relationships/image" Target="media/image4.png"/><Relationship Id="rId18" Type="http://schemas.openxmlformats.org/officeDocument/2006/relationships/image" Target="media/image8.emf"/><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hyperlink" Target="mailto:bklagatt2015@gmail.co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emf"/><Relationship Id="rId10" Type="http://schemas.openxmlformats.org/officeDocument/2006/relationships/image" Target="media/image1.pn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Times New Roman-Arial">
      <a:maj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panose="020B0604020202020204"/>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15BD5-F101-4C74-B451-A728D3F11C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62015</Words>
  <Characters>353489</Characters>
  <Application>Microsoft Office Word</Application>
  <DocSecurity>0</DocSecurity>
  <Lines>2945</Lines>
  <Paragraphs>829</Paragraphs>
  <ScaleCrop>false</ScaleCrop>
  <HeadingPairs>
    <vt:vector size="2" baseType="variant">
      <vt:variant>
        <vt:lpstr>Title</vt:lpstr>
      </vt:variant>
      <vt:variant>
        <vt:i4>1</vt:i4>
      </vt:variant>
    </vt:vector>
  </HeadingPairs>
  <TitlesOfParts>
    <vt:vector size="1" baseType="lpstr">
      <vt:lpstr>The Relationship between SOLVENCY AND PROFITABILITY OF COMMERCIAL BANKS IN KENYA</vt:lpstr>
    </vt:vector>
  </TitlesOfParts>
  <Company/>
  <LinksUpToDate>false</LinksUpToDate>
  <CharactersWithSpaces>414675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Relationship between SOLVENCY AND PROFITABILITY OF COMMERCIAL BANKS IN KENYA</dc:title>
  <dc:subject/>
  <dc:creator>Admin</dc:creator>
  <cp:keywords/>
  <dc:description/>
  <cp:lastModifiedBy>Reu Katam</cp:lastModifiedBy>
  <cp:revision>6</cp:revision>
  <dcterms:created xsi:type="dcterms:W3CDTF">2021-07-29T16:54:00Z</dcterms:created>
  <dcterms:modified xsi:type="dcterms:W3CDTF">2021-07-29T17:04:00Z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http://www.zotero.org/styles/apa</vt:lpwstr>
  </property>
  <property fmtid="{D5CDD505-2E9C-101B-9397-08002B2CF9AE}" pid="4" name="Mendeley Unique User Id_1">
    <vt:lpwstr>58366137-ae3a-3825-a47a-40f5b1b48bb3</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